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177165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July 31, 2021</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3580"/>
        <w:spacing w:after="0"/>
        <w:tabs>
          <w:tab w:leader="none" w:pos="58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160655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AEROVIRONMENT,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20" w:type="dxa"/>
        <w:tblCellMar>
          <w:top w:w="0" w:type="dxa"/>
          <w:left w:w="0" w:type="dxa"/>
          <w:bottom w:w="0" w:type="dxa"/>
          <w:right w:w="0" w:type="dxa"/>
        </w:tblCellMar>
      </w:tblPr>
      <w:tr>
        <w:trPr>
          <w:trHeight w:val="166"/>
        </w:trPr>
        <w:tc>
          <w:tcPr>
            <w:tcW w:w="458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Delaware</w:t>
            </w:r>
          </w:p>
        </w:tc>
        <w:tc>
          <w:tcPr>
            <w:tcW w:w="3240" w:type="dxa"/>
            <w:vAlign w:val="bottom"/>
          </w:tcPr>
          <w:p>
            <w:pPr>
              <w:jc w:val="right"/>
              <w:ind w:right="628"/>
              <w:spacing w:after="0"/>
              <w:rPr>
                <w:sz w:val="20"/>
                <w:szCs w:val="20"/>
                <w:color w:val="auto"/>
              </w:rPr>
            </w:pPr>
            <w:r>
              <w:rPr>
                <w:rFonts w:ascii="Arial" w:cs="Arial" w:eastAsia="Arial" w:hAnsi="Arial"/>
                <w:sz w:val="14"/>
                <w:szCs w:val="14"/>
                <w:b w:val="1"/>
                <w:bCs w:val="1"/>
                <w:color w:val="auto"/>
              </w:rPr>
              <w:t>95-2705790</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(I.R.S. Employer Identification No.)</w:t>
            </w:r>
          </w:p>
        </w:tc>
      </w:tr>
      <w:tr>
        <w:trPr>
          <w:trHeight w:val="28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89"/>
              </w:rPr>
              <w:t>241 18</w:t>
            </w:r>
            <w:r>
              <w:rPr>
                <w:rFonts w:ascii="Arial" w:cs="Arial" w:eastAsia="Arial" w:hAnsi="Arial"/>
                <w:sz w:val="21"/>
                <w:szCs w:val="21"/>
                <w:b w:val="1"/>
                <w:bCs w:val="1"/>
                <w:color w:val="auto"/>
                <w:w w:val="89"/>
                <w:vertAlign w:val="superscript"/>
              </w:rPr>
              <w:t>th</w:t>
            </w:r>
            <w:r>
              <w:rPr>
                <w:rFonts w:ascii="Arial" w:cs="Arial" w:eastAsia="Arial" w:hAnsi="Arial"/>
                <w:sz w:val="14"/>
                <w:szCs w:val="14"/>
                <w:b w:val="1"/>
                <w:bCs w:val="1"/>
                <w:color w:val="auto"/>
                <w:w w:val="89"/>
              </w:rPr>
              <w:t xml:space="preserve"> Street, Suite 415</w:t>
            </w:r>
          </w:p>
        </w:tc>
        <w:tc>
          <w:tcPr>
            <w:tcW w:w="3240" w:type="dxa"/>
            <w:vAlign w:val="bottom"/>
          </w:tcPr>
          <w:p>
            <w:pPr>
              <w:spacing w:after="0"/>
              <w:rPr>
                <w:sz w:val="24"/>
                <w:szCs w:val="24"/>
                <w:color w:val="auto"/>
              </w:rPr>
            </w:pPr>
          </w:p>
        </w:tc>
      </w:tr>
      <w:tr>
        <w:trPr>
          <w:trHeight w:val="16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95"/>
              </w:rPr>
              <w:t>Arlington, Virginia</w:t>
            </w:r>
          </w:p>
        </w:tc>
        <w:tc>
          <w:tcPr>
            <w:tcW w:w="3240" w:type="dxa"/>
            <w:vAlign w:val="bottom"/>
          </w:tcPr>
          <w:p>
            <w:pPr>
              <w:jc w:val="right"/>
              <w:ind w:right="788"/>
              <w:spacing w:after="0"/>
              <w:rPr>
                <w:sz w:val="20"/>
                <w:szCs w:val="20"/>
                <w:color w:val="auto"/>
              </w:rPr>
            </w:pPr>
            <w:r>
              <w:rPr>
                <w:rFonts w:ascii="Arial" w:cs="Arial" w:eastAsia="Arial" w:hAnsi="Arial"/>
                <w:sz w:val="14"/>
                <w:szCs w:val="14"/>
                <w:b w:val="1"/>
                <w:bCs w:val="1"/>
                <w:color w:val="auto"/>
              </w:rPr>
              <w:t>22202</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(Address of principal executive offices)</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(805) 520-8350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Title of each class</w:t>
            </w:r>
          </w:p>
        </w:tc>
        <w:tc>
          <w:tcPr>
            <w:tcW w:w="2960" w:type="dxa"/>
            <w:vAlign w:val="bottom"/>
          </w:tcPr>
          <w:p>
            <w:pPr>
              <w:jc w:val="center"/>
              <w:ind w:left="242"/>
              <w:spacing w:after="0"/>
              <w:rPr>
                <w:sz w:val="20"/>
                <w:szCs w:val="20"/>
                <w:color w:val="auto"/>
              </w:rPr>
            </w:pPr>
            <w:r>
              <w:rPr>
                <w:rFonts w:ascii="Arial" w:cs="Arial" w:eastAsia="Arial" w:hAnsi="Arial"/>
                <w:sz w:val="11"/>
                <w:szCs w:val="11"/>
                <w:b w:val="1"/>
                <w:bCs w:val="1"/>
                <w:color w:val="auto"/>
                <w:w w:val="89"/>
              </w:rPr>
              <w:t>Trading Symbol(s)</w:t>
            </w:r>
          </w:p>
        </w:tc>
        <w:tc>
          <w:tcPr>
            <w:tcW w:w="3560" w:type="dxa"/>
            <w:vAlign w:val="bottom"/>
          </w:tcPr>
          <w:p>
            <w:pPr>
              <w:jc w:val="center"/>
              <w:ind w:left="222"/>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58"/>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88"/>
              </w:rPr>
              <w:t>AVAV</w:t>
            </w:r>
          </w:p>
        </w:tc>
        <w:tc>
          <w:tcPr>
            <w:tcW w:w="35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93"/>
              </w:rPr>
              <w:t>The NASDAQ Stock Market LLC</w:t>
            </w:r>
          </w:p>
        </w:tc>
      </w:tr>
    </w:tbl>
    <w:p>
      <w:pPr>
        <w:spacing w:after="0" w:line="168" w:lineRule="exact"/>
        <w:rPr>
          <w:sz w:val="24"/>
          <w:szCs w:val="24"/>
          <w:color w:val="auto"/>
        </w:rPr>
      </w:pPr>
    </w:p>
    <w:p>
      <w:pPr>
        <w:jc w:val="both"/>
        <w:ind w:right="220" w:firstLine="324"/>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4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2" w:lineRule="exact"/>
        <w:rPr>
          <w:sz w:val="24"/>
          <w:szCs w:val="24"/>
          <w:color w:val="auto"/>
        </w:rPr>
      </w:pPr>
    </w:p>
    <w:p>
      <w:pPr>
        <w:jc w:val="both"/>
        <w:ind w:right="200"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ind w:left="170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7" w:lineRule="exact"/>
        <w:rPr>
          <w:sz w:val="24"/>
          <w:szCs w:val="24"/>
          <w:color w:val="auto"/>
        </w:rPr>
      </w:pPr>
    </w:p>
    <w:p>
      <w:pPr>
        <w:sectPr>
          <w:pgSz w:w="11900" w:h="16838" w:orient="portrait"/>
          <w:cols w:equalWidth="0" w:num="2">
            <w:col w:w="6200" w:space="720"/>
            <w:col w:w="3000"/>
          </w:cols>
          <w:pgMar w:left="980" w:top="665" w:right="999" w:bottom="1440" w:gutter="0" w:footer="0" w:header="0"/>
          <w:type w:val="continuous"/>
        </w:sectPr>
      </w:pPr>
    </w:p>
    <w:p>
      <w:pPr>
        <w:ind w:left="17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5900" w:space="720"/>
            <w:col w:w="3300"/>
          </w:cols>
          <w:pgMar w:left="980" w:top="665" w:right="999" w:bottom="1440" w:gutter="0" w:footer="0" w:header="0"/>
          <w:type w:val="continuous"/>
        </w:sectPr>
      </w:pPr>
    </w:p>
    <w:p>
      <w:pPr>
        <w:ind w:left="66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9920"/>
          </w:cols>
          <w:pgMar w:left="980" w:top="665" w:right="999" w:bottom="1440" w:gutter="0" w:footer="0" w:header="0"/>
          <w:type w:val="continuous"/>
        </w:sectPr>
      </w:pPr>
    </w:p>
    <w:p>
      <w:pPr>
        <w:spacing w:after="0" w:line="256" w:lineRule="exact"/>
        <w:rPr>
          <w:sz w:val="24"/>
          <w:szCs w:val="24"/>
          <w:color w:val="auto"/>
        </w:rPr>
      </w:pPr>
    </w:p>
    <w:p>
      <w:pPr>
        <w:ind w:right="14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right="2140"/>
        <w:spacing w:after="0" w:line="260"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September 1, 2021, the number of shares outstanding of the registrant’s common stock, $0.0001 par value, was 24,811,444.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427990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41910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40" w:type="dxa"/>
            <w:vAlign w:val="bottom"/>
            <w:gridSpan w:val="12"/>
          </w:tcPr>
          <w:p>
            <w:pPr>
              <w:jc w:val="center"/>
              <w:ind w:right="3260"/>
              <w:spacing w:after="0"/>
              <w:rPr>
                <w:sz w:val="20"/>
                <w:szCs w:val="20"/>
                <w:color w:val="auto"/>
              </w:rPr>
            </w:pPr>
            <w:r>
              <w:rPr>
                <w:rFonts w:ascii="Arial" w:cs="Arial" w:eastAsia="Arial" w:hAnsi="Arial"/>
                <w:sz w:val="18"/>
                <w:szCs w:val="18"/>
                <w:b w:val="1"/>
                <w:bCs w:val="1"/>
                <w:color w:val="auto"/>
                <w:w w:val="93"/>
              </w:rPr>
              <w:t>AeroVironment, Inc.</w:t>
            </w:r>
          </w:p>
        </w:tc>
        <w:tc>
          <w:tcPr>
            <w:tcW w:w="36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gridSpan w:val="12"/>
          </w:tcPr>
          <w:p>
            <w:pPr>
              <w:jc w:val="center"/>
              <w:ind w:right="3260"/>
              <w:spacing w:after="0"/>
              <w:rPr>
                <w:sz w:val="20"/>
                <w:szCs w:val="20"/>
                <w:color w:val="auto"/>
              </w:rPr>
            </w:pPr>
            <w:r>
              <w:rPr>
                <w:rFonts w:ascii="Arial" w:cs="Arial" w:eastAsia="Arial" w:hAnsi="Arial"/>
                <w:sz w:val="18"/>
                <w:szCs w:val="18"/>
                <w:b w:val="1"/>
                <w:bCs w:val="1"/>
                <w:color w:val="auto"/>
                <w:w w:val="89"/>
              </w:rPr>
              <w:t>Table of Contents</w:t>
            </w:r>
          </w:p>
        </w:tc>
        <w:tc>
          <w:tcPr>
            <w:tcW w:w="360" w:type="dxa"/>
            <w:vAlign w:val="bottom"/>
          </w:tcPr>
          <w:p>
            <w:pPr>
              <w:spacing w:after="0"/>
              <w:rPr>
                <w:sz w:val="24"/>
                <w:szCs w:val="24"/>
                <w:color w:val="auto"/>
              </w:rPr>
            </w:pPr>
          </w:p>
        </w:tc>
      </w:tr>
      <w:tr>
        <w:trPr>
          <w:trHeight w:val="405"/>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40" w:type="dxa"/>
            <w:vAlign w:val="bottom"/>
            <w:gridSpan w:val="3"/>
          </w:tcPr>
          <w:p>
            <w:pPr>
              <w:spacing w:after="0"/>
              <w:rPr>
                <w:sz w:val="24"/>
                <w:szCs w:val="24"/>
                <w:color w:val="auto"/>
              </w:rPr>
            </w:pPr>
          </w:p>
        </w:tc>
        <w:tc>
          <w:tcPr>
            <w:tcW w:w="7600" w:type="dxa"/>
            <w:vAlign w:val="bottom"/>
            <w:gridSpan w:val="23"/>
          </w:tcPr>
          <w:p>
            <w:pPr>
              <w:spacing w:after="0"/>
              <w:rPr>
                <w:sz w:val="20"/>
                <w:szCs w:val="20"/>
                <w:color w:val="auto"/>
              </w:rPr>
            </w:pPr>
            <w:r>
              <w:rPr>
                <w:rFonts w:ascii="Arial" w:cs="Arial" w:eastAsia="Arial" w:hAnsi="Arial"/>
                <w:sz w:val="18"/>
                <w:szCs w:val="18"/>
                <w:color w:val="0000EE"/>
              </w:rPr>
              <w:t>Financial Statements</w:t>
            </w:r>
            <w:r>
              <w:rPr>
                <w:rFonts w:ascii="Arial" w:cs="Arial" w:eastAsia="Arial" w:hAnsi="Arial"/>
                <w:sz w:val="18"/>
                <w:szCs w:val="18"/>
                <w:color w:val="000000"/>
              </w:rPr>
              <w:t>:</w:t>
            </w:r>
          </w:p>
        </w:tc>
        <w:tc>
          <w:tcPr>
            <w:tcW w:w="36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Balance Sheets as of July 31, 2021 (Unaudited) and April 30, 2021</w:t>
              </w:r>
            </w:hyperlink>
          </w:p>
        </w:tc>
        <w:tc>
          <w:tcPr>
            <w:tcW w:w="1600" w:type="dxa"/>
            <w:vAlign w:val="bottom"/>
            <w:gridSpan w:val="6"/>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2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months ended July 31, 2021 (Unaudited)</w:t>
              </w:r>
            </w:hyperlink>
          </w:p>
        </w:tc>
        <w:tc>
          <w:tcPr>
            <w:tcW w:w="700" w:type="dxa"/>
            <w:vAlign w:val="bottom"/>
            <w:gridSpan w:val="3"/>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and August 1, 2020 (Unaudited)</w:t>
              </w:r>
            </w:hyperlink>
          </w:p>
        </w:tc>
        <w:tc>
          <w:tcPr>
            <w:tcW w:w="36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20" w:type="dxa"/>
            <w:vAlign w:val="bottom"/>
            <w:gridSpan w:val="22"/>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Statements of Comprehensive (Loss) Income for the three months ended July 31, 2021</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7040" w:type="dxa"/>
            <w:vAlign w:val="bottom"/>
            <w:tcBorders>
              <w:top w:val="single" w:sz="8" w:color="0000EE"/>
            </w:tcBorders>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and August 1, 2020 (Unaudited)</w:t>
              </w:r>
            </w:hyperlink>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Stockholders’ Equity for the three months ended July 31, 2021</w:t>
              </w:r>
            </w:hyperlink>
          </w:p>
        </w:tc>
        <w:tc>
          <w:tcPr>
            <w:tcW w:w="880" w:type="dxa"/>
            <w:vAlign w:val="bottom"/>
            <w:gridSpan w:val="4"/>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and August 1, 2020 (Unaudited)</w:t>
              </w:r>
            </w:hyperlink>
          </w:p>
        </w:tc>
        <w:tc>
          <w:tcPr>
            <w:tcW w:w="4000" w:type="dxa"/>
            <w:vAlign w:val="bottom"/>
            <w:gridSpan w:val="10"/>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8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for the three months ended July 31, 2021 (Unaudited) and</w:t>
              </w:r>
            </w:hyperlink>
          </w:p>
        </w:tc>
        <w:tc>
          <w:tcPr>
            <w:tcW w:w="340" w:type="dxa"/>
            <w:vAlign w:val="bottom"/>
            <w:gridSpan w:val="2"/>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August 1, 2020 (Unaudited)</w:t>
              </w:r>
            </w:hyperlink>
          </w:p>
        </w:tc>
        <w:tc>
          <w:tcPr>
            <w:tcW w:w="5220" w:type="dxa"/>
            <w:vAlign w:val="bottom"/>
            <w:gridSpan w:val="13"/>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 (Unaudited)</w:t>
              </w:r>
            </w:hyperlink>
          </w:p>
        </w:tc>
        <w:tc>
          <w:tcPr>
            <w:tcW w:w="3540" w:type="dxa"/>
            <w:vAlign w:val="bottom"/>
            <w:gridSpan w:val="9"/>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2.</w:t>
              </w:r>
            </w:hyperlink>
          </w:p>
        </w:tc>
        <w:tc>
          <w:tcPr>
            <w:tcW w:w="440" w:type="dxa"/>
            <w:vAlign w:val="bottom"/>
            <w:gridSpan w:val="3"/>
          </w:tcPr>
          <w:p>
            <w:pPr>
              <w:spacing w:after="0"/>
              <w:rPr>
                <w:sz w:val="19"/>
                <w:szCs w:val="19"/>
                <w:color w:val="auto"/>
              </w:rPr>
            </w:pP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Management’s Discussion and Analysis of Financial Condition and Results of Operations</w:t>
              </w:r>
            </w:hyperlink>
          </w:p>
        </w:tc>
        <w:tc>
          <w:tcPr>
            <w:tcW w:w="1140" w:type="dxa"/>
            <w:vAlign w:val="bottom"/>
            <w:gridSpan w:val="5"/>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3.</w:t>
              </w:r>
            </w:hyperlink>
          </w:p>
        </w:tc>
        <w:tc>
          <w:tcPr>
            <w:tcW w:w="440" w:type="dxa"/>
            <w:vAlign w:val="bottom"/>
            <w:gridSpan w:val="3"/>
          </w:tcPr>
          <w:p>
            <w:pPr>
              <w:spacing w:after="0"/>
              <w:rPr>
                <w:sz w:val="19"/>
                <w:szCs w:val="19"/>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3240" w:type="dxa"/>
            <w:vAlign w:val="bottom"/>
            <w:gridSpan w:val="7"/>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520" w:type="dxa"/>
            <w:vAlign w:val="bottom"/>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4.</w:t>
              </w:r>
            </w:hyperlink>
          </w:p>
        </w:tc>
        <w:tc>
          <w:tcPr>
            <w:tcW w:w="440" w:type="dxa"/>
            <w:vAlign w:val="bottom"/>
            <w:gridSpan w:val="3"/>
          </w:tcPr>
          <w:p>
            <w:pPr>
              <w:spacing w:after="0"/>
              <w:rPr>
                <w:sz w:val="19"/>
                <w:szCs w:val="19"/>
                <w:color w:val="auto"/>
              </w:rPr>
            </w:pPr>
          </w:p>
        </w:tc>
        <w:tc>
          <w:tcPr>
            <w:tcW w:w="7600" w:type="dxa"/>
            <w:vAlign w:val="bottom"/>
            <w:gridSpan w:val="2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278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 OTHER INFORMATION</w:t>
              </w:r>
            </w:hyperlink>
          </w:p>
        </w:tc>
        <w:tc>
          <w:tcPr>
            <w:tcW w:w="5780" w:type="dxa"/>
            <w:vAlign w:val="bottom"/>
            <w:gridSpan w:val="15"/>
          </w:tcPr>
          <w:p>
            <w:pPr>
              <w:spacing w:after="0"/>
              <w:rPr>
                <w:sz w:val="24"/>
                <w:szCs w:val="24"/>
                <w:color w:val="auto"/>
              </w:rPr>
            </w:pPr>
          </w:p>
        </w:tc>
        <w:tc>
          <w:tcPr>
            <w:tcW w:w="360" w:type="dxa"/>
            <w:vAlign w:val="bottom"/>
          </w:tcPr>
          <w:p>
            <w:pPr>
              <w:spacing w:after="0"/>
              <w:rPr>
                <w:sz w:val="24"/>
                <w:szCs w:val="24"/>
                <w:color w:val="auto"/>
              </w:rPr>
            </w:pPr>
          </w:p>
        </w:tc>
      </w:tr>
      <w:tr>
        <w:trPr>
          <w:trHeight w:val="466"/>
        </w:trPr>
        <w:tc>
          <w:tcPr>
            <w:tcW w:w="520" w:type="dxa"/>
            <w:vAlign w:val="bottom"/>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1.</w:t>
              </w:r>
            </w:hyperlink>
          </w:p>
        </w:tc>
        <w:tc>
          <w:tcPr>
            <w:tcW w:w="440" w:type="dxa"/>
            <w:vAlign w:val="bottom"/>
            <w:gridSpan w:val="3"/>
          </w:tcPr>
          <w:p>
            <w:pPr>
              <w:spacing w:after="0"/>
              <w:rPr>
                <w:sz w:val="24"/>
                <w:szCs w:val="24"/>
                <w:color w:val="auto"/>
              </w:rPr>
            </w:pPr>
          </w:p>
        </w:tc>
        <w:tc>
          <w:tcPr>
            <w:tcW w:w="7600" w:type="dxa"/>
            <w:vAlign w:val="bottom"/>
            <w:gridSpan w:val="2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1A.</w:t>
              </w:r>
            </w:hyperlink>
          </w:p>
        </w:tc>
        <w:tc>
          <w:tcPr>
            <w:tcW w:w="7600" w:type="dxa"/>
            <w:vAlign w:val="bottom"/>
            <w:gridSpan w:val="2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2.</w:t>
              </w:r>
            </w:hyperlink>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7600" w:type="dxa"/>
            <w:vAlign w:val="bottom"/>
            <w:gridSpan w:val="2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3.</w:t>
              </w:r>
            </w:hyperlink>
          </w:p>
        </w:tc>
        <w:tc>
          <w:tcPr>
            <w:tcW w:w="440" w:type="dxa"/>
            <w:vAlign w:val="bottom"/>
            <w:gridSpan w:val="3"/>
          </w:tcPr>
          <w:p>
            <w:pPr>
              <w:spacing w:after="0"/>
              <w:rPr>
                <w:sz w:val="19"/>
                <w:szCs w:val="19"/>
                <w:color w:val="auto"/>
              </w:rPr>
            </w:pP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6"/>
          </w:tcPr>
          <w:p>
            <w:pPr>
              <w:spacing w:after="0"/>
              <w:rPr>
                <w:sz w:val="19"/>
                <w:szCs w:val="19"/>
                <w:color w:val="auto"/>
              </w:rPr>
            </w:pPr>
          </w:p>
        </w:tc>
        <w:tc>
          <w:tcPr>
            <w:tcW w:w="3260" w:type="dxa"/>
            <w:vAlign w:val="bottom"/>
            <w:gridSpan w:val="8"/>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520" w:type="dxa"/>
            <w:vAlign w:val="bottom"/>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4.</w:t>
              </w:r>
            </w:hyperlink>
          </w:p>
        </w:tc>
        <w:tc>
          <w:tcPr>
            <w:tcW w:w="440" w:type="dxa"/>
            <w:vAlign w:val="bottom"/>
            <w:gridSpan w:val="3"/>
          </w:tcPr>
          <w:p>
            <w:pPr>
              <w:spacing w:after="0"/>
              <w:rPr>
                <w:sz w:val="19"/>
                <w:szCs w:val="19"/>
                <w:color w:val="auto"/>
              </w:rPr>
            </w:pPr>
          </w:p>
        </w:tc>
        <w:tc>
          <w:tcPr>
            <w:tcW w:w="7600" w:type="dxa"/>
            <w:vAlign w:val="bottom"/>
            <w:gridSpan w:val="2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5.</w:t>
              </w:r>
            </w:hyperlink>
          </w:p>
        </w:tc>
        <w:tc>
          <w:tcPr>
            <w:tcW w:w="440" w:type="dxa"/>
            <w:vAlign w:val="bottom"/>
            <w:gridSpan w:val="3"/>
          </w:tcPr>
          <w:p>
            <w:pPr>
              <w:spacing w:after="0"/>
              <w:rPr>
                <w:sz w:val="19"/>
                <w:szCs w:val="19"/>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5840" w:type="dxa"/>
            <w:vAlign w:val="bottom"/>
            <w:gridSpan w:val="16"/>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6.</w:t>
              </w:r>
            </w:hyperlink>
          </w:p>
        </w:tc>
        <w:tc>
          <w:tcPr>
            <w:tcW w:w="440" w:type="dxa"/>
            <w:vAlign w:val="bottom"/>
            <w:gridSpan w:val="3"/>
          </w:tcPr>
          <w:p>
            <w:pPr>
              <w:spacing w:after="0"/>
              <w:rPr>
                <w:sz w:val="19"/>
                <w:szCs w:val="19"/>
                <w:color w:val="auto"/>
              </w:rPr>
            </w:pP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Exhibits</w:t>
              </w:r>
            </w:hyperlink>
          </w:p>
        </w:tc>
        <w:tc>
          <w:tcPr>
            <w:tcW w:w="720" w:type="dxa"/>
            <w:vAlign w:val="bottom"/>
            <w:tcBorders>
              <w:top w:val="single" w:sz="8" w:color="0000EE"/>
            </w:tcBorders>
            <w:gridSpan w:val="2"/>
          </w:tcPr>
          <w:p>
            <w:pPr>
              <w:spacing w:after="0"/>
              <w:rPr>
                <w:sz w:val="19"/>
                <w:szCs w:val="19"/>
                <w:color w:val="auto"/>
              </w:rPr>
            </w:pPr>
          </w:p>
        </w:tc>
        <w:tc>
          <w:tcPr>
            <w:tcW w:w="6280" w:type="dxa"/>
            <w:vAlign w:val="bottom"/>
            <w:gridSpan w:val="18"/>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960" w:type="dxa"/>
            <w:vAlign w:val="bottom"/>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 FINANCIAL INFORMATION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AeroVironment,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July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678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6780" w:type="dxa"/>
            <w:vAlign w:val="bottom"/>
          </w:tcPr>
          <w:p>
            <w:pPr>
              <w:spacing w:after="0" w:line="175" w:lineRule="exact"/>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678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93,924</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4"/>
              <w:spacing w:after="0" w:line="175"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148,741</w:t>
            </w:r>
          </w:p>
        </w:tc>
        <w:tc>
          <w:tcPr>
            <w:tcW w:w="120" w:type="dxa"/>
            <w:vAlign w:val="bottom"/>
            <w:shd w:val="clear" w:color="auto" w:fill="CCEEFF"/>
          </w:tcPr>
          <w:p>
            <w:pPr>
              <w:spacing w:after="0"/>
              <w:rPr>
                <w:sz w:val="15"/>
                <w:szCs w:val="15"/>
                <w:color w:val="auto"/>
              </w:rPr>
            </w:pPr>
          </w:p>
        </w:tc>
      </w:tr>
      <w:tr>
        <w:trPr>
          <w:trHeight w:val="176"/>
        </w:trPr>
        <w:tc>
          <w:tcPr>
            <w:tcW w:w="6780" w:type="dxa"/>
            <w:vAlign w:val="bottom"/>
          </w:tcPr>
          <w:p>
            <w:pPr>
              <w:ind w:left="220"/>
              <w:spacing w:after="0" w:line="175" w:lineRule="exact"/>
              <w:rPr>
                <w:sz w:val="20"/>
                <w:szCs w:val="20"/>
                <w:color w:val="auto"/>
              </w:rPr>
            </w:pPr>
            <w:r>
              <w:rPr>
                <w:rFonts w:ascii="Arial" w:cs="Arial" w:eastAsia="Arial" w:hAnsi="Arial"/>
                <w:sz w:val="16"/>
                <w:szCs w:val="16"/>
                <w:color w:val="auto"/>
              </w:rPr>
              <w:t>Short-term investments</w:t>
            </w:r>
          </w:p>
        </w:tc>
        <w:tc>
          <w:tcPr>
            <w:tcW w:w="10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17,953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31,971</w:t>
            </w:r>
          </w:p>
        </w:tc>
        <w:tc>
          <w:tcPr>
            <w:tcW w:w="120" w:type="dxa"/>
            <w:vAlign w:val="bottom"/>
          </w:tcPr>
          <w:p>
            <w:pPr>
              <w:spacing w:after="0"/>
              <w:rPr>
                <w:sz w:val="15"/>
                <w:szCs w:val="15"/>
                <w:color w:val="auto"/>
              </w:rPr>
            </w:pPr>
          </w:p>
        </w:tc>
      </w:tr>
      <w:tr>
        <w:trPr>
          <w:trHeight w:val="152"/>
        </w:trPr>
        <w:tc>
          <w:tcPr>
            <w:tcW w:w="6780" w:type="dxa"/>
            <w:vAlign w:val="bottom"/>
            <w:shd w:val="clear" w:color="auto" w:fill="CCEEFF"/>
          </w:tcPr>
          <w:p>
            <w:pPr>
              <w:ind w:left="220"/>
              <w:spacing w:after="0" w:line="152" w:lineRule="exact"/>
              <w:rPr>
                <w:sz w:val="20"/>
                <w:szCs w:val="20"/>
                <w:color w:val="auto"/>
              </w:rPr>
            </w:pPr>
            <w:r>
              <w:rPr>
                <w:rFonts w:ascii="Arial" w:cs="Arial" w:eastAsia="Arial" w:hAnsi="Arial"/>
                <w:sz w:val="16"/>
                <w:szCs w:val="16"/>
                <w:color w:val="auto"/>
              </w:rPr>
              <w:t>Accounts receivable, net of allowance for doubtful accounts of $579 at July 31, 2021 and</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99"/>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$595 at April 30, 2021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45,764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62,647</w:t>
            </w:r>
          </w:p>
        </w:tc>
        <w:tc>
          <w:tcPr>
            <w:tcW w:w="120" w:type="dxa"/>
            <w:vAlign w:val="bottom"/>
            <w:shd w:val="clear" w:color="auto" w:fill="CCEEFF"/>
          </w:tcPr>
          <w:p>
            <w:pPr>
              <w:spacing w:after="0"/>
              <w:rPr>
                <w:sz w:val="17"/>
                <w:szCs w:val="17"/>
                <w:color w:val="auto"/>
              </w:rPr>
            </w:pPr>
          </w:p>
        </w:tc>
      </w:tr>
      <w:tr>
        <w:trPr>
          <w:trHeight w:val="152"/>
        </w:trPr>
        <w:tc>
          <w:tcPr>
            <w:tcW w:w="6780" w:type="dxa"/>
            <w:vAlign w:val="bottom"/>
          </w:tcPr>
          <w:p>
            <w:pPr>
              <w:ind w:left="220"/>
              <w:spacing w:after="0" w:line="152" w:lineRule="exact"/>
              <w:rPr>
                <w:sz w:val="20"/>
                <w:szCs w:val="20"/>
                <w:color w:val="auto"/>
              </w:rPr>
            </w:pPr>
            <w:r>
              <w:rPr>
                <w:rFonts w:ascii="Arial" w:cs="Arial" w:eastAsia="Arial" w:hAnsi="Arial"/>
                <w:sz w:val="16"/>
                <w:szCs w:val="16"/>
                <w:color w:val="auto"/>
                <w:w w:val="98"/>
              </w:rPr>
              <w:t>Unbilled receivables and retentions (inclusive of related party unbilled receivables of $5,568 at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99"/>
        </w:trPr>
        <w:tc>
          <w:tcPr>
            <w:tcW w:w="6780" w:type="dxa"/>
            <w:vAlign w:val="bottom"/>
          </w:tcPr>
          <w:p>
            <w:pPr>
              <w:ind w:left="220"/>
              <w:spacing w:after="0"/>
              <w:rPr>
                <w:sz w:val="20"/>
                <w:szCs w:val="20"/>
                <w:color w:val="auto"/>
              </w:rPr>
            </w:pPr>
            <w:r>
              <w:rPr>
                <w:rFonts w:ascii="Arial" w:cs="Arial" w:eastAsia="Arial" w:hAnsi="Arial"/>
                <w:sz w:val="16"/>
                <w:szCs w:val="16"/>
                <w:color w:val="auto"/>
              </w:rPr>
              <w:t>July 31, 2021 and $544 at April 30, 2021)</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87,131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71,632</w:t>
            </w:r>
          </w:p>
        </w:tc>
        <w:tc>
          <w:tcPr>
            <w:tcW w:w="120" w:type="dxa"/>
            <w:vAlign w:val="bottom"/>
          </w:tcPr>
          <w:p>
            <w:pPr>
              <w:spacing w:after="0"/>
              <w:rPr>
                <w:sz w:val="17"/>
                <w:szCs w:val="17"/>
                <w:color w:val="auto"/>
              </w:rPr>
            </w:pPr>
          </w:p>
        </w:tc>
      </w:tr>
      <w:tr>
        <w:trPr>
          <w:trHeight w:val="176"/>
        </w:trPr>
        <w:tc>
          <w:tcPr>
            <w:tcW w:w="678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Inventories</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84,852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71,646</w:t>
            </w:r>
          </w:p>
        </w:tc>
        <w:tc>
          <w:tcPr>
            <w:tcW w:w="120" w:type="dxa"/>
            <w:vAlign w:val="bottom"/>
            <w:shd w:val="clear" w:color="auto" w:fill="CCEEFF"/>
          </w:tcPr>
          <w:p>
            <w:pPr>
              <w:spacing w:after="0"/>
              <w:rPr>
                <w:sz w:val="15"/>
                <w:szCs w:val="15"/>
                <w:color w:val="auto"/>
              </w:rPr>
            </w:pPr>
          </w:p>
        </w:tc>
      </w:tr>
      <w:tr>
        <w:trPr>
          <w:trHeight w:val="175"/>
        </w:trPr>
        <w:tc>
          <w:tcPr>
            <w:tcW w:w="6780" w:type="dxa"/>
            <w:vAlign w:val="bottom"/>
          </w:tcPr>
          <w:p>
            <w:pPr>
              <w:ind w:left="220"/>
              <w:spacing w:after="0" w:line="175" w:lineRule="exact"/>
              <w:rPr>
                <w:sz w:val="20"/>
                <w:szCs w:val="20"/>
                <w:color w:val="auto"/>
              </w:rPr>
            </w:pPr>
            <w:r>
              <w:rPr>
                <w:rFonts w:ascii="Arial" w:cs="Arial" w:eastAsia="Arial" w:hAnsi="Arial"/>
                <w:sz w:val="16"/>
                <w:szCs w:val="16"/>
                <w:color w:val="auto"/>
              </w:rPr>
              <w:t>Income taxes receivable</w:t>
            </w:r>
          </w:p>
        </w:tc>
        <w:tc>
          <w:tcPr>
            <w:tcW w:w="10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w:t>
            </w:r>
          </w:p>
        </w:tc>
      </w:tr>
      <w:tr>
        <w:trPr>
          <w:trHeight w:val="176"/>
        </w:trPr>
        <w:tc>
          <w:tcPr>
            <w:tcW w:w="678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Prepaid expenses and other current assets</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14,972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15,001</w:t>
            </w:r>
          </w:p>
        </w:tc>
        <w:tc>
          <w:tcPr>
            <w:tcW w:w="120" w:type="dxa"/>
            <w:vAlign w:val="bottom"/>
            <w:shd w:val="clear" w:color="auto" w:fill="CCEEFF"/>
          </w:tcPr>
          <w:p>
            <w:pPr>
              <w:spacing w:after="0"/>
              <w:rPr>
                <w:sz w:val="15"/>
                <w:szCs w:val="15"/>
                <w:color w:val="auto"/>
              </w:rPr>
            </w:pPr>
          </w:p>
        </w:tc>
      </w:tr>
      <w:tr>
        <w:trPr>
          <w:trHeight w:val="169"/>
        </w:trPr>
        <w:tc>
          <w:tcPr>
            <w:tcW w:w="6780" w:type="dxa"/>
            <w:vAlign w:val="bottom"/>
          </w:tcPr>
          <w:p>
            <w:pPr>
              <w:spacing w:after="0" w:line="169" w:lineRule="exact"/>
              <w:rPr>
                <w:sz w:val="20"/>
                <w:szCs w:val="20"/>
                <w:color w:val="auto"/>
              </w:rPr>
            </w:pPr>
            <w:r>
              <w:rPr>
                <w:rFonts w:ascii="Arial" w:cs="Arial" w:eastAsia="Arial" w:hAnsi="Arial"/>
                <w:sz w:val="16"/>
                <w:szCs w:val="16"/>
                <w:color w:val="auto"/>
              </w:rPr>
              <w:t>Total current assets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344,918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401,638</w:t>
            </w:r>
          </w:p>
        </w:tc>
        <w:tc>
          <w:tcPr>
            <w:tcW w:w="120" w:type="dxa"/>
            <w:vAlign w:val="bottom"/>
          </w:tcPr>
          <w:p>
            <w:pPr>
              <w:spacing w:after="0"/>
              <w:rPr>
                <w:sz w:val="14"/>
                <w:szCs w:val="14"/>
                <w:color w:val="auto"/>
              </w:rPr>
            </w:pPr>
          </w:p>
        </w:tc>
      </w:tr>
      <w:tr>
        <w:trPr>
          <w:trHeight w:val="175"/>
        </w:trPr>
        <w:tc>
          <w:tcPr>
            <w:tcW w:w="6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Long-term investments</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10,165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12,156</w:t>
            </w:r>
          </w:p>
        </w:tc>
        <w:tc>
          <w:tcPr>
            <w:tcW w:w="120" w:type="dxa"/>
            <w:vAlign w:val="bottom"/>
            <w:shd w:val="clear" w:color="auto" w:fill="CCEEFF"/>
          </w:tcPr>
          <w:p>
            <w:pPr>
              <w:spacing w:after="0"/>
              <w:rPr>
                <w:sz w:val="15"/>
                <w:szCs w:val="15"/>
                <w:color w:val="auto"/>
              </w:rPr>
            </w:pPr>
          </w:p>
        </w:tc>
      </w:tr>
      <w:tr>
        <w:trPr>
          <w:trHeight w:val="176"/>
        </w:trPr>
        <w:tc>
          <w:tcPr>
            <w:tcW w:w="6780" w:type="dxa"/>
            <w:vAlign w:val="bottom"/>
          </w:tcPr>
          <w:p>
            <w:pPr>
              <w:spacing w:after="0" w:line="175" w:lineRule="exact"/>
              <w:rPr>
                <w:sz w:val="20"/>
                <w:szCs w:val="20"/>
                <w:color w:val="auto"/>
              </w:rPr>
            </w:pPr>
            <w:r>
              <w:rPr>
                <w:rFonts w:ascii="Arial" w:cs="Arial" w:eastAsia="Arial" w:hAnsi="Arial"/>
                <w:sz w:val="16"/>
                <w:szCs w:val="16"/>
                <w:color w:val="auto"/>
              </w:rPr>
              <w:t>Property and equipment, net</w:t>
            </w:r>
          </w:p>
        </w:tc>
        <w:tc>
          <w:tcPr>
            <w:tcW w:w="10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66,563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58,896</w:t>
            </w:r>
          </w:p>
        </w:tc>
        <w:tc>
          <w:tcPr>
            <w:tcW w:w="120" w:type="dxa"/>
            <w:vAlign w:val="bottom"/>
          </w:tcPr>
          <w:p>
            <w:pPr>
              <w:spacing w:after="0"/>
              <w:rPr>
                <w:sz w:val="15"/>
                <w:szCs w:val="15"/>
                <w:color w:val="auto"/>
              </w:rPr>
            </w:pPr>
          </w:p>
        </w:tc>
      </w:tr>
      <w:tr>
        <w:trPr>
          <w:trHeight w:val="175"/>
        </w:trPr>
        <w:tc>
          <w:tcPr>
            <w:tcW w:w="6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Operating lease right-of-use assets</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27,649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22,902</w:t>
            </w:r>
          </w:p>
        </w:tc>
        <w:tc>
          <w:tcPr>
            <w:tcW w:w="120" w:type="dxa"/>
            <w:vAlign w:val="bottom"/>
            <w:shd w:val="clear" w:color="auto" w:fill="CCEEFF"/>
          </w:tcPr>
          <w:p>
            <w:pPr>
              <w:spacing w:after="0"/>
              <w:rPr>
                <w:sz w:val="15"/>
                <w:szCs w:val="15"/>
                <w:color w:val="auto"/>
              </w:rPr>
            </w:pPr>
          </w:p>
        </w:tc>
      </w:tr>
      <w:tr>
        <w:trPr>
          <w:trHeight w:val="176"/>
        </w:trPr>
        <w:tc>
          <w:tcPr>
            <w:tcW w:w="6780" w:type="dxa"/>
            <w:vAlign w:val="bottom"/>
          </w:tcPr>
          <w:p>
            <w:pPr>
              <w:spacing w:after="0" w:line="175" w:lineRule="exact"/>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2,534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2,061</w:t>
            </w:r>
          </w:p>
        </w:tc>
        <w:tc>
          <w:tcPr>
            <w:tcW w:w="120" w:type="dxa"/>
            <w:vAlign w:val="bottom"/>
          </w:tcPr>
          <w:p>
            <w:pPr>
              <w:spacing w:after="0"/>
              <w:rPr>
                <w:sz w:val="15"/>
                <w:szCs w:val="15"/>
                <w:color w:val="auto"/>
              </w:rPr>
            </w:pPr>
          </w:p>
        </w:tc>
      </w:tr>
      <w:tr>
        <w:trPr>
          <w:trHeight w:val="176"/>
        </w:trPr>
        <w:tc>
          <w:tcPr>
            <w:tcW w:w="6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Intangibles, net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117,855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106,268</w:t>
            </w:r>
          </w:p>
        </w:tc>
        <w:tc>
          <w:tcPr>
            <w:tcW w:w="120" w:type="dxa"/>
            <w:vAlign w:val="bottom"/>
            <w:shd w:val="clear" w:color="auto" w:fill="CCEEFF"/>
          </w:tcPr>
          <w:p>
            <w:pPr>
              <w:spacing w:after="0"/>
              <w:rPr>
                <w:sz w:val="15"/>
                <w:szCs w:val="15"/>
                <w:color w:val="auto"/>
              </w:rPr>
            </w:pPr>
          </w:p>
        </w:tc>
      </w:tr>
      <w:tr>
        <w:trPr>
          <w:trHeight w:val="175"/>
        </w:trPr>
        <w:tc>
          <w:tcPr>
            <w:tcW w:w="6780" w:type="dxa"/>
            <w:vAlign w:val="bottom"/>
          </w:tcPr>
          <w:p>
            <w:pPr>
              <w:spacing w:after="0" w:line="175" w:lineRule="exact"/>
              <w:rPr>
                <w:sz w:val="20"/>
                <w:szCs w:val="20"/>
                <w:color w:val="auto"/>
              </w:rPr>
            </w:pPr>
            <w:r>
              <w:rPr>
                <w:rFonts w:ascii="Arial" w:cs="Arial" w:eastAsia="Arial" w:hAnsi="Arial"/>
                <w:sz w:val="16"/>
                <w:szCs w:val="16"/>
                <w:color w:val="auto"/>
              </w:rPr>
              <w:t>Goodwill</w:t>
            </w:r>
          </w:p>
        </w:tc>
        <w:tc>
          <w:tcPr>
            <w:tcW w:w="10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335,029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314,205</w:t>
            </w:r>
          </w:p>
        </w:tc>
        <w:tc>
          <w:tcPr>
            <w:tcW w:w="120" w:type="dxa"/>
            <w:vAlign w:val="bottom"/>
          </w:tcPr>
          <w:p>
            <w:pPr>
              <w:spacing w:after="0"/>
              <w:rPr>
                <w:sz w:val="15"/>
                <w:szCs w:val="15"/>
                <w:color w:val="auto"/>
              </w:rPr>
            </w:pPr>
          </w:p>
        </w:tc>
      </w:tr>
      <w:tr>
        <w:trPr>
          <w:trHeight w:val="176"/>
        </w:trPr>
        <w:tc>
          <w:tcPr>
            <w:tcW w:w="6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3,840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10,440</w:t>
            </w:r>
          </w:p>
        </w:tc>
        <w:tc>
          <w:tcPr>
            <w:tcW w:w="120" w:type="dxa"/>
            <w:vAlign w:val="bottom"/>
            <w:shd w:val="clear" w:color="auto" w:fill="CCEEFF"/>
          </w:tcPr>
          <w:p>
            <w:pPr>
              <w:spacing w:after="0"/>
              <w:rPr>
                <w:sz w:val="15"/>
                <w:szCs w:val="15"/>
                <w:color w:val="auto"/>
              </w:rPr>
            </w:pPr>
          </w:p>
        </w:tc>
      </w:tr>
      <w:tr>
        <w:trPr>
          <w:trHeight w:val="209"/>
        </w:trPr>
        <w:tc>
          <w:tcPr>
            <w:tcW w:w="678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color w:val="auto"/>
              </w:rPr>
              <w:t>908,553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928,566</w:t>
            </w:r>
          </w:p>
        </w:tc>
        <w:tc>
          <w:tcPr>
            <w:tcW w:w="120" w:type="dxa"/>
            <w:vAlign w:val="bottom"/>
            <w:tcBorders>
              <w:bottom w:val="single" w:sz="8" w:color="CCEEFF"/>
            </w:tcBorders>
          </w:tcPr>
          <w:p>
            <w:pPr>
              <w:spacing w:after="0"/>
              <w:rPr>
                <w:sz w:val="18"/>
                <w:szCs w:val="18"/>
                <w:color w:val="auto"/>
              </w:rPr>
            </w:pPr>
          </w:p>
        </w:tc>
      </w:tr>
      <w:tr>
        <w:trPr>
          <w:trHeight w:val="156"/>
        </w:trPr>
        <w:tc>
          <w:tcPr>
            <w:tcW w:w="6780" w:type="dxa"/>
            <w:vAlign w:val="bottom"/>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5"/>
        </w:trPr>
        <w:tc>
          <w:tcPr>
            <w:tcW w:w="6780" w:type="dxa"/>
            <w:vAlign w:val="bottom"/>
          </w:tcPr>
          <w:p>
            <w:pPr>
              <w:spacing w:after="0" w:line="175" w:lineRule="exact"/>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678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18,046</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4"/>
              <w:spacing w:after="0" w:line="175"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24,841</w:t>
            </w:r>
          </w:p>
        </w:tc>
        <w:tc>
          <w:tcPr>
            <w:tcW w:w="120" w:type="dxa"/>
            <w:vAlign w:val="bottom"/>
            <w:shd w:val="clear" w:color="auto" w:fill="CCEEFF"/>
          </w:tcPr>
          <w:p>
            <w:pPr>
              <w:spacing w:after="0"/>
              <w:rPr>
                <w:sz w:val="15"/>
                <w:szCs w:val="15"/>
                <w:color w:val="auto"/>
              </w:rPr>
            </w:pPr>
          </w:p>
        </w:tc>
      </w:tr>
      <w:tr>
        <w:trPr>
          <w:trHeight w:val="175"/>
        </w:trPr>
        <w:tc>
          <w:tcPr>
            <w:tcW w:w="6780" w:type="dxa"/>
            <w:vAlign w:val="bottom"/>
          </w:tcPr>
          <w:p>
            <w:pPr>
              <w:ind w:left="220"/>
              <w:spacing w:after="0" w:line="175" w:lineRule="exact"/>
              <w:rPr>
                <w:sz w:val="20"/>
                <w:szCs w:val="20"/>
                <w:color w:val="auto"/>
              </w:rPr>
            </w:pPr>
            <w:r>
              <w:rPr>
                <w:rFonts w:ascii="Arial" w:cs="Arial" w:eastAsia="Arial" w:hAnsi="Arial"/>
                <w:sz w:val="16"/>
                <w:szCs w:val="16"/>
                <w:color w:val="auto"/>
              </w:rPr>
              <w:t>Wages and related accruals</w:t>
            </w:r>
          </w:p>
        </w:tc>
        <w:tc>
          <w:tcPr>
            <w:tcW w:w="10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20,067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28,068</w:t>
            </w:r>
          </w:p>
        </w:tc>
        <w:tc>
          <w:tcPr>
            <w:tcW w:w="120" w:type="dxa"/>
            <w:vAlign w:val="bottom"/>
          </w:tcPr>
          <w:p>
            <w:pPr>
              <w:spacing w:after="0"/>
              <w:rPr>
                <w:sz w:val="15"/>
                <w:szCs w:val="15"/>
                <w:color w:val="auto"/>
              </w:rPr>
            </w:pPr>
          </w:p>
        </w:tc>
      </w:tr>
      <w:tr>
        <w:trPr>
          <w:trHeight w:val="175"/>
        </w:trPr>
        <w:tc>
          <w:tcPr>
            <w:tcW w:w="678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Customer advances</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9,117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7,183</w:t>
            </w:r>
          </w:p>
        </w:tc>
        <w:tc>
          <w:tcPr>
            <w:tcW w:w="120" w:type="dxa"/>
            <w:vAlign w:val="bottom"/>
            <w:shd w:val="clear" w:color="auto" w:fill="CCEEFF"/>
          </w:tcPr>
          <w:p>
            <w:pPr>
              <w:spacing w:after="0"/>
              <w:rPr>
                <w:sz w:val="15"/>
                <w:szCs w:val="15"/>
                <w:color w:val="auto"/>
              </w:rPr>
            </w:pPr>
          </w:p>
        </w:tc>
      </w:tr>
      <w:tr>
        <w:trPr>
          <w:trHeight w:val="175"/>
        </w:trPr>
        <w:tc>
          <w:tcPr>
            <w:tcW w:w="6780" w:type="dxa"/>
            <w:vAlign w:val="bottom"/>
          </w:tcPr>
          <w:p>
            <w:pPr>
              <w:ind w:left="220"/>
              <w:spacing w:after="0" w:line="175" w:lineRule="exact"/>
              <w:rPr>
                <w:sz w:val="20"/>
                <w:szCs w:val="20"/>
                <w:color w:val="auto"/>
              </w:rPr>
            </w:pPr>
            <w:r>
              <w:rPr>
                <w:rFonts w:ascii="Arial" w:cs="Arial" w:eastAsia="Arial" w:hAnsi="Arial"/>
                <w:sz w:val="16"/>
                <w:szCs w:val="16"/>
                <w:color w:val="auto"/>
              </w:rPr>
              <w:t>Current portion of long-term debt</w:t>
            </w:r>
          </w:p>
        </w:tc>
        <w:tc>
          <w:tcPr>
            <w:tcW w:w="10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10,000</w:t>
            </w:r>
          </w:p>
        </w:tc>
        <w:tc>
          <w:tcPr>
            <w:tcW w:w="120" w:type="dxa"/>
            <w:vAlign w:val="bottom"/>
          </w:tcPr>
          <w:p>
            <w:pPr>
              <w:spacing w:after="0"/>
              <w:rPr>
                <w:sz w:val="15"/>
                <w:szCs w:val="15"/>
                <w:color w:val="auto"/>
              </w:rPr>
            </w:pPr>
          </w:p>
        </w:tc>
      </w:tr>
      <w:tr>
        <w:trPr>
          <w:trHeight w:val="176"/>
        </w:trPr>
        <w:tc>
          <w:tcPr>
            <w:tcW w:w="678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Current operating lease liabilities</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6,747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6,154</w:t>
            </w:r>
          </w:p>
        </w:tc>
        <w:tc>
          <w:tcPr>
            <w:tcW w:w="120" w:type="dxa"/>
            <w:vAlign w:val="bottom"/>
            <w:shd w:val="clear" w:color="auto" w:fill="CCEEFF"/>
          </w:tcPr>
          <w:p>
            <w:pPr>
              <w:spacing w:after="0"/>
              <w:rPr>
                <w:sz w:val="15"/>
                <w:szCs w:val="15"/>
                <w:color w:val="auto"/>
              </w:rPr>
            </w:pPr>
          </w:p>
        </w:tc>
      </w:tr>
      <w:tr>
        <w:trPr>
          <w:trHeight w:val="175"/>
        </w:trPr>
        <w:tc>
          <w:tcPr>
            <w:tcW w:w="6780" w:type="dxa"/>
            <w:vAlign w:val="bottom"/>
          </w:tcPr>
          <w:p>
            <w:pPr>
              <w:ind w:left="220"/>
              <w:spacing w:after="0" w:line="175" w:lineRule="exact"/>
              <w:rPr>
                <w:sz w:val="20"/>
                <w:szCs w:val="20"/>
                <w:color w:val="auto"/>
              </w:rPr>
            </w:pPr>
            <w:r>
              <w:rPr>
                <w:rFonts w:ascii="Arial" w:cs="Arial" w:eastAsia="Arial" w:hAnsi="Arial"/>
                <w:sz w:val="16"/>
                <w:szCs w:val="16"/>
                <w:color w:val="auto"/>
              </w:rPr>
              <w:t>Income taxes payable</w:t>
            </w:r>
          </w:p>
        </w:tc>
        <w:tc>
          <w:tcPr>
            <w:tcW w:w="10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861</w:t>
            </w:r>
          </w:p>
        </w:tc>
        <w:tc>
          <w:tcPr>
            <w:tcW w:w="120" w:type="dxa"/>
            <w:vAlign w:val="bottom"/>
          </w:tcPr>
          <w:p>
            <w:pPr>
              <w:spacing w:after="0"/>
              <w:rPr>
                <w:sz w:val="15"/>
                <w:szCs w:val="15"/>
                <w:color w:val="auto"/>
              </w:rPr>
            </w:pPr>
          </w:p>
        </w:tc>
      </w:tr>
      <w:tr>
        <w:trPr>
          <w:trHeight w:val="175"/>
        </w:trPr>
        <w:tc>
          <w:tcPr>
            <w:tcW w:w="678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Other current liabilities</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18,134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19,078</w:t>
            </w:r>
          </w:p>
        </w:tc>
        <w:tc>
          <w:tcPr>
            <w:tcW w:w="120" w:type="dxa"/>
            <w:vAlign w:val="bottom"/>
            <w:shd w:val="clear" w:color="auto" w:fill="CCEEFF"/>
          </w:tcPr>
          <w:p>
            <w:pPr>
              <w:spacing w:after="0"/>
              <w:rPr>
                <w:sz w:val="15"/>
                <w:szCs w:val="15"/>
                <w:color w:val="auto"/>
              </w:rPr>
            </w:pPr>
          </w:p>
        </w:tc>
      </w:tr>
      <w:tr>
        <w:trPr>
          <w:trHeight w:val="169"/>
        </w:trPr>
        <w:tc>
          <w:tcPr>
            <w:tcW w:w="6780" w:type="dxa"/>
            <w:vAlign w:val="bottom"/>
          </w:tcPr>
          <w:p>
            <w:pPr>
              <w:spacing w:after="0" w:line="169" w:lineRule="exact"/>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4"/>
                <w:szCs w:val="14"/>
                <w:color w:val="auto"/>
              </w:rPr>
            </w:pPr>
          </w:p>
        </w:tc>
        <w:tc>
          <w:tcPr>
            <w:tcW w:w="8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82,660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6"/>
                <w:szCs w:val="16"/>
                <w:color w:val="auto"/>
              </w:rPr>
              <w:t>96,185</w:t>
            </w:r>
          </w:p>
        </w:tc>
        <w:tc>
          <w:tcPr>
            <w:tcW w:w="120" w:type="dxa"/>
            <w:vAlign w:val="bottom"/>
          </w:tcPr>
          <w:p>
            <w:pPr>
              <w:spacing w:after="0"/>
              <w:rPr>
                <w:sz w:val="14"/>
                <w:szCs w:val="14"/>
                <w:color w:val="auto"/>
              </w:rPr>
            </w:pPr>
          </w:p>
        </w:tc>
      </w:tr>
      <w:tr>
        <w:trPr>
          <w:trHeight w:val="176"/>
        </w:trPr>
        <w:tc>
          <w:tcPr>
            <w:tcW w:w="6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Long-term debt, net of current portion</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185,141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187,512</w:t>
            </w:r>
          </w:p>
        </w:tc>
        <w:tc>
          <w:tcPr>
            <w:tcW w:w="120" w:type="dxa"/>
            <w:vAlign w:val="bottom"/>
            <w:shd w:val="clear" w:color="auto" w:fill="CCEEFF"/>
          </w:tcPr>
          <w:p>
            <w:pPr>
              <w:spacing w:after="0"/>
              <w:rPr>
                <w:sz w:val="15"/>
                <w:szCs w:val="15"/>
                <w:color w:val="auto"/>
              </w:rPr>
            </w:pPr>
          </w:p>
        </w:tc>
      </w:tr>
      <w:tr>
        <w:trPr>
          <w:trHeight w:val="175"/>
        </w:trPr>
        <w:tc>
          <w:tcPr>
            <w:tcW w:w="6780" w:type="dxa"/>
            <w:vAlign w:val="bottom"/>
          </w:tcPr>
          <w:p>
            <w:pPr>
              <w:spacing w:after="0" w:line="175" w:lineRule="exact"/>
              <w:rPr>
                <w:sz w:val="20"/>
                <w:szCs w:val="20"/>
                <w:color w:val="auto"/>
              </w:rPr>
            </w:pPr>
            <w:r>
              <w:rPr>
                <w:rFonts w:ascii="Arial" w:cs="Arial" w:eastAsia="Arial" w:hAnsi="Arial"/>
                <w:sz w:val="16"/>
                <w:szCs w:val="16"/>
                <w:color w:val="auto"/>
              </w:rPr>
              <w:t>Non-current operating lease liabilities</w:t>
            </w:r>
          </w:p>
        </w:tc>
        <w:tc>
          <w:tcPr>
            <w:tcW w:w="10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23,048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19,103</w:t>
            </w:r>
          </w:p>
        </w:tc>
        <w:tc>
          <w:tcPr>
            <w:tcW w:w="120" w:type="dxa"/>
            <w:vAlign w:val="bottom"/>
          </w:tcPr>
          <w:p>
            <w:pPr>
              <w:spacing w:after="0"/>
              <w:rPr>
                <w:sz w:val="15"/>
                <w:szCs w:val="15"/>
                <w:color w:val="auto"/>
              </w:rPr>
            </w:pPr>
          </w:p>
        </w:tc>
      </w:tr>
      <w:tr>
        <w:trPr>
          <w:trHeight w:val="175"/>
        </w:trPr>
        <w:tc>
          <w:tcPr>
            <w:tcW w:w="6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Other non-current liabilities</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10,336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10,141</w:t>
            </w:r>
          </w:p>
        </w:tc>
        <w:tc>
          <w:tcPr>
            <w:tcW w:w="120" w:type="dxa"/>
            <w:vAlign w:val="bottom"/>
            <w:shd w:val="clear" w:color="auto" w:fill="CCEEFF"/>
          </w:tcPr>
          <w:p>
            <w:pPr>
              <w:spacing w:after="0"/>
              <w:rPr>
                <w:sz w:val="15"/>
                <w:szCs w:val="15"/>
                <w:color w:val="auto"/>
              </w:rPr>
            </w:pPr>
          </w:p>
        </w:tc>
      </w:tr>
      <w:tr>
        <w:trPr>
          <w:trHeight w:val="175"/>
        </w:trPr>
        <w:tc>
          <w:tcPr>
            <w:tcW w:w="6780" w:type="dxa"/>
            <w:vAlign w:val="bottom"/>
          </w:tcPr>
          <w:p>
            <w:pPr>
              <w:spacing w:after="0" w:line="175" w:lineRule="exact"/>
              <w:rPr>
                <w:sz w:val="20"/>
                <w:szCs w:val="20"/>
                <w:color w:val="auto"/>
              </w:rPr>
            </w:pPr>
            <w:r>
              <w:rPr>
                <w:rFonts w:ascii="Arial" w:cs="Arial" w:eastAsia="Arial" w:hAnsi="Arial"/>
                <w:sz w:val="16"/>
                <w:szCs w:val="16"/>
                <w:color w:val="auto"/>
              </w:rPr>
              <w:t>Liability for uncertain tax positions</w:t>
            </w:r>
          </w:p>
        </w:tc>
        <w:tc>
          <w:tcPr>
            <w:tcW w:w="10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3,518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3,518</w:t>
            </w:r>
          </w:p>
        </w:tc>
        <w:tc>
          <w:tcPr>
            <w:tcW w:w="120" w:type="dxa"/>
            <w:vAlign w:val="bottom"/>
          </w:tcPr>
          <w:p>
            <w:pPr>
              <w:spacing w:after="0"/>
              <w:rPr>
                <w:sz w:val="15"/>
                <w:szCs w:val="15"/>
                <w:color w:val="auto"/>
              </w:rPr>
            </w:pPr>
          </w:p>
        </w:tc>
      </w:tr>
      <w:tr>
        <w:trPr>
          <w:trHeight w:val="175"/>
        </w:trPr>
        <w:tc>
          <w:tcPr>
            <w:tcW w:w="6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5,533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line="175" w:lineRule="exact"/>
              <w:rPr>
                <w:sz w:val="20"/>
                <w:szCs w:val="20"/>
                <w:color w:val="auto"/>
              </w:rPr>
            </w:pPr>
            <w:r>
              <w:rPr>
                <w:rFonts w:ascii="Arial" w:cs="Arial" w:eastAsia="Arial" w:hAnsi="Arial"/>
                <w:sz w:val="16"/>
                <w:szCs w:val="16"/>
                <w:color w:val="auto"/>
              </w:rPr>
              <w:t>—</w:t>
            </w:r>
          </w:p>
        </w:tc>
      </w:tr>
      <w:tr>
        <w:trPr>
          <w:trHeight w:val="175"/>
        </w:trPr>
        <w:tc>
          <w:tcPr>
            <w:tcW w:w="6780" w:type="dxa"/>
            <w:vAlign w:val="bottom"/>
          </w:tcPr>
          <w:p>
            <w:pPr>
              <w:spacing w:after="0" w:line="175" w:lineRule="exact"/>
              <w:rPr>
                <w:sz w:val="20"/>
                <w:szCs w:val="20"/>
                <w:color w:val="auto"/>
              </w:rPr>
            </w:pPr>
            <w:r>
              <w:rPr>
                <w:rFonts w:ascii="Arial" w:cs="Arial" w:eastAsia="Arial" w:hAnsi="Arial"/>
                <w:sz w:val="16"/>
                <w:szCs w:val="16"/>
                <w:color w:val="auto"/>
              </w:rPr>
              <w:t>Commitments and contingencies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6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5"/>
        </w:trPr>
        <w:tc>
          <w:tcPr>
            <w:tcW w:w="6780" w:type="dxa"/>
            <w:vAlign w:val="bottom"/>
          </w:tcPr>
          <w:p>
            <w:pPr>
              <w:ind w:left="220"/>
              <w:spacing w:after="0" w:line="175" w:lineRule="exact"/>
              <w:rPr>
                <w:sz w:val="20"/>
                <w:szCs w:val="20"/>
                <w:color w:val="auto"/>
              </w:rPr>
            </w:pPr>
            <w:r>
              <w:rPr>
                <w:rFonts w:ascii="Arial" w:cs="Arial" w:eastAsia="Arial" w:hAnsi="Arial"/>
                <w:sz w:val="16"/>
                <w:szCs w:val="16"/>
                <w:color w:val="auto"/>
              </w:rPr>
              <w:t>Preferred stock, $0.0001 par value: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6780" w:type="dxa"/>
            <w:vAlign w:val="bottom"/>
            <w:shd w:val="clear" w:color="auto" w:fill="CCEEFF"/>
          </w:tcPr>
          <w:p>
            <w:pPr>
              <w:ind w:left="340"/>
              <w:spacing w:after="0" w:line="175" w:lineRule="exact"/>
              <w:rPr>
                <w:sz w:val="20"/>
                <w:szCs w:val="20"/>
                <w:color w:val="auto"/>
              </w:rPr>
            </w:pPr>
            <w:r>
              <w:rPr>
                <w:rFonts w:ascii="Arial" w:cs="Arial" w:eastAsia="Arial" w:hAnsi="Arial"/>
                <w:sz w:val="16"/>
                <w:szCs w:val="16"/>
                <w:color w:val="auto"/>
                <w:w w:val="94"/>
              </w:rPr>
              <w:t>Authorized shares—10,000,000; none issued or outstanding at July 31, 2021 and April 30, 2021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line="175"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line="175" w:lineRule="exact"/>
              <w:rPr>
                <w:sz w:val="20"/>
                <w:szCs w:val="20"/>
                <w:color w:val="auto"/>
              </w:rPr>
            </w:pPr>
            <w:r>
              <w:rPr>
                <w:rFonts w:ascii="Arial" w:cs="Arial" w:eastAsia="Arial" w:hAnsi="Arial"/>
                <w:sz w:val="16"/>
                <w:szCs w:val="16"/>
                <w:color w:val="auto"/>
              </w:rPr>
              <w:t>—</w:t>
            </w:r>
          </w:p>
        </w:tc>
      </w:tr>
      <w:tr>
        <w:trPr>
          <w:trHeight w:val="175"/>
        </w:trPr>
        <w:tc>
          <w:tcPr>
            <w:tcW w:w="6780" w:type="dxa"/>
            <w:vAlign w:val="bottom"/>
          </w:tcPr>
          <w:p>
            <w:pPr>
              <w:ind w:left="220"/>
              <w:spacing w:after="0" w:line="175" w:lineRule="exact"/>
              <w:rPr>
                <w:sz w:val="20"/>
                <w:szCs w:val="20"/>
                <w:color w:val="auto"/>
              </w:rPr>
            </w:pPr>
            <w:r>
              <w:rPr>
                <w:rFonts w:ascii="Arial" w:cs="Arial" w:eastAsia="Arial" w:hAnsi="Arial"/>
                <w:sz w:val="16"/>
                <w:szCs w:val="16"/>
                <w:color w:val="auto"/>
              </w:rPr>
              <w:t>Common stock, $0.0001 par value: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6780" w:type="dxa"/>
            <w:vAlign w:val="bottom"/>
            <w:shd w:val="clear" w:color="auto" w:fill="CCEEFF"/>
          </w:tcPr>
          <w:p>
            <w:pPr>
              <w:ind w:left="340"/>
              <w:spacing w:after="0" w:line="175" w:lineRule="exact"/>
              <w:rPr>
                <w:sz w:val="20"/>
                <w:szCs w:val="20"/>
                <w:color w:val="auto"/>
              </w:rPr>
            </w:pPr>
            <w:r>
              <w:rPr>
                <w:rFonts w:ascii="Arial" w:cs="Arial" w:eastAsia="Arial" w:hAnsi="Arial"/>
                <w:sz w:val="16"/>
                <w:szCs w:val="16"/>
                <w:color w:val="auto"/>
              </w:rPr>
              <w:t>Authorized shares—100,000,000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52"/>
        </w:trPr>
        <w:tc>
          <w:tcPr>
            <w:tcW w:w="6780" w:type="dxa"/>
            <w:vAlign w:val="bottom"/>
          </w:tcPr>
          <w:p>
            <w:pPr>
              <w:ind w:left="340"/>
              <w:spacing w:after="0" w:line="152" w:lineRule="exact"/>
              <w:rPr>
                <w:sz w:val="20"/>
                <w:szCs w:val="20"/>
                <w:color w:val="auto"/>
              </w:rPr>
            </w:pPr>
            <w:r>
              <w:rPr>
                <w:rFonts w:ascii="Arial" w:cs="Arial" w:eastAsia="Arial" w:hAnsi="Arial"/>
                <w:sz w:val="16"/>
                <w:szCs w:val="16"/>
                <w:color w:val="auto"/>
                <w:w w:val="95"/>
              </w:rPr>
              <w:t>Issued and outstanding shares—24,811,802 shares at July 31, 2021 and 24,777,295 shares at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99"/>
        </w:trPr>
        <w:tc>
          <w:tcPr>
            <w:tcW w:w="6780" w:type="dxa"/>
            <w:vAlign w:val="bottom"/>
          </w:tcPr>
          <w:p>
            <w:pPr>
              <w:ind w:left="340"/>
              <w:spacing w:after="0"/>
              <w:rPr>
                <w:sz w:val="20"/>
                <w:szCs w:val="20"/>
                <w:color w:val="auto"/>
              </w:rPr>
            </w:pPr>
            <w:r>
              <w:rPr>
                <w:rFonts w:ascii="Arial" w:cs="Arial" w:eastAsia="Arial" w:hAnsi="Arial"/>
                <w:sz w:val="16"/>
                <w:szCs w:val="16"/>
                <w:color w:val="auto"/>
              </w:rPr>
              <w:t>April 30, 2021</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r>
      <w:tr>
        <w:trPr>
          <w:trHeight w:val="175"/>
        </w:trPr>
        <w:tc>
          <w:tcPr>
            <w:tcW w:w="678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261,192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260,327</w:t>
            </w:r>
          </w:p>
        </w:tc>
        <w:tc>
          <w:tcPr>
            <w:tcW w:w="120" w:type="dxa"/>
            <w:vAlign w:val="bottom"/>
            <w:shd w:val="clear" w:color="auto" w:fill="CCEEFF"/>
          </w:tcPr>
          <w:p>
            <w:pPr>
              <w:spacing w:after="0"/>
              <w:rPr>
                <w:sz w:val="15"/>
                <w:szCs w:val="15"/>
                <w:color w:val="auto"/>
              </w:rPr>
            </w:pPr>
          </w:p>
        </w:tc>
      </w:tr>
      <w:tr>
        <w:trPr>
          <w:trHeight w:val="175"/>
        </w:trPr>
        <w:tc>
          <w:tcPr>
            <w:tcW w:w="6780" w:type="dxa"/>
            <w:vAlign w:val="bottom"/>
          </w:tcPr>
          <w:p>
            <w:pPr>
              <w:ind w:left="220"/>
              <w:spacing w:after="0" w:line="175" w:lineRule="exact"/>
              <w:rPr>
                <w:sz w:val="20"/>
                <w:szCs w:val="20"/>
                <w:color w:val="auto"/>
              </w:rPr>
            </w:pPr>
            <w:r>
              <w:rPr>
                <w:rFonts w:ascii="Arial" w:cs="Arial" w:eastAsia="Arial" w:hAnsi="Arial"/>
                <w:sz w:val="16"/>
                <w:szCs w:val="16"/>
                <w:color w:val="auto"/>
              </w:rPr>
              <w:t>Accumulated other comprehensive (loss) income</w:t>
            </w:r>
          </w:p>
        </w:tc>
        <w:tc>
          <w:tcPr>
            <w:tcW w:w="100" w:type="dxa"/>
            <w:vAlign w:val="bottom"/>
          </w:tcPr>
          <w:p>
            <w:pPr>
              <w:spacing w:after="0"/>
              <w:rPr>
                <w:sz w:val="15"/>
                <w:szCs w:val="15"/>
                <w:color w:val="auto"/>
              </w:rPr>
            </w:pPr>
          </w:p>
        </w:tc>
        <w:tc>
          <w:tcPr>
            <w:tcW w:w="920" w:type="dxa"/>
            <w:vAlign w:val="bottom"/>
            <w:gridSpan w:val="3"/>
          </w:tcPr>
          <w:p>
            <w:pPr>
              <w:jc w:val="right"/>
              <w:ind w:right="100"/>
              <w:spacing w:after="0" w:line="175" w:lineRule="exact"/>
              <w:rPr>
                <w:sz w:val="20"/>
                <w:szCs w:val="20"/>
                <w:color w:val="auto"/>
              </w:rPr>
            </w:pPr>
            <w:r>
              <w:rPr>
                <w:rFonts w:ascii="Arial" w:cs="Arial" w:eastAsia="Arial" w:hAnsi="Arial"/>
                <w:sz w:val="16"/>
                <w:szCs w:val="16"/>
                <w:color w:val="auto"/>
              </w:rPr>
              <w:t>(394)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343</w:t>
            </w:r>
          </w:p>
        </w:tc>
        <w:tc>
          <w:tcPr>
            <w:tcW w:w="120" w:type="dxa"/>
            <w:vAlign w:val="bottom"/>
          </w:tcPr>
          <w:p>
            <w:pPr>
              <w:spacing w:after="0"/>
              <w:rPr>
                <w:sz w:val="15"/>
                <w:szCs w:val="15"/>
                <w:color w:val="auto"/>
              </w:rPr>
            </w:pPr>
          </w:p>
        </w:tc>
      </w:tr>
      <w:tr>
        <w:trPr>
          <w:trHeight w:val="175"/>
        </w:trPr>
        <w:tc>
          <w:tcPr>
            <w:tcW w:w="678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Retained earnings</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337,440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351,421</w:t>
            </w:r>
          </w:p>
        </w:tc>
        <w:tc>
          <w:tcPr>
            <w:tcW w:w="120" w:type="dxa"/>
            <w:vAlign w:val="bottom"/>
            <w:shd w:val="clear" w:color="auto" w:fill="CCEEFF"/>
          </w:tcPr>
          <w:p>
            <w:pPr>
              <w:spacing w:after="0"/>
              <w:rPr>
                <w:sz w:val="15"/>
                <w:szCs w:val="15"/>
                <w:color w:val="auto"/>
              </w:rPr>
            </w:pPr>
          </w:p>
        </w:tc>
      </w:tr>
      <w:tr>
        <w:trPr>
          <w:trHeight w:val="169"/>
        </w:trPr>
        <w:tc>
          <w:tcPr>
            <w:tcW w:w="6780" w:type="dxa"/>
            <w:vAlign w:val="bottom"/>
            <w:tcBorders>
              <w:bottom w:val="single" w:sz="8" w:color="CCEEFF"/>
            </w:tcBorders>
          </w:tcPr>
          <w:p>
            <w:pPr>
              <w:ind w:left="220"/>
              <w:spacing w:after="0" w:line="169" w:lineRule="exact"/>
              <w:rPr>
                <w:sz w:val="20"/>
                <w:szCs w:val="20"/>
                <w:color w:val="auto"/>
              </w:rPr>
            </w:pPr>
            <w:r>
              <w:rPr>
                <w:rFonts w:ascii="Arial" w:cs="Arial" w:eastAsia="Arial" w:hAnsi="Arial"/>
                <w:sz w:val="16"/>
                <w:szCs w:val="16"/>
                <w:color w:val="auto"/>
              </w:rPr>
              <w:t>Total AeroVironment, Inc. stockholders’ equity</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color w:val="auto"/>
              </w:rPr>
              <w:t>598,240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612,093</w:t>
            </w:r>
          </w:p>
        </w:tc>
        <w:tc>
          <w:tcPr>
            <w:tcW w:w="120" w:type="dxa"/>
            <w:vAlign w:val="bottom"/>
            <w:tcBorders>
              <w:bottom w:val="single" w:sz="8" w:color="CCEEFF"/>
            </w:tcBorders>
          </w:tcPr>
          <w:p>
            <w:pPr>
              <w:spacing w:after="0"/>
              <w:rPr>
                <w:sz w:val="14"/>
                <w:szCs w:val="14"/>
                <w:color w:val="auto"/>
              </w:rPr>
            </w:pPr>
          </w:p>
        </w:tc>
      </w:tr>
      <w:tr>
        <w:trPr>
          <w:trHeight w:val="169"/>
        </w:trPr>
        <w:tc>
          <w:tcPr>
            <w:tcW w:w="67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Noncontrolling interest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4"/>
                <w:szCs w:val="14"/>
                <w:color w:val="auto"/>
              </w:rPr>
            </w:pPr>
          </w:p>
        </w:tc>
      </w:tr>
      <w:tr>
        <w:trPr>
          <w:trHeight w:val="175"/>
        </w:trPr>
        <w:tc>
          <w:tcPr>
            <w:tcW w:w="678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Total equity</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598,317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612,107</w:t>
            </w:r>
          </w:p>
        </w:tc>
        <w:tc>
          <w:tcPr>
            <w:tcW w:w="120" w:type="dxa"/>
            <w:vAlign w:val="bottom"/>
            <w:tcBorders>
              <w:bottom w:val="single" w:sz="8" w:color="CCEEFF"/>
            </w:tcBorders>
          </w:tcPr>
          <w:p>
            <w:pPr>
              <w:spacing w:after="0"/>
              <w:rPr>
                <w:sz w:val="15"/>
                <w:szCs w:val="15"/>
                <w:color w:val="auto"/>
              </w:rPr>
            </w:pPr>
          </w:p>
        </w:tc>
      </w:tr>
      <w:tr>
        <w:trPr>
          <w:trHeight w:val="169"/>
        </w:trPr>
        <w:tc>
          <w:tcPr>
            <w:tcW w:w="678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Total liabilities and stockholders’ equity</w:t>
            </w: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908,553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928,566</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July 31,</w:t>
            </w: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40"/>
              <w:spacing w:after="0" w:line="119" w:lineRule="exact"/>
              <w:rPr>
                <w:sz w:val="20"/>
                <w:szCs w:val="20"/>
                <w:color w:val="auto"/>
              </w:rPr>
            </w:pPr>
            <w:r>
              <w:rPr>
                <w:rFonts w:ascii="Arial" w:cs="Arial" w:eastAsia="Arial" w:hAnsi="Arial"/>
                <w:sz w:val="13"/>
                <w:szCs w:val="13"/>
                <w:b w:val="1"/>
                <w:bCs w:val="1"/>
                <w:color w:val="auto"/>
              </w:rPr>
              <w:t>August 1,</w:t>
            </w:r>
          </w:p>
        </w:tc>
        <w:tc>
          <w:tcPr>
            <w:tcW w:w="280" w:type="dxa"/>
            <w:vAlign w:val="bottom"/>
          </w:tcPr>
          <w:p>
            <w:pPr>
              <w:spacing w:after="0"/>
              <w:rPr>
                <w:sz w:val="10"/>
                <w:szCs w:val="10"/>
                <w:color w:val="auto"/>
              </w:rPr>
            </w:pPr>
          </w:p>
        </w:tc>
      </w:tr>
      <w:tr>
        <w:trPr>
          <w:trHeight w:val="171"/>
        </w:trPr>
        <w:tc>
          <w:tcPr>
            <w:tcW w:w="6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r>
      <w:tr>
        <w:trPr>
          <w:trHeight w:val="196"/>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53,116</w:t>
            </w:r>
          </w:p>
        </w:tc>
        <w:tc>
          <w:tcPr>
            <w:tcW w:w="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58,357</w:t>
            </w:r>
          </w:p>
        </w:tc>
        <w:tc>
          <w:tcPr>
            <w:tcW w:w="280" w:type="dxa"/>
            <w:vAlign w:val="bottom"/>
          </w:tcPr>
          <w:p>
            <w:pPr>
              <w:spacing w:after="0"/>
              <w:rPr>
                <w:sz w:val="17"/>
                <w:szCs w:val="17"/>
                <w:color w:val="auto"/>
              </w:rPr>
            </w:pPr>
          </w:p>
        </w:tc>
      </w:tr>
      <w:tr>
        <w:trPr>
          <w:trHeight w:val="19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Contract services (inclusive of related party revenue of $10,352 and $16,386 for the three</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months ended July 31, 2021 and August 1, 2020, respectively)</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47,893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29,093</w:t>
            </w:r>
          </w:p>
        </w:tc>
        <w:tc>
          <w:tcPr>
            <w:tcW w:w="280" w:type="dxa"/>
            <w:vAlign w:val="bottom"/>
            <w:shd w:val="clear" w:color="auto" w:fill="CCEEFF"/>
          </w:tcPr>
          <w:p>
            <w:pPr>
              <w:spacing w:after="0"/>
              <w:rPr>
                <w:sz w:val="18"/>
                <w:szCs w:val="18"/>
                <w:color w:val="auto"/>
              </w:rPr>
            </w:pPr>
          </w:p>
        </w:tc>
      </w:tr>
      <w:tr>
        <w:trPr>
          <w:trHeight w:val="199"/>
        </w:trPr>
        <w:tc>
          <w:tcPr>
            <w:tcW w:w="6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101,009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87,450</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32,590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32,084</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39,696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19,955</w:t>
            </w:r>
          </w:p>
        </w:tc>
        <w:tc>
          <w:tcPr>
            <w:tcW w:w="280" w:type="dxa"/>
            <w:vAlign w:val="bottom"/>
            <w:shd w:val="clear" w:color="auto" w:fill="CCEEFF"/>
          </w:tcPr>
          <w:p>
            <w:pPr>
              <w:spacing w:after="0"/>
              <w:rPr>
                <w:sz w:val="17"/>
                <w:szCs w:val="17"/>
                <w:color w:val="auto"/>
              </w:rPr>
            </w:pPr>
          </w:p>
        </w:tc>
      </w:tr>
      <w:tr>
        <w:trPr>
          <w:trHeight w:val="196"/>
        </w:trPr>
        <w:tc>
          <w:tcPr>
            <w:tcW w:w="6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72,286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52,039</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20,526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26,273</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9,138</w:t>
            </w:r>
          </w:p>
        </w:tc>
        <w:tc>
          <w:tcPr>
            <w:tcW w:w="280" w:type="dxa"/>
            <w:vAlign w:val="bottom"/>
            <w:shd w:val="clear" w:color="auto" w:fill="CCEEFF"/>
          </w:tcPr>
          <w:p>
            <w:pPr>
              <w:spacing w:after="0"/>
              <w:rPr>
                <w:sz w:val="17"/>
                <w:szCs w:val="17"/>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28,723</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35,411</w:t>
            </w:r>
          </w:p>
        </w:tc>
        <w:tc>
          <w:tcPr>
            <w:tcW w:w="280" w:type="dxa"/>
            <w:vAlign w:val="bottom"/>
            <w:tcBorders>
              <w:bottom w:val="single" w:sz="8" w:color="CCEEFF"/>
            </w:tcBorders>
          </w:tcPr>
          <w:p>
            <w:pPr>
              <w:spacing w:after="0"/>
              <w:rPr>
                <w:sz w:val="17"/>
                <w:szCs w:val="17"/>
                <w:color w:val="auto"/>
              </w:rPr>
            </w:pPr>
          </w:p>
        </w:tc>
      </w:tr>
      <w:tr>
        <w:trPr>
          <w:trHeight w:val="196"/>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12,011</w:t>
            </w: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13,708</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11,103</w:t>
            </w:r>
          </w:p>
        </w:tc>
        <w:tc>
          <w:tcPr>
            <w:tcW w:w="280" w:type="dxa"/>
            <w:vAlign w:val="bottom"/>
            <w:tcBorders>
              <w:bottom w:val="single" w:sz="8" w:color="CCEEFF"/>
            </w:tcBorders>
          </w:tcPr>
          <w:p>
            <w:pPr>
              <w:spacing w:after="0"/>
              <w:rPr>
                <w:sz w:val="17"/>
                <w:szCs w:val="17"/>
                <w:color w:val="auto"/>
              </w:rPr>
            </w:pPr>
          </w:p>
        </w:tc>
      </w:tr>
      <w:tr>
        <w:trPr>
          <w:trHeight w:val="196"/>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(Loss) income from operations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12,297</w:t>
            </w: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Other (loss) income: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income, net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(1,275)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1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(346)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280" w:type="dxa"/>
            <w:vAlign w:val="bottom"/>
          </w:tcPr>
          <w:p>
            <w:pPr>
              <w:spacing w:after="0"/>
              <w:rPr>
                <w:sz w:val="17"/>
                <w:szCs w:val="17"/>
                <w:color w:val="auto"/>
              </w:rPr>
            </w:pPr>
          </w:p>
        </w:tc>
      </w:tr>
      <w:tr>
        <w:trPr>
          <w:trHeight w:val="196"/>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income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(13,734)</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12,538</w:t>
            </w:r>
          </w:p>
        </w:tc>
        <w:tc>
          <w:tcPr>
            <w:tcW w:w="280" w:type="dxa"/>
            <w:vAlign w:val="bottom"/>
            <w:tcBorders>
              <w:top w:val="single" w:sz="8" w:color="CCEEFF"/>
            </w:tcBorders>
            <w:shd w:val="clear" w:color="auto" w:fill="CCEEFF"/>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(Benefit from) provision for income taxes</w:t>
            </w:r>
          </w:p>
        </w:tc>
        <w:tc>
          <w:tcPr>
            <w:tcW w:w="1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(957)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1,207</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loss, net of tax</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(1,141)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(1,288)</w:t>
            </w:r>
          </w:p>
        </w:tc>
      </w:tr>
      <w:tr>
        <w:trPr>
          <w:trHeight w:val="196"/>
        </w:trPr>
        <w:tc>
          <w:tcPr>
            <w:tcW w:w="6440" w:type="dxa"/>
            <w:vAlign w:val="bottom"/>
          </w:tcPr>
          <w:p>
            <w:pPr>
              <w:spacing w:after="0"/>
              <w:rPr>
                <w:sz w:val="20"/>
                <w:szCs w:val="20"/>
                <w:color w:val="auto"/>
              </w:rPr>
            </w:pPr>
            <w:r>
              <w:rPr>
                <w:rFonts w:ascii="Arial" w:cs="Arial" w:eastAsia="Arial" w:hAnsi="Arial"/>
                <w:sz w:val="16"/>
                <w:szCs w:val="16"/>
                <w:color w:val="auto"/>
              </w:rPr>
              <w:t>Net (loss) income</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(13,918)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10,043</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noncontrolling interest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80" w:type="dxa"/>
            <w:vAlign w:val="bottom"/>
            <w:shd w:val="clear" w:color="auto" w:fill="CCEEFF"/>
          </w:tcPr>
          <w:p>
            <w:pPr>
              <w:spacing w:after="0"/>
              <w:rPr>
                <w:sz w:val="17"/>
                <w:szCs w:val="17"/>
                <w:color w:val="auto"/>
              </w:rPr>
            </w:pPr>
          </w:p>
        </w:tc>
      </w:tr>
      <w:tr>
        <w:trPr>
          <w:trHeight w:val="236"/>
        </w:trPr>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income attributable to AeroVironment, Inc.</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(13,981)</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10,080</w:t>
            </w:r>
          </w:p>
        </w:tc>
        <w:tc>
          <w:tcPr>
            <w:tcW w:w="280" w:type="dxa"/>
            <w:vAlign w:val="bottom"/>
            <w:tcBorders>
              <w:bottom w:val="single" w:sz="8" w:color="CCEEFF"/>
            </w:tcBorders>
          </w:tcPr>
          <w:p>
            <w:pPr>
              <w:spacing w:after="0"/>
              <w:rPr>
                <w:sz w:val="20"/>
                <w:szCs w:val="20"/>
                <w:color w:val="auto"/>
              </w:rPr>
            </w:pPr>
          </w:p>
        </w:tc>
      </w:tr>
      <w:tr>
        <w:trPr>
          <w:trHeight w:val="183"/>
        </w:trPr>
        <w:tc>
          <w:tcPr>
            <w:tcW w:w="64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(loss) income per share attributable to AeroVironment, Inc.</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03"/>
        </w:trPr>
        <w:tc>
          <w:tcPr>
            <w:tcW w:w="6440" w:type="dxa"/>
            <w:vAlign w:val="bottom"/>
          </w:tcPr>
          <w:p>
            <w:pPr>
              <w:ind w:left="340"/>
              <w:spacing w:after="0"/>
              <w:rPr>
                <w:sz w:val="20"/>
                <w:szCs w:val="20"/>
                <w:color w:val="auto"/>
              </w:rPr>
            </w:pPr>
            <w:r>
              <w:rPr>
                <w:rFonts w:ascii="Arial" w:cs="Arial" w:eastAsia="Arial" w:hAnsi="Arial"/>
                <w:sz w:val="16"/>
                <w:szCs w:val="16"/>
                <w:color w:val="auto"/>
              </w:rPr>
              <w:t>Basic</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(0.57)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0.42</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Weighted-average shares outstanding:</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24,620,180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23,893,001</w:t>
            </w:r>
          </w:p>
        </w:tc>
        <w:tc>
          <w:tcPr>
            <w:tcW w:w="280" w:type="dxa"/>
            <w:vAlign w:val="bottom"/>
            <w:shd w:val="clear" w:color="auto" w:fill="CCEEFF"/>
          </w:tcPr>
          <w:p>
            <w:pPr>
              <w:spacing w:after="0"/>
              <w:rPr>
                <w:sz w:val="17"/>
                <w:szCs w:val="17"/>
                <w:color w:val="auto"/>
              </w:rPr>
            </w:pPr>
          </w:p>
        </w:tc>
      </w:tr>
      <w:tr>
        <w:trPr>
          <w:trHeight w:val="206"/>
        </w:trPr>
        <w:tc>
          <w:tcPr>
            <w:tcW w:w="6440" w:type="dxa"/>
            <w:vAlign w:val="bottom"/>
          </w:tcPr>
          <w:p>
            <w:pPr>
              <w:ind w:left="34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24,620,180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24,186,228</w:t>
            </w:r>
          </w:p>
        </w:tc>
        <w:tc>
          <w:tcPr>
            <w:tcW w:w="280" w:type="dxa"/>
            <w:vAlign w:val="bottom"/>
          </w:tcPr>
          <w:p>
            <w:pPr>
              <w:spacing w:after="0"/>
              <w:rPr>
                <w:sz w:val="17"/>
                <w:szCs w:val="17"/>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5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July 31,</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August 1,</w:t>
            </w:r>
          </w:p>
        </w:tc>
        <w:tc>
          <w:tcPr>
            <w:tcW w:w="140" w:type="dxa"/>
            <w:vAlign w:val="bottom"/>
          </w:tcPr>
          <w:p>
            <w:pPr>
              <w:spacing w:after="0"/>
              <w:rPr>
                <w:sz w:val="10"/>
                <w:szCs w:val="10"/>
                <w:color w:val="auto"/>
              </w:rPr>
            </w:pPr>
          </w:p>
        </w:tc>
      </w:tr>
      <w:tr>
        <w:trPr>
          <w:trHeight w:val="171"/>
        </w:trPr>
        <w:tc>
          <w:tcPr>
            <w:tcW w:w="6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10,043</w:t>
            </w:r>
          </w:p>
        </w:tc>
        <w:tc>
          <w:tcPr>
            <w:tcW w:w="14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65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Unrealized loss on available-for-sale investments, net of deferred tax benefit of $0</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and $4 for the three months ended July 31, 2021 and August 1, 2020, respectively</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r>
      <w:tr>
        <w:trPr>
          <w:trHeight w:val="210"/>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 attributable to AeroVironment, Inc.</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For the three months ended July 31, 2021 and August 1, 2020 (Unaudited)</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48"/>
        </w:trPr>
        <w:tc>
          <w:tcPr>
            <w:tcW w:w="2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89"/>
              <w:spacing w:after="0"/>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880" w:type="dxa"/>
            <w:vAlign w:val="bottom"/>
          </w:tcPr>
          <w:p>
            <w:pPr>
              <w:jc w:val="center"/>
              <w:ind w:right="19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53"/>
        </w:trPr>
        <w:tc>
          <w:tcPr>
            <w:tcW w:w="2720" w:type="dxa"/>
            <w:vAlign w:val="bottom"/>
          </w:tcPr>
          <w:p>
            <w:pPr>
              <w:spacing w:after="0"/>
              <w:rPr>
                <w:sz w:val="13"/>
                <w:szCs w:val="13"/>
                <w:color w:val="auto"/>
              </w:rPr>
            </w:pPr>
          </w:p>
        </w:tc>
        <w:tc>
          <w:tcPr>
            <w:tcW w:w="108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85"/>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3"/>
                <w:szCs w:val="13"/>
                <w:color w:val="auto"/>
              </w:rPr>
            </w:pPr>
          </w:p>
        </w:tc>
        <w:tc>
          <w:tcPr>
            <w:tcW w:w="2740" w:type="dxa"/>
            <w:vAlign w:val="bottom"/>
            <w:gridSpan w:val="7"/>
          </w:tcPr>
          <w:p>
            <w:pPr>
              <w:spacing w:after="0"/>
              <w:rPr>
                <w:sz w:val="20"/>
                <w:szCs w:val="20"/>
                <w:color w:val="auto"/>
              </w:rPr>
            </w:pPr>
            <w:r>
              <w:rPr>
                <w:rFonts w:ascii="Arial" w:cs="Arial" w:eastAsia="Arial" w:hAnsi="Arial"/>
                <w:sz w:val="13"/>
                <w:szCs w:val="13"/>
                <w:b w:val="1"/>
                <w:bCs w:val="1"/>
                <w:color w:val="auto"/>
                <w:w w:val="91"/>
              </w:rPr>
              <w:t>Comprehensive AeroVironment, Inc. Controlling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28"/>
        </w:trPr>
        <w:tc>
          <w:tcPr>
            <w:tcW w:w="2720" w:type="dxa"/>
            <w:vAlign w:val="bottom"/>
          </w:tcPr>
          <w:p>
            <w:pPr>
              <w:spacing w:after="0"/>
              <w:rPr>
                <w:sz w:val="11"/>
                <w:szCs w:val="11"/>
                <w:color w:val="auto"/>
              </w:rPr>
            </w:pPr>
          </w:p>
        </w:tc>
        <w:tc>
          <w:tcPr>
            <w:tcW w:w="74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12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6"/>
              </w:rPr>
              <w:t>Income (Loss)</w:t>
            </w:r>
          </w:p>
        </w:tc>
        <w:tc>
          <w:tcPr>
            <w:tcW w:w="260" w:type="dxa"/>
            <w:vAlign w:val="bottom"/>
          </w:tcPr>
          <w:p>
            <w:pPr>
              <w:spacing w:after="0"/>
              <w:rPr>
                <w:sz w:val="11"/>
                <w:szCs w:val="11"/>
                <w:color w:val="auto"/>
              </w:rPr>
            </w:pPr>
          </w:p>
        </w:tc>
        <w:tc>
          <w:tcPr>
            <w:tcW w:w="880" w:type="dxa"/>
            <w:vAlign w:val="bottom"/>
          </w:tcPr>
          <w:p>
            <w:pPr>
              <w:jc w:val="center"/>
              <w:ind w:right="190"/>
              <w:spacing w:after="0" w:line="129"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1"/>
                <w:szCs w:val="11"/>
                <w:color w:val="auto"/>
              </w:rPr>
            </w:pPr>
          </w:p>
        </w:tc>
        <w:tc>
          <w:tcPr>
            <w:tcW w:w="66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2021</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24,777,295</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$ 260,327</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$ 351,421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w:t>
            </w:r>
          </w:p>
        </w:tc>
        <w:tc>
          <w:tcPr>
            <w:tcW w:w="260" w:type="dxa"/>
            <w:vAlign w:val="bottom"/>
            <w:tcBorders>
              <w:top w:val="single" w:sz="8" w:color="auto"/>
            </w:tcBorders>
            <w:shd w:val="clear" w:color="auto" w:fill="CCEEFF"/>
          </w:tcPr>
          <w:p>
            <w:pPr>
              <w:jc w:val="right"/>
              <w:ind w:right="58"/>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612,093</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612,107</w:t>
            </w:r>
          </w:p>
        </w:tc>
      </w:tr>
      <w:tr>
        <w:trPr>
          <w:trHeight w:val="149"/>
        </w:trPr>
        <w:tc>
          <w:tcPr>
            <w:tcW w:w="2720" w:type="dxa"/>
            <w:vAlign w:val="bottom"/>
          </w:tcPr>
          <w:p>
            <w:pPr>
              <w:ind w:left="220"/>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(13,981)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(13,981)</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9"/>
              </w:rPr>
              <w:t>(13,918)</w:t>
            </w:r>
          </w:p>
        </w:tc>
      </w:tr>
      <w:tr>
        <w:trPr>
          <w:trHeight w:val="148"/>
        </w:trPr>
        <w:tc>
          <w:tcPr>
            <w:tcW w:w="2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loss on investments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r>
      <w:tr>
        <w:trPr>
          <w:trHeight w:val="148"/>
        </w:trPr>
        <w:tc>
          <w:tcPr>
            <w:tcW w:w="272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(733)</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(733)</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(733)</w:t>
            </w:r>
          </w:p>
        </w:tc>
      </w:tr>
      <w:tr>
        <w:trPr>
          <w:trHeight w:val="148"/>
        </w:trPr>
        <w:tc>
          <w:tcPr>
            <w:tcW w:w="2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r>
      <w:tr>
        <w:trPr>
          <w:trHeight w:val="148"/>
        </w:trPr>
        <w:tc>
          <w:tcPr>
            <w:tcW w:w="272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48,588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72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 net</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7"/>
        </w:trPr>
        <w:tc>
          <w:tcPr>
            <w:tcW w:w="2720" w:type="dxa"/>
            <w:vAlign w:val="bottom"/>
          </w:tcPr>
          <w:p>
            <w:pPr>
              <w:ind w:left="220"/>
              <w:spacing w:after="0"/>
              <w:rPr>
                <w:sz w:val="20"/>
                <w:szCs w:val="20"/>
                <w:color w:val="auto"/>
              </w:rPr>
            </w:pPr>
            <w:r>
              <w:rPr>
                <w:rFonts w:ascii="Arial" w:cs="Arial" w:eastAsia="Arial" w:hAnsi="Arial"/>
                <w:sz w:val="14"/>
                <w:szCs w:val="14"/>
                <w:color w:val="auto"/>
              </w:rPr>
              <w:t>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(11,941)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(1,176)</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(1,176)</w:t>
            </w:r>
          </w:p>
        </w:tc>
      </w:tr>
      <w:tr>
        <w:trPr>
          <w:trHeight w:val="148"/>
        </w:trPr>
        <w:tc>
          <w:tcPr>
            <w:tcW w:w="2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1,922</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1,922</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1,922</w:t>
            </w:r>
          </w:p>
        </w:tc>
      </w:tr>
      <w:tr>
        <w:trPr>
          <w:trHeight w:val="142"/>
        </w:trPr>
        <w:tc>
          <w:tcPr>
            <w:tcW w:w="2720" w:type="dxa"/>
            <w:vAlign w:val="bottom"/>
          </w:tcPr>
          <w:p>
            <w:pPr>
              <w:spacing w:after="0" w:line="142" w:lineRule="exact"/>
              <w:rPr>
                <w:sz w:val="20"/>
                <w:szCs w:val="20"/>
                <w:color w:val="auto"/>
              </w:rPr>
            </w:pPr>
            <w:r>
              <w:rPr>
                <w:rFonts w:ascii="Arial" w:cs="Arial" w:eastAsia="Arial" w:hAnsi="Arial"/>
                <w:sz w:val="14"/>
                <w:szCs w:val="14"/>
                <w:color w:val="auto"/>
              </w:rPr>
              <w:t>Balance at July 31, 2021</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24,811,802</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$ 261,192</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$ 337,440</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gridSpan w:val="2"/>
          </w:tcPr>
          <w:p>
            <w:pPr>
              <w:jc w:val="right"/>
              <w:ind w:right="138"/>
              <w:spacing w:after="0" w:line="142" w:lineRule="exact"/>
              <w:rPr>
                <w:sz w:val="20"/>
                <w:szCs w:val="20"/>
                <w:color w:val="auto"/>
              </w:rPr>
            </w:pPr>
            <w:r>
              <w:rPr>
                <w:rFonts w:ascii="Arial" w:cs="Arial" w:eastAsia="Arial" w:hAnsi="Arial"/>
                <w:sz w:val="14"/>
                <w:szCs w:val="14"/>
                <w:color w:val="auto"/>
              </w:rPr>
              <w:t>(394)$</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598,240</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598,317</w:t>
            </w:r>
          </w:p>
        </w:tc>
      </w:tr>
      <w:tr>
        <w:trPr>
          <w:trHeight w:val="20"/>
        </w:trPr>
        <w:tc>
          <w:tcPr>
            <w:tcW w:w="2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54"/>
        </w:trPr>
        <w:tc>
          <w:tcPr>
            <w:tcW w:w="2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48"/>
        </w:trPr>
        <w:tc>
          <w:tcPr>
            <w:tcW w:w="2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89"/>
              <w:spacing w:after="0"/>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880" w:type="dxa"/>
            <w:vAlign w:val="bottom"/>
          </w:tcPr>
          <w:p>
            <w:pPr>
              <w:jc w:val="center"/>
              <w:ind w:right="19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53"/>
        </w:trPr>
        <w:tc>
          <w:tcPr>
            <w:tcW w:w="2720" w:type="dxa"/>
            <w:vAlign w:val="bottom"/>
          </w:tcPr>
          <w:p>
            <w:pPr>
              <w:spacing w:after="0"/>
              <w:rPr>
                <w:sz w:val="13"/>
                <w:szCs w:val="13"/>
                <w:color w:val="auto"/>
              </w:rPr>
            </w:pPr>
          </w:p>
        </w:tc>
        <w:tc>
          <w:tcPr>
            <w:tcW w:w="108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85"/>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3"/>
                <w:szCs w:val="13"/>
                <w:color w:val="auto"/>
              </w:rPr>
            </w:pPr>
          </w:p>
        </w:tc>
        <w:tc>
          <w:tcPr>
            <w:tcW w:w="2740" w:type="dxa"/>
            <w:vAlign w:val="bottom"/>
            <w:gridSpan w:val="7"/>
          </w:tcPr>
          <w:p>
            <w:pPr>
              <w:spacing w:after="0"/>
              <w:rPr>
                <w:sz w:val="20"/>
                <w:szCs w:val="20"/>
                <w:color w:val="auto"/>
              </w:rPr>
            </w:pPr>
            <w:r>
              <w:rPr>
                <w:rFonts w:ascii="Arial" w:cs="Arial" w:eastAsia="Arial" w:hAnsi="Arial"/>
                <w:sz w:val="13"/>
                <w:szCs w:val="13"/>
                <w:b w:val="1"/>
                <w:bCs w:val="1"/>
                <w:color w:val="auto"/>
                <w:w w:val="91"/>
              </w:rPr>
              <w:t>Comprehensive AeroVironment, Inc. Controlling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28"/>
        </w:trPr>
        <w:tc>
          <w:tcPr>
            <w:tcW w:w="2720" w:type="dxa"/>
            <w:vAlign w:val="bottom"/>
          </w:tcPr>
          <w:p>
            <w:pPr>
              <w:spacing w:after="0"/>
              <w:rPr>
                <w:sz w:val="11"/>
                <w:szCs w:val="11"/>
                <w:color w:val="auto"/>
              </w:rPr>
            </w:pPr>
          </w:p>
        </w:tc>
        <w:tc>
          <w:tcPr>
            <w:tcW w:w="74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12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6"/>
              </w:rPr>
              <w:t>Income (Loss)</w:t>
            </w:r>
          </w:p>
        </w:tc>
        <w:tc>
          <w:tcPr>
            <w:tcW w:w="260" w:type="dxa"/>
            <w:vAlign w:val="bottom"/>
          </w:tcPr>
          <w:p>
            <w:pPr>
              <w:spacing w:after="0"/>
              <w:rPr>
                <w:sz w:val="11"/>
                <w:szCs w:val="11"/>
                <w:color w:val="auto"/>
              </w:rPr>
            </w:pPr>
          </w:p>
        </w:tc>
        <w:tc>
          <w:tcPr>
            <w:tcW w:w="880" w:type="dxa"/>
            <w:vAlign w:val="bottom"/>
          </w:tcPr>
          <w:p>
            <w:pPr>
              <w:jc w:val="center"/>
              <w:ind w:right="190"/>
              <w:spacing w:after="0" w:line="129"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1"/>
                <w:szCs w:val="11"/>
                <w:color w:val="auto"/>
              </w:rPr>
            </w:pPr>
          </w:p>
        </w:tc>
        <w:tc>
          <w:tcPr>
            <w:tcW w:w="66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2020</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24,063,639</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181,481</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328,090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328</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509,901</w:t>
            </w: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509,901</w:t>
            </w:r>
          </w:p>
        </w:tc>
      </w:tr>
      <w:tr>
        <w:trPr>
          <w:trHeight w:val="149"/>
        </w:trPr>
        <w:tc>
          <w:tcPr>
            <w:tcW w:w="2720" w:type="dxa"/>
            <w:vAlign w:val="bottom"/>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10,080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10,080</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10,043</w:t>
            </w:r>
          </w:p>
        </w:tc>
      </w:tr>
      <w:tr>
        <w:trPr>
          <w:trHeight w:val="148"/>
        </w:trPr>
        <w:tc>
          <w:tcPr>
            <w:tcW w:w="2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loss on investments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r>
      <w:tr>
        <w:trPr>
          <w:trHeight w:val="148"/>
        </w:trPr>
        <w:tc>
          <w:tcPr>
            <w:tcW w:w="272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r>
      <w:tr>
        <w:trPr>
          <w:trHeight w:val="148"/>
        </w:trPr>
        <w:tc>
          <w:tcPr>
            <w:tcW w:w="2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r>
      <w:tr>
        <w:trPr>
          <w:trHeight w:val="149"/>
        </w:trPr>
        <w:tc>
          <w:tcPr>
            <w:tcW w:w="272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60,592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72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 net</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7"/>
        </w:trPr>
        <w:tc>
          <w:tcPr>
            <w:tcW w:w="2720" w:type="dxa"/>
            <w:vAlign w:val="bottom"/>
          </w:tcPr>
          <w:p>
            <w:pPr>
              <w:ind w:left="220"/>
              <w:spacing w:after="0"/>
              <w:rPr>
                <w:sz w:val="20"/>
                <w:szCs w:val="20"/>
                <w:color w:val="auto"/>
              </w:rPr>
            </w:pPr>
            <w:r>
              <w:rPr>
                <w:rFonts w:ascii="Arial" w:cs="Arial" w:eastAsia="Arial" w:hAnsi="Arial"/>
                <w:sz w:val="14"/>
                <w:szCs w:val="14"/>
                <w:color w:val="auto"/>
              </w:rPr>
              <w:t>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(22,897)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(1,756)</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(1,756)</w:t>
            </w:r>
          </w:p>
        </w:tc>
      </w:tr>
      <w:tr>
        <w:trPr>
          <w:trHeight w:val="148"/>
        </w:trPr>
        <w:tc>
          <w:tcPr>
            <w:tcW w:w="2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1,595</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1,595</w:t>
            </w:r>
          </w:p>
        </w:tc>
      </w:tr>
      <w:tr>
        <w:trPr>
          <w:trHeight w:val="142"/>
        </w:trPr>
        <w:tc>
          <w:tcPr>
            <w:tcW w:w="2720" w:type="dxa"/>
            <w:vAlign w:val="bottom"/>
          </w:tcPr>
          <w:p>
            <w:pPr>
              <w:spacing w:after="0" w:line="142" w:lineRule="exact"/>
              <w:rPr>
                <w:sz w:val="20"/>
                <w:szCs w:val="20"/>
                <w:color w:val="auto"/>
              </w:rPr>
            </w:pPr>
            <w:r>
              <w:rPr>
                <w:rFonts w:ascii="Arial" w:cs="Arial" w:eastAsia="Arial" w:hAnsi="Arial"/>
                <w:sz w:val="14"/>
                <w:szCs w:val="14"/>
                <w:color w:val="auto"/>
              </w:rPr>
              <w:t>Balance at August 1, 2020</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24,104,564</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$ 181,406</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$ 338,170</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w:t>
            </w:r>
          </w:p>
        </w:tc>
        <w:tc>
          <w:tcPr>
            <w:tcW w:w="2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519,929</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519,892</w:t>
            </w:r>
          </w:p>
        </w:tc>
      </w:tr>
      <w:tr>
        <w:trPr>
          <w:trHeight w:val="20"/>
        </w:trPr>
        <w:tc>
          <w:tcPr>
            <w:tcW w:w="2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40"/>
          </w:cols>
          <w:pgMar w:left="1440" w:top="517" w:right="1319"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9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80"/>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288"/>
              <w:spacing w:after="0" w:line="119" w:lineRule="exact"/>
              <w:rPr>
                <w:sz w:val="20"/>
                <w:szCs w:val="20"/>
                <w:color w:val="auto"/>
              </w:rPr>
            </w:pPr>
            <w:r>
              <w:rPr>
                <w:rFonts w:ascii="Arial" w:cs="Arial" w:eastAsia="Arial" w:hAnsi="Arial"/>
                <w:sz w:val="13"/>
                <w:szCs w:val="13"/>
                <w:b w:val="1"/>
                <w:bCs w:val="1"/>
                <w:color w:val="auto"/>
              </w:rPr>
              <w:t>August 1,</w:t>
            </w:r>
          </w:p>
        </w:tc>
        <w:tc>
          <w:tcPr>
            <w:tcW w:w="200" w:type="dxa"/>
            <w:vAlign w:val="bottom"/>
          </w:tcPr>
          <w:p>
            <w:pPr>
              <w:spacing w:after="0"/>
              <w:rPr>
                <w:sz w:val="10"/>
                <w:szCs w:val="10"/>
                <w:color w:val="auto"/>
              </w:rPr>
            </w:pPr>
          </w:p>
        </w:tc>
      </w:tr>
      <w:tr>
        <w:trPr>
          <w:trHeight w:val="171"/>
        </w:trPr>
        <w:tc>
          <w:tcPr>
            <w:tcW w:w="59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142"/>
        </w:trPr>
        <w:tc>
          <w:tcPr>
            <w:tcW w:w="59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590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(13,918)</w:t>
            </w:r>
          </w:p>
        </w:tc>
        <w:tc>
          <w:tcPr>
            <w:tcW w:w="3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10,043</w:t>
            </w:r>
          </w:p>
        </w:tc>
        <w:tc>
          <w:tcPr>
            <w:tcW w:w="200" w:type="dxa"/>
            <w:vAlign w:val="bottom"/>
          </w:tcPr>
          <w:p>
            <w:pPr>
              <w:spacing w:after="0"/>
              <w:rPr>
                <w:sz w:val="12"/>
                <w:szCs w:val="12"/>
                <w:color w:val="auto"/>
              </w:rPr>
            </w:pPr>
          </w:p>
        </w:tc>
      </w:tr>
      <w:tr>
        <w:trPr>
          <w:trHeight w:val="149"/>
        </w:trPr>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income to cash provided by operating activities: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590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13,654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2,779</w:t>
            </w:r>
          </w:p>
        </w:tc>
        <w:tc>
          <w:tcPr>
            <w:tcW w:w="200" w:type="dxa"/>
            <w:vAlign w:val="bottom"/>
          </w:tcPr>
          <w:p>
            <w:pPr>
              <w:spacing w:after="0"/>
              <w:rPr>
                <w:sz w:val="12"/>
                <w:szCs w:val="12"/>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Losses from equity method investments, net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w:t>
            </w:r>
          </w:p>
        </w:tc>
        <w:tc>
          <w:tcPr>
            <w:tcW w:w="200" w:type="dxa"/>
            <w:vAlign w:val="bottom"/>
            <w:shd w:val="clear" w:color="auto" w:fill="CCEEFF"/>
          </w:tcPr>
          <w:p>
            <w:pPr>
              <w:spacing w:after="0"/>
              <w:rPr>
                <w:sz w:val="12"/>
                <w:szCs w:val="12"/>
                <w:color w:val="auto"/>
              </w:rPr>
            </w:pPr>
          </w:p>
        </w:tc>
      </w:tr>
      <w:tr>
        <w:trPr>
          <w:trHeight w:val="148"/>
        </w:trPr>
        <w:tc>
          <w:tcPr>
            <w:tcW w:w="590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debt issuance costs</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Realized gain from sale of available-for-sale investments</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w:t>
            </w:r>
          </w:p>
        </w:tc>
      </w:tr>
      <w:tr>
        <w:trPr>
          <w:trHeight w:val="149"/>
        </w:trPr>
        <w:tc>
          <w:tcPr>
            <w:tcW w:w="5900" w:type="dxa"/>
            <w:vAlign w:val="bottom"/>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(136)</w:t>
            </w: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non-cash expense</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tcPr>
          <w:p>
            <w:pPr>
              <w:ind w:left="220"/>
              <w:spacing w:after="0" w:line="149" w:lineRule="exact"/>
              <w:rPr>
                <w:sz w:val="20"/>
                <w:szCs w:val="20"/>
                <w:color w:val="auto"/>
              </w:rPr>
            </w:pPr>
            <w:r>
              <w:rPr>
                <w:rFonts w:ascii="Arial" w:cs="Arial" w:eastAsia="Arial" w:hAnsi="Arial"/>
                <w:sz w:val="14"/>
                <w:szCs w:val="14"/>
                <w:color w:val="auto"/>
              </w:rPr>
              <w:t>Non-cash lease expense</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1,190</w:t>
            </w:r>
          </w:p>
        </w:tc>
        <w:tc>
          <w:tcPr>
            <w:tcW w:w="200" w:type="dxa"/>
            <w:vAlign w:val="bottom"/>
          </w:tcPr>
          <w:p>
            <w:pPr>
              <w:spacing w:after="0"/>
              <w:rPr>
                <w:sz w:val="12"/>
                <w:szCs w:val="12"/>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(Gain) loss on foreign currency transactions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r>
      <w:tr>
        <w:trPr>
          <w:trHeight w:val="148"/>
        </w:trPr>
        <w:tc>
          <w:tcPr>
            <w:tcW w:w="590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(339)</w:t>
            </w: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1,595</w:t>
            </w:r>
          </w:p>
        </w:tc>
        <w:tc>
          <w:tcPr>
            <w:tcW w:w="200" w:type="dxa"/>
            <w:vAlign w:val="bottom"/>
            <w:shd w:val="clear" w:color="auto" w:fill="CCEEFF"/>
          </w:tcPr>
          <w:p>
            <w:pPr>
              <w:spacing w:after="0"/>
              <w:rPr>
                <w:sz w:val="12"/>
                <w:szCs w:val="12"/>
                <w:color w:val="auto"/>
              </w:rPr>
            </w:pPr>
          </w:p>
        </w:tc>
      </w:tr>
      <w:tr>
        <w:trPr>
          <w:trHeight w:val="149"/>
        </w:trPr>
        <w:tc>
          <w:tcPr>
            <w:tcW w:w="5900" w:type="dxa"/>
            <w:vAlign w:val="bottom"/>
          </w:tcPr>
          <w:p>
            <w:pPr>
              <w:ind w:left="220"/>
              <w:spacing w:after="0" w:line="149" w:lineRule="exact"/>
              <w:rPr>
                <w:sz w:val="20"/>
                <w:szCs w:val="20"/>
                <w:color w:val="auto"/>
              </w:rPr>
            </w:pPr>
            <w:r>
              <w:rPr>
                <w:rFonts w:ascii="Arial" w:cs="Arial" w:eastAsia="Arial" w:hAnsi="Arial"/>
                <w:sz w:val="14"/>
                <w:szCs w:val="14"/>
                <w:color w:val="auto"/>
              </w:rPr>
              <w:t>Loss on sale of property and equipment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debt securities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w:t>
            </w:r>
          </w:p>
        </w:tc>
      </w:tr>
      <w:tr>
        <w:trPr>
          <w:trHeight w:val="148"/>
        </w:trPr>
        <w:tc>
          <w:tcPr>
            <w:tcW w:w="5900" w:type="dxa"/>
            <w:vAlign w:val="bottom"/>
          </w:tcPr>
          <w:p>
            <w:pPr>
              <w:ind w:left="22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59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30,439</w:t>
            </w:r>
          </w:p>
        </w:tc>
        <w:tc>
          <w:tcPr>
            <w:tcW w:w="200" w:type="dxa"/>
            <w:vAlign w:val="bottom"/>
            <w:shd w:val="clear" w:color="auto" w:fill="CCEEFF"/>
          </w:tcPr>
          <w:p>
            <w:pPr>
              <w:spacing w:after="0"/>
              <w:rPr>
                <w:sz w:val="12"/>
                <w:szCs w:val="12"/>
                <w:color w:val="auto"/>
              </w:rPr>
            </w:pPr>
          </w:p>
        </w:tc>
      </w:tr>
      <w:tr>
        <w:trPr>
          <w:trHeight w:val="148"/>
        </w:trPr>
        <w:tc>
          <w:tcPr>
            <w:tcW w:w="5900" w:type="dxa"/>
            <w:vAlign w:val="bottom"/>
          </w:tcPr>
          <w:p>
            <w:pPr>
              <w:ind w:left="340"/>
              <w:spacing w:after="0" w:line="149" w:lineRule="exact"/>
              <w:rPr>
                <w:sz w:val="20"/>
                <w:szCs w:val="20"/>
                <w:color w:val="auto"/>
              </w:rPr>
            </w:pPr>
            <w:r>
              <w:rPr>
                <w:rFonts w:ascii="Arial" w:cs="Arial" w:eastAsia="Arial" w:hAnsi="Arial"/>
                <w:sz w:val="14"/>
                <w:szCs w:val="14"/>
                <w:color w:val="auto"/>
              </w:rPr>
              <w:t>Unbilled receivables and retentions</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(14,684)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2,046</w:t>
            </w:r>
          </w:p>
        </w:tc>
        <w:tc>
          <w:tcPr>
            <w:tcW w:w="200" w:type="dxa"/>
            <w:vAlign w:val="bottom"/>
          </w:tcPr>
          <w:p>
            <w:pPr>
              <w:spacing w:after="0"/>
              <w:rPr>
                <w:sz w:val="12"/>
                <w:szCs w:val="12"/>
                <w:color w:val="auto"/>
              </w:rPr>
            </w:pPr>
          </w:p>
        </w:tc>
      </w:tr>
      <w:tr>
        <w:trPr>
          <w:trHeight w:val="149"/>
        </w:trPr>
        <w:tc>
          <w:tcPr>
            <w:tcW w:w="59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(6,058)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2"/>
                <w:szCs w:val="12"/>
                <w:color w:val="auto"/>
              </w:rPr>
            </w:pPr>
          </w:p>
        </w:tc>
      </w:tr>
      <w:tr>
        <w:trPr>
          <w:trHeight w:val="148"/>
        </w:trPr>
        <w:tc>
          <w:tcPr>
            <w:tcW w:w="5900" w:type="dxa"/>
            <w:vAlign w:val="bottom"/>
          </w:tcPr>
          <w:p>
            <w:pPr>
              <w:ind w:left="340"/>
              <w:spacing w:after="0" w:line="149" w:lineRule="exact"/>
              <w:rPr>
                <w:sz w:val="20"/>
                <w:szCs w:val="20"/>
                <w:color w:val="auto"/>
              </w:rPr>
            </w:pPr>
            <w:r>
              <w:rPr>
                <w:rFonts w:ascii="Arial" w:cs="Arial" w:eastAsia="Arial" w:hAnsi="Arial"/>
                <w:sz w:val="14"/>
                <w:szCs w:val="14"/>
                <w:color w:val="auto"/>
              </w:rPr>
              <w:t>Income taxes receivable</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200" w:type="dxa"/>
            <w:vAlign w:val="bottom"/>
            <w:shd w:val="clear" w:color="auto" w:fill="CCEEFF"/>
          </w:tcPr>
          <w:p>
            <w:pPr>
              <w:spacing w:after="0"/>
              <w:rPr>
                <w:sz w:val="12"/>
                <w:szCs w:val="12"/>
                <w:color w:val="auto"/>
              </w:rPr>
            </w:pPr>
          </w:p>
        </w:tc>
      </w:tr>
      <w:tr>
        <w:trPr>
          <w:trHeight w:val="148"/>
        </w:trPr>
        <w:tc>
          <w:tcPr>
            <w:tcW w:w="5900" w:type="dxa"/>
            <w:vAlign w:val="bottom"/>
          </w:tcPr>
          <w:p>
            <w:pPr>
              <w:ind w:left="34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(7,997)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(7,338)</w:t>
            </w:r>
          </w:p>
        </w:tc>
      </w:tr>
      <w:tr>
        <w:trPr>
          <w:trHeight w:val="148"/>
        </w:trPr>
        <w:tc>
          <w:tcPr>
            <w:tcW w:w="59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liabilities</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(9,283)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(15,004)</w:t>
            </w:r>
          </w:p>
        </w:tc>
      </w:tr>
      <w:tr>
        <w:trPr>
          <w:trHeight w:val="142"/>
        </w:trPr>
        <w:tc>
          <w:tcPr>
            <w:tcW w:w="5900" w:type="dxa"/>
            <w:vAlign w:val="bottom"/>
          </w:tcPr>
          <w:p>
            <w:pPr>
              <w:spacing w:after="0" w:line="142" w:lineRule="exact"/>
              <w:rPr>
                <w:sz w:val="20"/>
                <w:szCs w:val="20"/>
                <w:color w:val="auto"/>
              </w:rPr>
            </w:pPr>
            <w:r>
              <w:rPr>
                <w:rFonts w:ascii="Arial" w:cs="Arial" w:eastAsia="Arial" w:hAnsi="Arial"/>
                <w:sz w:val="14"/>
                <w:szCs w:val="14"/>
                <w:color w:val="auto"/>
              </w:rPr>
              <w:t>Net cash (used in) provided by operating activities</w:t>
            </w: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(15,304)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26,841</w:t>
            </w:r>
          </w:p>
        </w:tc>
        <w:tc>
          <w:tcPr>
            <w:tcW w:w="200" w:type="dxa"/>
            <w:vAlign w:val="bottom"/>
          </w:tcPr>
          <w:p>
            <w:pPr>
              <w:spacing w:after="0"/>
              <w:rPr>
                <w:sz w:val="12"/>
                <w:szCs w:val="12"/>
                <w:color w:val="auto"/>
              </w:rPr>
            </w:pPr>
          </w:p>
        </w:tc>
      </w:tr>
      <w:tr>
        <w:trPr>
          <w:trHeight w:val="149"/>
        </w:trPr>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5900" w:type="dxa"/>
            <w:vAlign w:val="bottom"/>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(5,428)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(4,067)</w:t>
            </w:r>
          </w:p>
        </w:tc>
      </w:tr>
      <w:tr>
        <w:trPr>
          <w:trHeight w:val="148"/>
        </w:trPr>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method investments</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(2,692)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(1,173)</w:t>
            </w:r>
          </w:p>
        </w:tc>
      </w:tr>
      <w:tr>
        <w:trPr>
          <w:trHeight w:val="149"/>
        </w:trPr>
        <w:tc>
          <w:tcPr>
            <w:tcW w:w="5900" w:type="dxa"/>
            <w:vAlign w:val="bottom"/>
          </w:tcPr>
          <w:p>
            <w:pPr>
              <w:spacing w:after="0" w:line="149" w:lineRule="exact"/>
              <w:rPr>
                <w:sz w:val="20"/>
                <w:szCs w:val="20"/>
                <w:color w:val="auto"/>
              </w:rPr>
            </w:pPr>
            <w:r>
              <w:rPr>
                <w:rFonts w:ascii="Arial" w:cs="Arial" w:eastAsia="Arial" w:hAnsi="Arial"/>
                <w:sz w:val="14"/>
                <w:szCs w:val="14"/>
                <w:color w:val="auto"/>
              </w:rPr>
              <w:t>Business acquisitions, net of cash acquired</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(46,150)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41,727</w:t>
            </w:r>
          </w:p>
        </w:tc>
        <w:tc>
          <w:tcPr>
            <w:tcW w:w="200" w:type="dxa"/>
            <w:vAlign w:val="bottom"/>
            <w:shd w:val="clear" w:color="auto" w:fill="CCEEFF"/>
          </w:tcPr>
          <w:p>
            <w:pPr>
              <w:spacing w:after="0"/>
              <w:rPr>
                <w:sz w:val="12"/>
                <w:szCs w:val="12"/>
                <w:color w:val="auto"/>
              </w:rPr>
            </w:pPr>
          </w:p>
        </w:tc>
      </w:tr>
      <w:tr>
        <w:trPr>
          <w:trHeight w:val="149"/>
        </w:trPr>
        <w:tc>
          <w:tcPr>
            <w:tcW w:w="590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24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(69,961)</w:t>
            </w:r>
          </w:p>
        </w:tc>
      </w:tr>
      <w:tr>
        <w:trPr>
          <w:trHeight w:val="142"/>
        </w:trPr>
        <w:tc>
          <w:tcPr>
            <w:tcW w:w="5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2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(36,345)</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(33,474)</w:t>
            </w:r>
          </w:p>
        </w:tc>
        <w:tc>
          <w:tcPr>
            <w:tcW w:w="200" w:type="dxa"/>
            <w:vAlign w:val="bottom"/>
            <w:tcBorders>
              <w:top w:val="single" w:sz="8" w:color="CCEEFF"/>
            </w:tcBorders>
            <w:shd w:val="clear" w:color="auto" w:fill="CCEEFF"/>
          </w:tcPr>
          <w:p>
            <w:pPr>
              <w:spacing w:after="0"/>
              <w:rPr>
                <w:sz w:val="12"/>
                <w:szCs w:val="12"/>
                <w:color w:val="auto"/>
              </w:rPr>
            </w:pPr>
          </w:p>
        </w:tc>
      </w:tr>
      <w:tr>
        <w:trPr>
          <w:trHeight w:val="149"/>
        </w:trPr>
        <w:tc>
          <w:tcPr>
            <w:tcW w:w="5900" w:type="dxa"/>
            <w:vAlign w:val="bottom"/>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 of loan</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tcPr>
          <w:p>
            <w:pPr>
              <w:spacing w:after="0" w:line="149" w:lineRule="exact"/>
              <w:rPr>
                <w:sz w:val="20"/>
                <w:szCs w:val="20"/>
                <w:color w:val="auto"/>
              </w:rPr>
            </w:pPr>
            <w:r>
              <w:rPr>
                <w:rFonts w:ascii="Arial" w:cs="Arial" w:eastAsia="Arial" w:hAnsi="Arial"/>
                <w:sz w:val="14"/>
                <w:szCs w:val="14"/>
                <w:color w:val="auto"/>
              </w:rPr>
              <w:t>Holdback and retention payments for business acquisition</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(5,991)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9"/>
        </w:trPr>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(1,756)</w:t>
            </w:r>
          </w:p>
        </w:tc>
      </w:tr>
      <w:tr>
        <w:trPr>
          <w:trHeight w:val="148"/>
        </w:trPr>
        <w:tc>
          <w:tcPr>
            <w:tcW w:w="590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200" w:type="dxa"/>
            <w:vAlign w:val="bottom"/>
          </w:tcPr>
          <w:p>
            <w:pPr>
              <w:spacing w:after="0"/>
              <w:rPr>
                <w:sz w:val="12"/>
                <w:szCs w:val="12"/>
                <w:color w:val="auto"/>
              </w:rPr>
            </w:pPr>
          </w:p>
        </w:tc>
      </w:tr>
      <w:tr>
        <w:trPr>
          <w:trHeight w:val="149"/>
        </w:trPr>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2"/>
        </w:trPr>
        <w:tc>
          <w:tcPr>
            <w:tcW w:w="5900" w:type="dxa"/>
            <w:vAlign w:val="bottom"/>
          </w:tcPr>
          <w:p>
            <w:pPr>
              <w:spacing w:after="0" w:line="142" w:lineRule="exact"/>
              <w:rPr>
                <w:sz w:val="20"/>
                <w:szCs w:val="20"/>
                <w:color w:val="auto"/>
              </w:rPr>
            </w:pPr>
            <w:r>
              <w:rPr>
                <w:rFonts w:ascii="Arial" w:cs="Arial" w:eastAsia="Arial" w:hAnsi="Arial"/>
                <w:sz w:val="14"/>
                <w:szCs w:val="14"/>
                <w:color w:val="auto"/>
              </w:rPr>
              <w:t>Net cash used in financing activities</w:t>
            </w: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(9,556)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(1,670)</w:t>
            </w:r>
          </w:p>
        </w:tc>
        <w:tc>
          <w:tcPr>
            <w:tcW w:w="200" w:type="dxa"/>
            <w:vAlign w:val="bottom"/>
          </w:tcPr>
          <w:p>
            <w:pPr>
              <w:spacing w:after="0"/>
              <w:rPr>
                <w:sz w:val="12"/>
                <w:szCs w:val="12"/>
                <w:color w:val="auto"/>
              </w:rPr>
            </w:pPr>
          </w:p>
        </w:tc>
      </w:tr>
      <w:tr>
        <w:trPr>
          <w:trHeight w:val="149"/>
        </w:trPr>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Effects of currency translation on cash and cash equivalents</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2"/>
        </w:trPr>
        <w:tc>
          <w:tcPr>
            <w:tcW w:w="5900" w:type="dxa"/>
            <w:vAlign w:val="bottom"/>
          </w:tcPr>
          <w:p>
            <w:pPr>
              <w:spacing w:after="0" w:line="142" w:lineRule="exact"/>
              <w:rPr>
                <w:sz w:val="20"/>
                <w:szCs w:val="20"/>
                <w:color w:val="auto"/>
              </w:rPr>
            </w:pPr>
            <w:r>
              <w:rPr>
                <w:rFonts w:ascii="Arial" w:cs="Arial" w:eastAsia="Arial" w:hAnsi="Arial"/>
                <w:sz w:val="14"/>
                <w:szCs w:val="14"/>
                <w:color w:val="auto"/>
              </w:rPr>
              <w:t>Net decrease in cash, cash equivalents, and restricted cash</w:t>
            </w: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(61,316)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(8,303)</w:t>
            </w:r>
          </w:p>
        </w:tc>
        <w:tc>
          <w:tcPr>
            <w:tcW w:w="200" w:type="dxa"/>
            <w:vAlign w:val="bottom"/>
          </w:tcPr>
          <w:p>
            <w:pPr>
              <w:spacing w:after="0"/>
              <w:rPr>
                <w:sz w:val="12"/>
                <w:szCs w:val="12"/>
                <w:color w:val="auto"/>
              </w:rPr>
            </w:pPr>
          </w:p>
        </w:tc>
      </w:tr>
      <w:tr>
        <w:trPr>
          <w:trHeight w:val="148"/>
        </w:trPr>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157,063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255,142</w:t>
            </w:r>
          </w:p>
        </w:tc>
        <w:tc>
          <w:tcPr>
            <w:tcW w:w="200" w:type="dxa"/>
            <w:vAlign w:val="bottom"/>
            <w:shd w:val="clear" w:color="auto" w:fill="CCEEFF"/>
          </w:tcPr>
          <w:p>
            <w:pPr>
              <w:spacing w:after="0"/>
              <w:rPr>
                <w:sz w:val="12"/>
                <w:szCs w:val="12"/>
                <w:color w:val="auto"/>
              </w:rPr>
            </w:pPr>
          </w:p>
        </w:tc>
      </w:tr>
      <w:tr>
        <w:trPr>
          <w:trHeight w:val="182"/>
        </w:trPr>
        <w:tc>
          <w:tcPr>
            <w:tcW w:w="59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cash equivalents and restricted cash at end of period</w:t>
            </w: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95,747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246,839</w:t>
            </w:r>
          </w:p>
        </w:tc>
        <w:tc>
          <w:tcPr>
            <w:tcW w:w="200" w:type="dxa"/>
            <w:vAlign w:val="bottom"/>
            <w:tcBorders>
              <w:bottom w:val="single" w:sz="8" w:color="CCEEFF"/>
            </w:tcBorders>
          </w:tcPr>
          <w:p>
            <w:pPr>
              <w:spacing w:after="0"/>
              <w:rPr>
                <w:sz w:val="15"/>
                <w:szCs w:val="15"/>
                <w:color w:val="auto"/>
              </w:rPr>
            </w:pPr>
          </w:p>
        </w:tc>
      </w:tr>
      <w:tr>
        <w:trPr>
          <w:trHeight w:val="129"/>
        </w:trPr>
        <w:tc>
          <w:tcPr>
            <w:tcW w:w="59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9"/>
        </w:trPr>
        <w:tc>
          <w:tcPr>
            <w:tcW w:w="5900" w:type="dxa"/>
            <w:vAlign w:val="bottom"/>
          </w:tcPr>
          <w:p>
            <w:pPr>
              <w:spacing w:after="0" w:line="149" w:lineRule="exact"/>
              <w:rPr>
                <w:sz w:val="20"/>
                <w:szCs w:val="20"/>
                <w:color w:val="auto"/>
              </w:rPr>
            </w:pPr>
            <w:r>
              <w:rPr>
                <w:rFonts w:ascii="Arial" w:cs="Arial" w:eastAsia="Arial" w:hAnsi="Arial"/>
                <w:sz w:val="14"/>
                <w:szCs w:val="14"/>
                <w:color w:val="auto"/>
              </w:rPr>
              <w:t>Cash paid, net during the period for:</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taxes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r>
      <w:tr>
        <w:trPr>
          <w:trHeight w:val="148"/>
        </w:trPr>
        <w:tc>
          <w:tcPr>
            <w:tcW w:w="5900" w:type="dxa"/>
            <w:vAlign w:val="bottom"/>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30"/>
        </w:trPr>
        <w:tc>
          <w:tcPr>
            <w:tcW w:w="5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Unrealized loss on available-for-sale investments, net of deferred tax benefit of $0 and $4 for the</w:t>
            </w: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67"/>
        </w:trPr>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three months ended July 31, 2021 and August 1, 2020, respectively</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200" w:type="dxa"/>
            <w:vAlign w:val="bottom"/>
            <w:shd w:val="clear" w:color="auto" w:fill="CCEEFF"/>
          </w:tcPr>
          <w:p>
            <w:pPr>
              <w:spacing w:after="0"/>
              <w:rPr>
                <w:sz w:val="14"/>
                <w:szCs w:val="14"/>
                <w:color w:val="auto"/>
              </w:rPr>
            </w:pPr>
          </w:p>
        </w:tc>
      </w:tr>
      <w:tr>
        <w:trPr>
          <w:trHeight w:val="148"/>
        </w:trPr>
        <w:tc>
          <w:tcPr>
            <w:tcW w:w="5900" w:type="dxa"/>
            <w:vAlign w:val="bottom"/>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(733)</w:t>
            </w:r>
          </w:p>
        </w:tc>
        <w:tc>
          <w:tcPr>
            <w:tcW w:w="3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00" w:type="dxa"/>
            <w:vAlign w:val="bottom"/>
          </w:tcPr>
          <w:p>
            <w:pPr>
              <w:spacing w:after="0"/>
              <w:rPr>
                <w:sz w:val="12"/>
                <w:szCs w:val="12"/>
                <w:color w:val="auto"/>
              </w:rPr>
            </w:pPr>
          </w:p>
        </w:tc>
      </w:tr>
      <w:tr>
        <w:trPr>
          <w:trHeight w:val="149"/>
        </w:trPr>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of inventory to property and equipment, ISR in-service assets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6,881</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82"/>
        </w:trPr>
        <w:tc>
          <w:tcPr>
            <w:tcW w:w="5900" w:type="dxa"/>
            <w:vAlign w:val="bottom"/>
          </w:tcPr>
          <w:p>
            <w:pPr>
              <w:spacing w:after="0"/>
              <w:rPr>
                <w:sz w:val="20"/>
                <w:szCs w:val="20"/>
                <w:color w:val="auto"/>
              </w:rPr>
            </w:pPr>
            <w:r>
              <w:rPr>
                <w:rFonts w:ascii="Arial" w:cs="Arial" w:eastAsia="Arial" w:hAnsi="Arial"/>
                <w:sz w:val="14"/>
                <w:szCs w:val="14"/>
                <w:color w:val="auto"/>
              </w:rPr>
              <w:t>Acquisitions of property and equipment included in accounts payable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821</w:t>
            </w:r>
          </w:p>
        </w:tc>
        <w:tc>
          <w:tcPr>
            <w:tcW w:w="80" w:type="dxa"/>
            <w:vAlign w:val="bottom"/>
          </w:tcPr>
          <w:p>
            <w:pPr>
              <w:spacing w:after="0"/>
              <w:rPr>
                <w:sz w:val="15"/>
                <w:szCs w:val="15"/>
                <w:color w:val="auto"/>
              </w:rPr>
            </w:pPr>
          </w:p>
        </w:tc>
        <w:tc>
          <w:tcPr>
            <w:tcW w:w="32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643</w:t>
            </w:r>
          </w:p>
        </w:tc>
        <w:tc>
          <w:tcPr>
            <w:tcW w:w="200" w:type="dxa"/>
            <w:vAlign w:val="bottom"/>
          </w:tcPr>
          <w:p>
            <w:pPr>
              <w:spacing w:after="0"/>
              <w:rPr>
                <w:sz w:val="15"/>
                <w:szCs w:val="15"/>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40" w:right="479"/>
        <w:spacing w:after="0" w:line="296" w:lineRule="auto"/>
        <w:rPr>
          <w:sz w:val="20"/>
          <w:szCs w:val="20"/>
          <w:color w:val="auto"/>
        </w:rPr>
      </w:pPr>
      <w:r>
        <w:rPr>
          <w:rFonts w:ascii="Arial" w:cs="Arial" w:eastAsia="Arial" w:hAnsi="Arial"/>
          <w:sz w:val="16"/>
          <w:szCs w:val="16"/>
          <w:color w:val="auto"/>
        </w:rPr>
        <w:t>AeroVironment, Inc., a Delaware corporation (the “Company”), is engaged in the design, development, production, delivery and support of a technologically advanced portfolio of intelligent, multi-domain robotic systems and related services for government agencies and businesses. AeroVironment, Inc. supplies unmanned aircraft systems (“UAS”), tactical missile systems (“TMS”), unmanned ground vehicles (“UGV”) and related services primarily to organizations within the U.S. Department of Defense (“DoD”) and to international allied governments.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119"/>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months ended July 31, 2021 are not necessarily indicative of the results for the full year ending April 30, 2022. For further information, refer to the consolidated financial statements and footnotes thereto for the year ended April 30, 2021, included in the Company’s Annual Report on Form 10-K.</w:t>
      </w:r>
    </w:p>
    <w:p>
      <w:pPr>
        <w:spacing w:after="0" w:line="196"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unaudited consolidated financial statements and accompanying notes. Actual results could differ from those estimates.</w:t>
      </w:r>
    </w:p>
    <w:p>
      <w:pPr>
        <w:spacing w:after="0" w:line="187"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color w:val="auto"/>
        </w:rPr>
        <w:t>The Company’s unaudited consolidated financial statements include the assets, liabilities and operating results of wholly-owned subsidiaries. All intercompany accounts and transactions have been eliminated.</w:t>
      </w:r>
    </w:p>
    <w:p>
      <w:pPr>
        <w:spacing w:after="0" w:line="170" w:lineRule="exact"/>
        <w:rPr>
          <w:sz w:val="20"/>
          <w:szCs w:val="20"/>
          <w:color w:val="auto"/>
        </w:rPr>
      </w:pPr>
    </w:p>
    <w:p>
      <w:pPr>
        <w:ind w:left="40" w:right="159"/>
        <w:spacing w:after="0" w:line="255" w:lineRule="auto"/>
        <w:rPr>
          <w:sz w:val="20"/>
          <w:szCs w:val="20"/>
          <w:color w:val="auto"/>
        </w:rPr>
      </w:pPr>
      <w:r>
        <w:rPr>
          <w:rFonts w:ascii="Arial" w:cs="Arial" w:eastAsia="Arial" w:hAnsi="Arial"/>
          <w:sz w:val="18"/>
          <w:szCs w:val="18"/>
          <w:color w:val="auto"/>
        </w:rPr>
        <w:t>On February 19, 2021, the Company closed its acquisition of Arcturus UAV, Inc. (“Arcturus”), a California corporation, pursuant to a Stock Purchase Agreement (the “Arcturus Purchase Agreement”) with Arcturus and each of the shareholders and other equity interest holders of Arcturus (collectively, the “Arcturus Sellers”), to purchase 100% of the issued and outstanding equity interests of Arcturus (the “Arcturus Acquisition”). The assets, liabilities and operating results of Arcturus have been included in the Company’s unaudited consolidated financial statements. Refer to Note 18—Business Acquisitions for further details.</w:t>
      </w:r>
    </w:p>
    <w:p>
      <w:pPr>
        <w:spacing w:after="0" w:line="192" w:lineRule="exact"/>
        <w:rPr>
          <w:sz w:val="20"/>
          <w:szCs w:val="20"/>
          <w:color w:val="auto"/>
        </w:rPr>
      </w:pPr>
    </w:p>
    <w:p>
      <w:pPr>
        <w:ind w:left="40" w:right="119"/>
        <w:spacing w:after="0" w:line="273" w:lineRule="auto"/>
        <w:rPr>
          <w:sz w:val="20"/>
          <w:szCs w:val="20"/>
          <w:color w:val="auto"/>
        </w:rPr>
      </w:pPr>
      <w:r>
        <w:rPr>
          <w:rFonts w:ascii="Arial" w:cs="Arial" w:eastAsia="Arial" w:hAnsi="Arial"/>
          <w:sz w:val="17"/>
          <w:szCs w:val="17"/>
          <w:color w:val="auto"/>
        </w:rPr>
        <w:t>On February 23, 2021, the Company purchased certain assets of, and assumed certain liabilities of, the Intelligent Systems Group business segment (“ISG”) of Progeny Systems Corporation, a Virginia corporation (the “ISG Seller”), pursuant to the terms of an Asset Purchase Agreement (the “ISG Purchase Agreement”) of the same date, by and among the Company, ISG Seller and the sole shareholder of ISG Seller (the “Beneficial Owner,” and such acquisition of ISG, the “ISG Acquisition”). The assets, liabilities and operating results of ISG have been included in the Company’s unaudited consolidated financial statements. Refer to Note 18—Business Acquisitions for further details.</w:t>
      </w:r>
    </w:p>
    <w:p>
      <w:pPr>
        <w:spacing w:after="0" w:line="178" w:lineRule="exact"/>
        <w:rPr>
          <w:sz w:val="20"/>
          <w:szCs w:val="20"/>
          <w:color w:val="auto"/>
        </w:rPr>
      </w:pPr>
    </w:p>
    <w:p>
      <w:pPr>
        <w:ind w:left="40" w:right="179"/>
        <w:spacing w:after="0" w:line="301" w:lineRule="auto"/>
        <w:rPr>
          <w:sz w:val="20"/>
          <w:szCs w:val="20"/>
          <w:color w:val="auto"/>
        </w:rPr>
      </w:pPr>
      <w:r>
        <w:rPr>
          <w:rFonts w:ascii="Arial" w:cs="Arial" w:eastAsia="Arial" w:hAnsi="Arial"/>
          <w:sz w:val="16"/>
          <w:szCs w:val="16"/>
          <w:color w:val="auto"/>
        </w:rPr>
        <w:t>On May 3, 2021, the Company closed its acquisition of Telerob Gesellschaft für Fernhantierungstechnik mbH, a German company based in Ostfildern (near Stuttgart), Germany (“Telerob GmbH”), including Telerob GmbH’s wholly-owned subsidiary, Telerob USA, Inc. (“Telerob USA,” and collectively with Telerob GmbH, “Telerob”) pursuant to its previously announced Share Purchase Agreement (the “Telerob Purchase Agreement”) with Unmanned Systems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299"/>
        <w:spacing w:after="0" w:line="275" w:lineRule="auto"/>
        <w:rPr>
          <w:sz w:val="20"/>
          <w:szCs w:val="20"/>
          <w:color w:val="auto"/>
        </w:rPr>
      </w:pPr>
      <w:r>
        <w:rPr>
          <w:rFonts w:ascii="Arial" w:cs="Arial" w:eastAsia="Arial" w:hAnsi="Arial"/>
          <w:sz w:val="17"/>
          <w:szCs w:val="17"/>
          <w:color w:val="auto"/>
        </w:rPr>
        <w:t>Investments GmbH, a German limited liability company incorporated under the laws of Germany (the “Telerob Seller”), and each of the unit holders of the Seller (collectively, the “Telerob Shareholders”), to purchase 100% of the issued and outstanding shares of Telerob Seller’s wholly-owned subsidiary Telerob GmbH (the “Telerob Acquisition”). The assets, liabilities and operating results of Telerob GmbH have been included in the Company’s unaudited consolidated financial statements. Refer to Note 18—Business Acquisitions for further details.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did not adopt any accounting standards during the three months ended July 31, 2021.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99"/>
        <w:spacing w:after="0" w:line="279" w:lineRule="auto"/>
        <w:rPr>
          <w:sz w:val="20"/>
          <w:szCs w:val="20"/>
          <w:color w:val="auto"/>
        </w:rPr>
      </w:pPr>
      <w:r>
        <w:rPr>
          <w:rFonts w:ascii="Arial" w:cs="Arial" w:eastAsia="Arial" w:hAnsi="Arial"/>
          <w:sz w:val="17"/>
          <w:szCs w:val="17"/>
          <w:color w:val="auto"/>
        </w:rPr>
        <w:t>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left="40" w:right="59"/>
        <w:spacing w:after="0" w:line="289" w:lineRule="auto"/>
        <w:rPr>
          <w:sz w:val="20"/>
          <w:szCs w:val="20"/>
          <w:color w:val="auto"/>
        </w:rPr>
      </w:pPr>
      <w:r>
        <w:rPr>
          <w:rFonts w:ascii="Arial" w:cs="Arial" w:eastAsia="Arial" w:hAnsi="Arial"/>
          <w:sz w:val="16"/>
          <w:szCs w:val="16"/>
          <w:color w:val="auto"/>
        </w:rPr>
        <w:t>A performance obligation is a promise in a contract to transfer distinct goods or services to a customer, and it is the unit of account in ASC Topic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66" w:lineRule="exact"/>
        <w:rPr>
          <w:sz w:val="20"/>
          <w:szCs w:val="20"/>
          <w:color w:val="auto"/>
        </w:rPr>
      </w:pPr>
    </w:p>
    <w:p>
      <w:pPr>
        <w:ind w:left="40" w:right="539"/>
        <w:spacing w:after="0" w:line="342" w:lineRule="auto"/>
        <w:rPr>
          <w:sz w:val="20"/>
          <w:szCs w:val="20"/>
          <w:color w:val="auto"/>
        </w:rPr>
      </w:pPr>
      <w:r>
        <w:rPr>
          <w:rFonts w:ascii="Arial" w:cs="Arial" w:eastAsia="Arial" w:hAnsi="Arial"/>
          <w:sz w:val="16"/>
          <w:szCs w:val="16"/>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24" w:lineRule="exact"/>
        <w:rPr>
          <w:sz w:val="20"/>
          <w:szCs w:val="20"/>
          <w:color w:val="auto"/>
        </w:rPr>
      </w:pPr>
    </w:p>
    <w:p>
      <w:pPr>
        <w:ind w:left="40" w:right="59"/>
        <w:spacing w:after="0" w:line="285" w:lineRule="auto"/>
        <w:rPr>
          <w:sz w:val="20"/>
          <w:szCs w:val="20"/>
          <w:color w:val="auto"/>
        </w:rPr>
      </w:pPr>
      <w:r>
        <w:rPr>
          <w:rFonts w:ascii="Arial" w:cs="Arial" w:eastAsia="Arial" w:hAnsi="Arial"/>
          <w:sz w:val="16"/>
          <w:szCs w:val="16"/>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Contract services revenue, including revenue from intelligence, surveillance, and reconnaissance (“ISR”) services, is recognized over time as services are rendered. In accordance with ASC Topic 606,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w:t>
      </w:r>
    </w:p>
    <w:p>
      <w:pPr>
        <w:spacing w:after="0" w:line="174" w:lineRule="exact"/>
        <w:rPr>
          <w:sz w:val="20"/>
          <w:szCs w:val="20"/>
          <w:color w:val="auto"/>
        </w:rPr>
      </w:pPr>
    </w:p>
    <w:p>
      <w:pPr>
        <w:ind w:left="40" w:right="199"/>
        <w:spacing w:after="0" w:line="311" w:lineRule="auto"/>
        <w:rPr>
          <w:sz w:val="20"/>
          <w:szCs w:val="20"/>
          <w:color w:val="auto"/>
        </w:rPr>
      </w:pPr>
      <w:r>
        <w:rPr>
          <w:rFonts w:ascii="Arial" w:cs="Arial" w:eastAsia="Arial" w:hAnsi="Arial"/>
          <w:sz w:val="16"/>
          <w:szCs w:val="16"/>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other direct costs, and indirect costs applicable on government and commercial contracts.</w:t>
      </w:r>
    </w:p>
    <w:p>
      <w:pPr>
        <w:spacing w:after="0" w:line="225" w:lineRule="exact"/>
        <w:rPr>
          <w:sz w:val="20"/>
          <w:szCs w:val="20"/>
          <w:color w:val="auto"/>
        </w:rPr>
      </w:pPr>
    </w:p>
    <w:p>
      <w:pPr>
        <w:ind w:left="40" w:right="119"/>
        <w:spacing w:after="0" w:line="275" w:lineRule="auto"/>
        <w:rPr>
          <w:sz w:val="20"/>
          <w:szCs w:val="20"/>
          <w:color w:val="auto"/>
        </w:rPr>
      </w:pPr>
      <w:r>
        <w:rPr>
          <w:rFonts w:ascii="Arial" w:cs="Arial" w:eastAsia="Arial" w:hAnsi="Arial"/>
          <w:sz w:val="17"/>
          <w:szCs w:val="17"/>
          <w:color w:val="auto"/>
        </w:rPr>
        <w:t>For performance obligations which are not satisfied over time per the aforementioned criteria above, revenue is recognized at the point in time in which each performance obligation is fully satisfied. The Company’s small UAS, medium UAS (“MUAS) and UGV product sales revenue is composed of revenue recognized on contracts for the delivery of small UAS, MUAS and UGV systems and spare parts. Revenue is recognized at the point in time when control transfers to the customer, which generally occurs when title and risk of loss have passed to the customer.</w:t>
      </w:r>
    </w:p>
    <w:p>
      <w:pPr>
        <w:spacing w:after="0" w:line="176" w:lineRule="exact"/>
        <w:rPr>
          <w:sz w:val="20"/>
          <w:szCs w:val="20"/>
          <w:color w:val="auto"/>
        </w:rPr>
      </w:pPr>
    </w:p>
    <w:p>
      <w:pPr>
        <w:jc w:val="both"/>
        <w:ind w:left="40" w:right="99"/>
        <w:spacing w:after="0" w:line="286" w:lineRule="auto"/>
        <w:rPr>
          <w:sz w:val="20"/>
          <w:szCs w:val="20"/>
          <w:color w:val="auto"/>
        </w:rPr>
      </w:pPr>
      <w:r>
        <w:rPr>
          <w:rFonts w:ascii="Arial" w:cs="Arial" w:eastAsia="Arial" w:hAnsi="Arial"/>
          <w:sz w:val="17"/>
          <w:szCs w:val="17"/>
          <w:color w:val="auto"/>
        </w:rPr>
        <w:t>Performance obligations satisfied over time accounted for 61% and 38% of revenue during the three months ended July 31, 2021 and August 1, 2020, respectively. Performance obligations satisfied at a point in time accounted for 39% and 62% of revenue during the three months ended July 31, 2021 and August 1, 2020, respectively.</w:t>
      </w:r>
    </w:p>
    <w:p>
      <w:pPr>
        <w:spacing w:after="0" w:line="219"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On July 31, 2021, the Company had approximately $257,685,000 of remaining performance obligations under fully funded contracts with its customers, which the Company also refers to as funded backlog. The Company currently expects to recognize approximately 84% of the remaining performance obligations as revenue in fiscal 2022 and an additional 16% in fiscal 2023.</w:t>
      </w:r>
    </w:p>
    <w:p>
      <w:pPr>
        <w:spacing w:after="0" w:line="187" w:lineRule="exact"/>
        <w:rPr>
          <w:sz w:val="20"/>
          <w:szCs w:val="20"/>
          <w:color w:val="auto"/>
        </w:rPr>
      </w:pPr>
    </w:p>
    <w:p>
      <w:pPr>
        <w:ind w:left="40" w:right="79"/>
        <w:spacing w:after="0" w:line="308" w:lineRule="auto"/>
        <w:rPr>
          <w:sz w:val="20"/>
          <w:szCs w:val="20"/>
          <w:color w:val="auto"/>
        </w:rPr>
      </w:pPr>
      <w:r>
        <w:rPr>
          <w:rFonts w:ascii="Arial" w:cs="Arial" w:eastAsia="Arial" w:hAnsi="Arial"/>
          <w:sz w:val="17"/>
          <w:szCs w:val="17"/>
          <w:color w:val="auto"/>
        </w:rPr>
        <w:t>The Company collects sales, value added, and other taxes concurrent with revenue producing activities, which are excluded from revenue when they are both imposed on a specific transaction and collected from a customer.</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left="40" w:right="199"/>
        <w:spacing w:after="0" w:line="291"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66" w:lineRule="exact"/>
        <w:rPr>
          <w:sz w:val="20"/>
          <w:szCs w:val="20"/>
          <w:color w:val="auto"/>
        </w:rPr>
      </w:pPr>
    </w:p>
    <w:p>
      <w:pPr>
        <w:ind w:left="40" w:right="219"/>
        <w:spacing w:after="0" w:line="311" w:lineRule="auto"/>
        <w:rPr>
          <w:sz w:val="20"/>
          <w:szCs w:val="20"/>
          <w:color w:val="auto"/>
        </w:rPr>
      </w:pPr>
      <w:r>
        <w:rPr>
          <w:rFonts w:ascii="Arial" w:cs="Arial" w:eastAsia="Arial" w:hAnsi="Arial"/>
          <w:sz w:val="16"/>
          <w:szCs w:val="16"/>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49" w:lineRule="exact"/>
        <w:rPr>
          <w:sz w:val="20"/>
          <w:szCs w:val="20"/>
          <w:color w:val="auto"/>
        </w:rPr>
      </w:pPr>
    </w:p>
    <w:p>
      <w:pPr>
        <w:ind w:left="40" w:right="99"/>
        <w:spacing w:after="0" w:line="291"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Based on experience in estimating these amounts, they are included in the transaction price of the Company’s contracts and the associated remaining performance obligations.</w:t>
      </w:r>
    </w:p>
    <w:p>
      <w:pPr>
        <w:spacing w:after="0" w:line="166" w:lineRule="exact"/>
        <w:rPr>
          <w:sz w:val="20"/>
          <w:szCs w:val="20"/>
          <w:color w:val="auto"/>
        </w:rPr>
      </w:pPr>
    </w:p>
    <w:p>
      <w:pPr>
        <w:ind w:left="40" w:right="319"/>
        <w:spacing w:after="0" w:line="255" w:lineRule="auto"/>
        <w:rPr>
          <w:sz w:val="20"/>
          <w:szCs w:val="20"/>
          <w:color w:val="auto"/>
        </w:rPr>
      </w:pPr>
      <w:r>
        <w:rPr>
          <w:rFonts w:ascii="Arial" w:cs="Arial" w:eastAsia="Arial" w:hAnsi="Arial"/>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 and it is recorded in other current liabilities.</w:t>
      </w:r>
    </w:p>
    <w:p>
      <w:pPr>
        <w:spacing w:after="0" w:line="192" w:lineRule="exact"/>
        <w:rPr>
          <w:sz w:val="20"/>
          <w:szCs w:val="20"/>
          <w:color w:val="auto"/>
        </w:rPr>
      </w:pPr>
    </w:p>
    <w:p>
      <w:pPr>
        <w:ind w:left="40" w:right="259"/>
        <w:spacing w:after="0" w:line="311" w:lineRule="auto"/>
        <w:rPr>
          <w:sz w:val="20"/>
          <w:szCs w:val="20"/>
          <w:color w:val="auto"/>
        </w:rPr>
      </w:pPr>
      <w:r>
        <w:rPr>
          <w:rFonts w:ascii="Arial" w:cs="Arial" w:eastAsia="Arial" w:hAnsi="Arial"/>
          <w:sz w:val="16"/>
          <w:szCs w:val="16"/>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three month period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20"/>
        <w:spacing w:after="0" w:line="263" w:lineRule="auto"/>
        <w:rPr>
          <w:sz w:val="20"/>
          <w:szCs w:val="20"/>
          <w:color w:val="auto"/>
        </w:rPr>
      </w:pPr>
      <w:r>
        <w:rPr>
          <w:rFonts w:ascii="Arial" w:cs="Arial" w:eastAsia="Arial" w:hAnsi="Arial"/>
          <w:sz w:val="18"/>
          <w:szCs w:val="18"/>
          <w:color w:val="auto"/>
        </w:rPr>
        <w:t>ended July 31, 2021 or the three month period ended August 1, 2020. No adjustment on any one contract was material to the Company’s unaudited consolidated financial statements for the three month period ended July 31, 2021 or the three month period ended August 1, 2020.</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ind w:left="40" w:right="140"/>
        <w:spacing w:after="0" w:line="277" w:lineRule="auto"/>
        <w:rPr>
          <w:sz w:val="20"/>
          <w:szCs w:val="20"/>
          <w:color w:val="auto"/>
        </w:rPr>
      </w:pPr>
      <w:r>
        <w:rPr>
          <w:rFonts w:ascii="Arial" w:cs="Arial" w:eastAsia="Arial" w:hAnsi="Arial"/>
          <w:sz w:val="18"/>
          <w:szCs w:val="18"/>
          <w:color w:val="auto"/>
        </w:rPr>
        <w:t>The following tables present the Company’s revenue disaggregated by major product line, contract type, customer category and geographic location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Revenue by major product line/program</w:t>
            </w:r>
          </w:p>
        </w:tc>
        <w:tc>
          <w:tcPr>
            <w:tcW w:w="19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July 31,</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7"/>
              </w:rPr>
              <w:t>August 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040" w:type="dxa"/>
            <w:vAlign w:val="bottom"/>
            <w:tcBorders>
              <w:bottom w:val="single" w:sz="8" w:color="CCEEFF"/>
            </w:tcBorders>
            <w:vMerge w:val="continue"/>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Small UAS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TMS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MUAS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21,714</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101,009</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87,450</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Revenue by contract type</w:t>
            </w:r>
          </w:p>
        </w:tc>
        <w:tc>
          <w:tcPr>
            <w:tcW w:w="19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July 31,</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7"/>
              </w:rPr>
              <w:t>August 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040" w:type="dxa"/>
            <w:vAlign w:val="bottom"/>
            <w:tcBorders>
              <w:bottom w:val="single" w:sz="8" w:color="CCEEFF"/>
            </w:tcBorders>
            <w:vMerge w:val="continue"/>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FFP</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80,766</w:t>
            </w:r>
          </w:p>
        </w:tc>
        <w:tc>
          <w:tcPr>
            <w:tcW w:w="22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CPFF</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1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Arial" w:cs="Arial" w:eastAsia="Arial" w:hAnsi="Arial"/>
                <w:sz w:val="18"/>
                <w:szCs w:val="18"/>
                <w:color w:val="auto"/>
              </w:rPr>
              <w:t>Total revenue</w:t>
            </w:r>
          </w:p>
        </w:tc>
        <w:tc>
          <w:tcPr>
            <w:tcW w:w="1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101,009</w:t>
            </w:r>
          </w:p>
        </w:tc>
        <w:tc>
          <w:tcPr>
            <w:tcW w:w="2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87,450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60"/>
        <w:spacing w:after="0" w:line="275" w:lineRule="auto"/>
        <w:rPr>
          <w:sz w:val="20"/>
          <w:szCs w:val="20"/>
          <w:color w:val="auto"/>
        </w:rPr>
      </w:pPr>
      <w:r>
        <w:rPr>
          <w:rFonts w:ascii="Arial" w:cs="Arial" w:eastAsia="Arial" w:hAnsi="Arial"/>
          <w:sz w:val="17"/>
          <w:szCs w:val="17"/>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Revenue by customer category</w:t>
            </w:r>
          </w:p>
        </w:tc>
        <w:tc>
          <w:tcPr>
            <w:tcW w:w="2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7"/>
              </w:rPr>
              <w:t>July 31,</w:t>
            </w: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August 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20" w:type="dxa"/>
            <w:vAlign w:val="bottom"/>
            <w:tcBorders>
              <w:bottom w:val="single" w:sz="8" w:color="CCEEFF"/>
            </w:tcBorders>
            <w:vMerge w:val="continue"/>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U.S. government</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53,796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Non-U.S. government</w:t>
            </w:r>
          </w:p>
        </w:tc>
        <w:tc>
          <w:tcPr>
            <w:tcW w:w="2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8"/>
              </w:rPr>
              <w:t>33,654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101,009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8"/>
              </w:rPr>
              <w:t>87,450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Revenue by geographic location</w:t>
            </w:r>
          </w:p>
        </w:tc>
        <w:tc>
          <w:tcPr>
            <w:tcW w:w="2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7"/>
              </w:rPr>
              <w:t>July 31,</w:t>
            </w: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August 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20" w:type="dxa"/>
            <w:vAlign w:val="bottom"/>
            <w:tcBorders>
              <w:bottom w:val="single" w:sz="8" w:color="CCEEFF"/>
            </w:tcBorders>
            <w:vMerge w:val="continue"/>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53,430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2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8"/>
              </w:rPr>
              <w:t>34,020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101,009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8"/>
              </w:rPr>
              <w:t>87,450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left="40" w:right="180"/>
        <w:spacing w:after="0" w:line="291"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w:t>
      </w:r>
    </w:p>
    <w:p>
      <w:pPr>
        <w:sectPr>
          <w:pgSz w:w="11900" w:h="16838" w:orient="portrait"/>
          <w:cols w:equalWidth="0" w:num="1">
            <w:col w:w="9060"/>
          </w:cols>
          <w:pgMar w:left="1440" w:top="517" w:right="1399" w:bottom="1440" w:gutter="0" w:footer="0" w:header="0"/>
        </w:sectPr>
      </w:pP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71" w:lineRule="auto"/>
        <w:rPr>
          <w:sz w:val="20"/>
          <w:szCs w:val="20"/>
          <w:color w:val="auto"/>
        </w:rPr>
      </w:pPr>
      <w:r>
        <w:rPr>
          <w:rFonts w:ascii="Arial" w:cs="Arial" w:eastAsia="Arial" w:hAnsi="Arial"/>
          <w:sz w:val="17"/>
          <w:szCs w:val="17"/>
          <w:color w:val="auto"/>
        </w:rPr>
        <w:t>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three month period ended July 31, 2021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78" w:lineRule="exact"/>
        <w:rPr>
          <w:sz w:val="20"/>
          <w:szCs w:val="20"/>
          <w:color w:val="auto"/>
        </w:rPr>
      </w:pPr>
    </w:p>
    <w:p>
      <w:pPr>
        <w:jc w:val="both"/>
        <w:ind w:left="40" w:right="179"/>
        <w:spacing w:after="0" w:line="286" w:lineRule="auto"/>
        <w:rPr>
          <w:sz w:val="20"/>
          <w:szCs w:val="20"/>
          <w:color w:val="auto"/>
        </w:rPr>
      </w:pPr>
      <w:r>
        <w:rPr>
          <w:rFonts w:ascii="Arial" w:cs="Arial" w:eastAsia="Arial" w:hAnsi="Arial"/>
          <w:sz w:val="17"/>
          <w:szCs w:val="17"/>
          <w:color w:val="auto"/>
        </w:rPr>
        <w:t>Revenue recognized for the three month periods ended July 31, 2021 that was included in contract liability balances at the beginning of April 30, 2021 was $309,000; and revenue recognized for the three month periods ended August 1, 2020 that was included in contract liability balances at the beginning of April 30, 2020 was $1,973,000.</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40" w:right="79"/>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in deciding how to allocate resources and assess performance. The Company’s CODM, collectively the Chief Executive Officer and Chief Operations Officer, makes operating decisions, assesses performance and makes resource allocation decisions, including the allocation of research and development (“R&amp;D”). Accordingly, the Company identifies three reportable segments. Refer to Note 20—Segments for further details.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ind w:left="40" w:right="179"/>
        <w:spacing w:after="0" w:line="296" w:lineRule="auto"/>
        <w:rPr>
          <w:sz w:val="20"/>
          <w:szCs w:val="20"/>
          <w:color w:val="auto"/>
        </w:rPr>
      </w:pPr>
      <w:r>
        <w:rPr>
          <w:rFonts w:ascii="Arial" w:cs="Arial" w:eastAsia="Arial" w:hAnsi="Arial"/>
          <w:sz w:val="16"/>
          <w:szCs w:val="16"/>
          <w:color w:val="auto"/>
        </w:rPr>
        <w:t>The Company’s investments are accounted for as available-for-sale and are reported at fair value. Unrealized gains and losses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Management determines the appropriate classification of securities at the time of purchase and reevaluates such designation as of each balance sheet date.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12"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and retentions, and accounts payable approximate cost due to the short period of time to maturity.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12" w:lineRule="exact"/>
        <w:rPr>
          <w:sz w:val="20"/>
          <w:szCs w:val="20"/>
          <w:color w:val="auto"/>
        </w:rPr>
      </w:pPr>
    </w:p>
    <w:p>
      <w:pPr>
        <w:ind w:left="40" w:right="159"/>
        <w:spacing w:after="0" w:line="257" w:lineRule="auto"/>
        <w:rPr>
          <w:sz w:val="20"/>
          <w:szCs w:val="20"/>
          <w:color w:val="auto"/>
        </w:rPr>
      </w:pPr>
      <w:r>
        <w:rPr>
          <w:rFonts w:ascii="Arial" w:cs="Arial" w:eastAsia="Arial" w:hAnsi="Arial"/>
          <w:sz w:val="18"/>
          <w:szCs w:val="18"/>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CPFF and T&amp;M contracts.</w:t>
      </w:r>
    </w:p>
    <w:p>
      <w:pPr>
        <w:spacing w:after="0" w:line="188" w:lineRule="exact"/>
        <w:rPr>
          <w:sz w:val="20"/>
          <w:szCs w:val="20"/>
          <w:color w:val="auto"/>
        </w:rPr>
      </w:pPr>
    </w:p>
    <w:p>
      <w:pPr>
        <w:ind w:left="40" w:right="399"/>
        <w:spacing w:after="0" w:line="290" w:lineRule="auto"/>
        <w:rPr>
          <w:sz w:val="20"/>
          <w:szCs w:val="20"/>
          <w:color w:val="auto"/>
        </w:rPr>
      </w:pPr>
      <w:r>
        <w:rPr>
          <w:rFonts w:ascii="Arial" w:cs="Arial" w:eastAsia="Arial" w:hAnsi="Arial"/>
          <w:sz w:val="16"/>
          <w:szCs w:val="16"/>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actual rates unless collectability is not reasonably assured. At July 31, 2021 and April 30, 2021, the Company had no reserve for incurred cost claim audits.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(Loss) Earnings Per Share</w:t>
      </w:r>
    </w:p>
    <w:p>
      <w:pPr>
        <w:spacing w:after="0" w:line="229"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Basic (loss) earnings per share is computed using the weighted-average number of common shares outstanding, excluding shares of unvested restricted stock.</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reconciliation of basic to diluted shares is as follows: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20" w:type="dxa"/>
            <w:vAlign w:val="bottom"/>
            <w:vMerge w:val="restart"/>
          </w:tcPr>
          <w:p>
            <w:pPr>
              <w:spacing w:after="0"/>
              <w:rPr>
                <w:sz w:val="20"/>
                <w:szCs w:val="20"/>
                <w:color w:val="auto"/>
              </w:rPr>
            </w:pPr>
            <w:r>
              <w:rPr>
                <w:rFonts w:ascii="Arial" w:cs="Arial" w:eastAsia="Arial" w:hAnsi="Arial"/>
                <w:sz w:val="18"/>
                <w:szCs w:val="18"/>
                <w:color w:val="auto"/>
              </w:rPr>
              <w:t>Net income attributable to AeroVironment, Inc.</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31, 2021</w:t>
            </w: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August 1, 2020</w:t>
            </w:r>
          </w:p>
        </w:tc>
        <w:tc>
          <w:tcPr>
            <w:tcW w:w="0" w:type="dxa"/>
            <w:vAlign w:val="bottom"/>
          </w:tcPr>
          <w:p>
            <w:pPr>
              <w:spacing w:after="0"/>
              <w:rPr>
                <w:sz w:val="1"/>
                <w:szCs w:val="1"/>
                <w:color w:val="auto"/>
              </w:rPr>
            </w:pPr>
          </w:p>
        </w:tc>
      </w:tr>
      <w:tr>
        <w:trPr>
          <w:trHeight w:val="249"/>
        </w:trPr>
        <w:tc>
          <w:tcPr>
            <w:tcW w:w="632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(13,981)</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10,080</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 for basic earnings (loss) per share: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Weighted average common 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24,620,180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23,893,001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Dilutive effect of employee stock options, restricted stock and restricted stock units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Denominator for diluted earnings (loss) per share</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24,620,180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24,186,228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spacing w:after="0" w:line="254" w:lineRule="auto"/>
        <w:rPr>
          <w:sz w:val="20"/>
          <w:szCs w:val="20"/>
          <w:color w:val="auto"/>
        </w:rPr>
      </w:pPr>
      <w:r>
        <w:rPr>
          <w:rFonts w:ascii="Arial" w:cs="Arial" w:eastAsia="Arial" w:hAnsi="Arial"/>
          <w:sz w:val="18"/>
          <w:szCs w:val="18"/>
          <w:color w:val="auto"/>
        </w:rPr>
        <w:t>Potentially dilutive shares not included in the computation of diluted weighted-average common shares because their effect would have been anti-dilutive were 3,871 and 844 for the three months ended July 31, 2021 and August 1, 2020, respectively. Due to the net loss for the three months ended July 31, 2021,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276,107 for the three months ended July 31, 2021.</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color w:val="auto"/>
        </w:rPr>
        <w:t>Accounting pronouncements issued but not effective until after July 31, 2021 are not expected to be applicable to the Company.</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Discontinued Operations</w:t>
      </w:r>
    </w:p>
    <w:p>
      <w:pPr>
        <w:spacing w:after="0" w:line="229" w:lineRule="exact"/>
        <w:rPr>
          <w:sz w:val="20"/>
          <w:szCs w:val="20"/>
          <w:color w:val="auto"/>
        </w:rPr>
      </w:pPr>
    </w:p>
    <w:p>
      <w:pPr>
        <w:ind w:left="40" w:right="99"/>
        <w:spacing w:after="0" w:line="287" w:lineRule="auto"/>
        <w:rPr>
          <w:sz w:val="20"/>
          <w:szCs w:val="20"/>
          <w:color w:val="auto"/>
        </w:rPr>
      </w:pPr>
      <w:r>
        <w:rPr>
          <w:rFonts w:ascii="Arial" w:cs="Arial" w:eastAsia="Arial" w:hAnsi="Arial"/>
          <w:sz w:val="16"/>
          <w:szCs w:val="16"/>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In accordance with the terms of the Purchase Agreement, as amended by a side letter agreement executed at the closing, the Company received cash consideration of $31,994,000 upon closing, which resulted in a gain of $11,420,000 and has been recorded in gain on sale of business, net of tax in the consolidated statements of operations. During the year ended April 30, 2019, the Company recorded a reduction to the gain resulting from a working capital adjustment of $486,000. During the year ended April 30, 2020, the Company and Webasto engaged an independent accounting firm to resolve a working capital dispute with a maximum exposure of $922,000 pursuant to the terms of the Purchase Agreement. In June 2020, the independent accounting firm determined the final adjustment to the working capital dispute to be $341,000 which has been recorded net of tax as a loss of discontinued operations in the consolidated statements of operations for the year ended April 30, 2020.</w:t>
      </w:r>
    </w:p>
    <w:p>
      <w:pPr>
        <w:spacing w:after="0" w:line="172" w:lineRule="exact"/>
        <w:rPr>
          <w:sz w:val="20"/>
          <w:szCs w:val="20"/>
          <w:color w:val="auto"/>
        </w:rPr>
      </w:pPr>
    </w:p>
    <w:p>
      <w:pPr>
        <w:ind w:left="40" w:right="179"/>
        <w:spacing w:after="0" w:line="279" w:lineRule="auto"/>
        <w:rPr>
          <w:sz w:val="20"/>
          <w:szCs w:val="20"/>
          <w:color w:val="auto"/>
        </w:rPr>
      </w:pPr>
      <w:r>
        <w:rPr>
          <w:rFonts w:ascii="Arial" w:cs="Arial" w:eastAsia="Arial" w:hAnsi="Arial"/>
          <w:sz w:val="17"/>
          <w:szCs w:val="17"/>
          <w:color w:val="auto"/>
        </w:rPr>
        <w:t>The Company is entitled to receive additional cash consideration of $6,500,000 (the “Holdback”) upon tendering consents to assignment of two remaining customer contracts to Webasto. The Holdback was not recorded in the Company’s unaudited consolidated financial statements as the amount was not realized or realizable as of July 31, 2021. The Company’s satisfaction of the requirements for the payment of the Holdback is currently in dispute.</w:t>
      </w:r>
    </w:p>
    <w:p>
      <w:pPr>
        <w:spacing w:after="0" w:line="171" w:lineRule="exact"/>
        <w:rPr>
          <w:sz w:val="20"/>
          <w:szCs w:val="20"/>
          <w:color w:val="auto"/>
        </w:rPr>
      </w:pPr>
    </w:p>
    <w:p>
      <w:pPr>
        <w:ind w:left="40" w:right="219"/>
        <w:spacing w:after="0" w:line="301" w:lineRule="auto"/>
        <w:rPr>
          <w:sz w:val="20"/>
          <w:szCs w:val="20"/>
          <w:color w:val="auto"/>
        </w:rPr>
      </w:pPr>
      <w:r>
        <w:rPr>
          <w:rFonts w:ascii="Arial" w:cs="Arial" w:eastAsia="Arial" w:hAnsi="Arial"/>
          <w:sz w:val="16"/>
          <w:szCs w:val="16"/>
          <w:color w:val="auto"/>
        </w:rPr>
        <w:t>On February 22, 2019, Webasto filed a lawsuit, which was amended in April 2019, alleging several claims against the Company for breach of contract, indemnity, and bad faith, including allegations regarding inaccuracy of certain diligence disclosures and failure to provide certain consents to contract assignments, and related to a previously announced product recall. Webasto seeks to recover the costs of the recall and other damages totaling a minimum of $6,500,000 in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93" w:lineRule="auto"/>
        <w:rPr>
          <w:sz w:val="20"/>
          <w:szCs w:val="20"/>
          <w:color w:val="auto"/>
        </w:rPr>
      </w:pPr>
      <w:r>
        <w:rPr>
          <w:rFonts w:ascii="Arial" w:cs="Arial" w:eastAsia="Arial" w:hAnsi="Arial"/>
          <w:sz w:val="16"/>
          <w:szCs w:val="16"/>
          <w:color w:val="auto"/>
        </w:rPr>
        <w:t>addition to attorneys’ fees, costs, and punitive damages. On August 16, 2019, the Company filed a counterclaim against Webasto seeking payment of the Holdback and declaratory relief regarding Webasto’s cancellation of an assigned contract. Webasto again amended the complaint in May 2021 to include additional claims. On June 2, 2021, the Company filed an answer to Webasto’s second amended complaint filed in May 2021. The Company’s evaluation remains that many of the allegations in the Webasto lawsuit are meritless, but as the discovery phase of litigation continues the Company lacks sufficient information to fully analyze other allegations at this time. The Company continues to mount a vigorous defense.</w:t>
      </w:r>
    </w:p>
    <w:p>
      <w:pPr>
        <w:spacing w:after="0" w:line="164" w:lineRule="exact"/>
        <w:rPr>
          <w:sz w:val="20"/>
          <w:szCs w:val="20"/>
          <w:color w:val="auto"/>
        </w:rPr>
      </w:pPr>
    </w:p>
    <w:p>
      <w:pPr>
        <w:ind w:left="40" w:right="199"/>
        <w:spacing w:after="0" w:line="289" w:lineRule="auto"/>
        <w:rPr>
          <w:sz w:val="20"/>
          <w:szCs w:val="20"/>
          <w:color w:val="auto"/>
        </w:rPr>
      </w:pPr>
      <w:r>
        <w:rPr>
          <w:rFonts w:ascii="Arial" w:cs="Arial" w:eastAsia="Arial" w:hAnsi="Arial"/>
          <w:sz w:val="16"/>
          <w:szCs w:val="16"/>
          <w:color w:val="auto"/>
        </w:rPr>
        <w:t>In order to avoid the future cost, expense, and distraction of continued litigation, the Company engaged in settlement negotiations with Webasto; however, the negotiations did not result in a settlement of any of the Company’s or Webasto’s claims. As a result of the settlement negotiations, the Company established a litigation reserve, which reserve reflects the scope of a rejected offer intended to communicate the Company’s serious and good faith intention to attempt to reach a settlement for the stated purposes. The offer did not reflect the Company’s view of the merits of the claims made, and the Company continues to vigorously defend all claims. However, as a result of the preparation of the good faith offer and the Company’s willingness to pursue settlement for that amount, the Company recorded litigation reserve expenses in the amount of $9,300,000 during the year ended April 30, 2021 recorded in other expense on the consolidated statements of operations and in other non-current liabilities on the consolidated balance sheet.</w:t>
      </w:r>
    </w:p>
    <w:p>
      <w:pPr>
        <w:spacing w:after="0" w:line="166"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During the three months ended October 27, 2018, Webasto filed a recall report with the National Highway Traffic Safety Administration that named certain of the Company’s EES products as subject to the recall. The Company is continuing to assess the facts giving rise to the recall. Under the terms of the Purchase Agreement, the Company may be responsible for certain costs of such recall of named products the Company manufactured, sold or serviced prior to the closing of the sale of the EES Business. On August 14, 2019, Benchmark Electronics, Inc. (“Benchmark”), the company that assembled the products subject to the recall, served a demand for arbitration to the Company and Webasto, and a third-party part supplier pursuant to its contracts with the Company and Webasto, respectively. The Company filed a responsive pleading in the Benchmark arbitration on October 29, 2019, consisting of a general denial, affirmative defenses, and a reservation of the right to file counter-claims at a later date. Webasto challenged the validity of the Benchmark arbitration by filing an action in New York Superior Court. In December 2019, Webasto and Benchmark reached a settlement of their disputed claims. Benchmark withdrew its Notice of Arbitration against Webasto and the Company, but reserved its right to pursue indemnity claims against suppliers. The recall remains a significant part of the Webasto lawsuit.</w:t>
      </w:r>
    </w:p>
    <w:p>
      <w:pPr>
        <w:spacing w:after="0" w:line="168" w:lineRule="exact"/>
        <w:rPr>
          <w:sz w:val="20"/>
          <w:szCs w:val="20"/>
          <w:color w:val="auto"/>
        </w:rPr>
      </w:pPr>
    </w:p>
    <w:p>
      <w:pPr>
        <w:ind w:left="40" w:right="239"/>
        <w:spacing w:after="0" w:line="301" w:lineRule="auto"/>
        <w:rPr>
          <w:sz w:val="20"/>
          <w:szCs w:val="20"/>
          <w:color w:val="auto"/>
        </w:rPr>
      </w:pPr>
      <w:r>
        <w:rPr>
          <w:rFonts w:ascii="Arial" w:cs="Arial" w:eastAsia="Arial" w:hAnsi="Arial"/>
          <w:sz w:val="16"/>
          <w:szCs w:val="16"/>
          <w:color w:val="auto"/>
        </w:rPr>
        <w:t>Concurrent with the execution of the Purchase Agreement, the Company entered into a transition services agreement (the “TSA”) to provide certain general and administrative services to Webasto for a defined period. Income from performing services under the TSA was $0 and $38,000 and has been recorded in other (expense) income, net in the unaudited consolidated statements of operations for the three months ended July 31, 2021 and August 1, 2020, respectively.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3"/>
              <w:spacing w:after="0"/>
              <w:rPr>
                <w:sz w:val="20"/>
                <w:szCs w:val="20"/>
                <w:color w:val="auto"/>
              </w:rPr>
            </w:pPr>
            <w:r>
              <w:rPr>
                <w:rFonts w:ascii="Arial" w:cs="Arial" w:eastAsia="Arial" w:hAnsi="Arial"/>
                <w:sz w:val="14"/>
                <w:szCs w:val="14"/>
                <w:b w:val="1"/>
                <w:bCs w:val="1"/>
                <w:color w:val="auto"/>
              </w:rPr>
              <w:t>July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532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22,245</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4,009</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20" w:type="dxa"/>
            <w:vAlign w:val="bottom"/>
            <w:shd w:val="clear" w:color="auto" w:fill="CCEEFF"/>
          </w:tcPr>
          <w:p>
            <w:pPr>
              <w:spacing w:after="0"/>
              <w:rPr>
                <w:sz w:val="18"/>
                <w:szCs w:val="18"/>
                <w:color w:val="auto"/>
              </w:rPr>
            </w:pPr>
          </w:p>
        </w:tc>
      </w:tr>
      <w:tr>
        <w:trPr>
          <w:trHeight w:val="249"/>
        </w:trPr>
        <w:tc>
          <w:tcPr>
            <w:tcW w:w="5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short-term investments</w:t>
            </w:r>
          </w:p>
        </w:tc>
        <w:tc>
          <w:tcPr>
            <w:tcW w:w="15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17,953</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31,971</w:t>
            </w:r>
          </w:p>
        </w:tc>
        <w:tc>
          <w:tcPr>
            <w:tcW w:w="120" w:type="dxa"/>
            <w:vAlign w:val="bottom"/>
            <w:tcBorders>
              <w:bottom w:val="single" w:sz="8" w:color="CCEEFF"/>
            </w:tcBorders>
          </w:tcPr>
          <w:p>
            <w:pPr>
              <w:spacing w:after="0"/>
              <w:rPr>
                <w:sz w:val="21"/>
                <w:szCs w:val="21"/>
                <w:color w:val="auto"/>
              </w:rPr>
            </w:pPr>
          </w:p>
        </w:tc>
      </w:tr>
      <w:tr>
        <w:trPr>
          <w:trHeight w:val="197"/>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investments:</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U.S. government securities</w:t>
            </w:r>
          </w:p>
        </w:tc>
        <w:tc>
          <w:tcPr>
            <w:tcW w:w="1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tcPr>
          <w:p>
            <w:pPr>
              <w:spacing w:after="0"/>
              <w:rPr>
                <w:sz w:val="18"/>
                <w:szCs w:val="18"/>
                <w:color w:val="auto"/>
              </w:rPr>
            </w:pPr>
          </w:p>
        </w:tc>
      </w:tr>
      <w:tr>
        <w:trPr>
          <w:trHeight w:val="210"/>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available-for-sale investments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Equity method investments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limited partnership fund</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120" w:type="dxa"/>
            <w:vAlign w:val="bottom"/>
            <w:shd w:val="clear" w:color="auto" w:fill="CCEEFF"/>
          </w:tcPr>
          <w:p>
            <w:pPr>
              <w:spacing w:after="0"/>
              <w:rPr>
                <w:sz w:val="18"/>
                <w:szCs w:val="18"/>
                <w:color w:val="auto"/>
              </w:rPr>
            </w:pPr>
          </w:p>
        </w:tc>
      </w:tr>
      <w:tr>
        <w:trPr>
          <w:trHeight w:val="209"/>
        </w:trPr>
        <w:tc>
          <w:tcPr>
            <w:tcW w:w="5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equity method investments</w:t>
            </w:r>
          </w:p>
        </w:tc>
        <w:tc>
          <w:tcPr>
            <w:tcW w:w="1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120" w:type="dxa"/>
            <w:vAlign w:val="bottom"/>
            <w:tcBorders>
              <w:bottom w:val="single" w:sz="8" w:color="CCEEFF"/>
            </w:tcBorders>
          </w:tcPr>
          <w:p>
            <w:pPr>
              <w:spacing w:after="0"/>
              <w:rPr>
                <w:sz w:val="18"/>
                <w:szCs w:val="18"/>
                <w:color w:val="auto"/>
              </w:rPr>
            </w:pPr>
          </w:p>
        </w:tc>
      </w:tr>
      <w:tr>
        <w:trPr>
          <w:trHeight w:val="210"/>
        </w:trPr>
        <w:tc>
          <w:tcPr>
            <w:tcW w:w="5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long-term investments</w:t>
            </w:r>
          </w:p>
        </w:tc>
        <w:tc>
          <w:tcPr>
            <w:tcW w:w="1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Available-For-Sale Securities</w:t>
      </w:r>
    </w:p>
    <w:p>
      <w:pPr>
        <w:spacing w:after="0" w:line="229" w:lineRule="exact"/>
        <w:rPr>
          <w:sz w:val="20"/>
          <w:szCs w:val="20"/>
          <w:color w:val="auto"/>
        </w:rPr>
      </w:pPr>
    </w:p>
    <w:p>
      <w:pPr>
        <w:ind w:left="40" w:right="139"/>
        <w:spacing w:after="0" w:line="279" w:lineRule="auto"/>
        <w:rPr>
          <w:sz w:val="20"/>
          <w:szCs w:val="20"/>
          <w:color w:val="auto"/>
        </w:rPr>
      </w:pPr>
      <w:r>
        <w:rPr>
          <w:rFonts w:ascii="Arial" w:cs="Arial" w:eastAsia="Arial" w:hAnsi="Arial"/>
          <w:sz w:val="17"/>
          <w:szCs w:val="17"/>
          <w:color w:val="auto"/>
        </w:rPr>
        <w:t>As of July 31, 2021 and April 30, 2021, the balance of available-for-sale securities consisted of state and local government municipal securities, U.S. government securities, U.S. government agency securities, and investment grade corporate bonds. Interest earned from these investments is recorded in interest income. Realized gains on sales of these investments on the basis of specific identification are recorded in (expense) interest income.</w:t>
      </w:r>
    </w:p>
    <w:p>
      <w:pPr>
        <w:spacing w:after="0" w:line="171"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color w:val="auto"/>
        </w:rPr>
        <w:t>The following table is a summary of the activity related to the available-for-sale investments recorded in short-term and long-term investments as of July 31, 2021 and April 30, 2021, respectively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ind w:right="820"/>
              <w:spacing w:after="0"/>
              <w:rPr>
                <w:sz w:val="20"/>
                <w:szCs w:val="20"/>
                <w:color w:val="auto"/>
              </w:rPr>
            </w:pPr>
            <w:r>
              <w:rPr>
                <w:rFonts w:ascii="Arial" w:cs="Arial" w:eastAsia="Arial" w:hAnsi="Arial"/>
                <w:sz w:val="14"/>
                <w:szCs w:val="14"/>
                <w:b w:val="1"/>
                <w:bCs w:val="1"/>
                <w:color w:val="auto"/>
              </w:rPr>
              <w:t>July 31, 2021</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4"/>
                <w:szCs w:val="14"/>
                <w:b w:val="1"/>
                <w:bCs w:val="1"/>
                <w:color w:val="auto"/>
                <w:w w:val="97"/>
              </w:rPr>
              <w:t>April 30, 2021</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23,227</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23,233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8,009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36,953</w:t>
            </w:r>
          </w:p>
        </w:tc>
        <w:tc>
          <w:tcPr>
            <w:tcW w:w="28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8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36,959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The amortized cost and fair value of the available-for-sale debt securities by contractual maturity at July 31, 2021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17,953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tcPr>
          <w:p>
            <w:pPr>
              <w:spacing w:after="0"/>
              <w:rPr>
                <w:sz w:val="18"/>
                <w:szCs w:val="18"/>
                <w:color w:val="auto"/>
              </w:rPr>
            </w:pPr>
          </w:p>
        </w:tc>
      </w:tr>
      <w:tr>
        <w:trPr>
          <w:trHeight w:val="209"/>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18,938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4" w:lineRule="exact"/>
        <w:rPr>
          <w:sz w:val="20"/>
          <w:szCs w:val="20"/>
          <w:color w:val="auto"/>
        </w:rPr>
      </w:pPr>
    </w:p>
    <w:p>
      <w:pPr>
        <w:ind w:left="360" w:right="579" w:hanging="316"/>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360" w:right="239" w:hanging="316"/>
        <w:spacing w:after="0" w:line="26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3" w:lineRule="exact"/>
        <w:rPr>
          <w:rFonts w:ascii="Arial" w:cs="Arial" w:eastAsia="Arial" w:hAnsi="Arial"/>
          <w:sz w:val="18"/>
          <w:szCs w:val="18"/>
          <w:color w:val="auto"/>
        </w:rPr>
      </w:pPr>
    </w:p>
    <w:p>
      <w:pPr>
        <w:ind w:left="340" w:hanging="296"/>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Company’s financial assets measured at fair value on a recurring basis at July 31, 2021, were as follows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7"/>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$ 18,940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$ 18,940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6,475</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18,940</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25,415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859"/>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April 30, 2021, were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7"/>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$ 36,959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$ 36,959</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36,959</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42,480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on a recurring basis that used significant unobservable inputs (Level 3)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5785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May 1, 2021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Business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Transfers to Level 3</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losses (realized or unrealized)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Included in selling, general and administrative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July 31, 2021</w:t>
      </w:r>
    </w:p>
    <w:p>
      <w:pPr>
        <w:spacing w:after="0" w:line="23" w:lineRule="exact"/>
        <w:rPr>
          <w:sz w:val="20"/>
          <w:szCs w:val="20"/>
          <w:color w:val="auto"/>
        </w:rPr>
      </w:pPr>
    </w:p>
    <w:p>
      <w:pPr>
        <w:ind w:left="40"/>
        <w:spacing w:after="0" w:line="290" w:lineRule="auto"/>
        <w:rPr>
          <w:sz w:val="20"/>
          <w:szCs w:val="20"/>
          <w:color w:val="auto"/>
        </w:rPr>
      </w:pPr>
      <w:r>
        <w:rPr>
          <w:rFonts w:ascii="Arial" w:cs="Arial" w:eastAsia="Arial" w:hAnsi="Arial"/>
          <w:sz w:val="17"/>
          <w:szCs w:val="17"/>
          <w:color w:val="auto"/>
        </w:rPr>
        <w:t>The amount of total (gains) or losses for the period included in earnings attributable to the change in unrealized gains or losses relating to assets or liabilities still held at July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Fair Value</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Measurements Using</w:t>
      </w:r>
    </w:p>
    <w:p>
      <w:pPr>
        <w:jc w:val="center"/>
        <w:ind w:right="179"/>
        <w:spacing w:after="0" w:line="237" w:lineRule="auto"/>
        <w:rPr>
          <w:sz w:val="20"/>
          <w:szCs w:val="20"/>
          <w:color w:val="auto"/>
        </w:rPr>
      </w:pPr>
      <w:r>
        <w:rPr>
          <w:rFonts w:ascii="Arial" w:cs="Arial" w:eastAsia="Arial" w:hAnsi="Arial"/>
          <w:sz w:val="14"/>
          <w:szCs w:val="14"/>
          <w:b w:val="1"/>
          <w:bCs w:val="1"/>
          <w:color w:val="auto"/>
        </w:rPr>
        <w:t>Significant</w:t>
      </w:r>
    </w:p>
    <w:p>
      <w:pPr>
        <w:jc w:val="center"/>
        <w:ind w:right="179"/>
        <w:spacing w:after="0"/>
        <w:rPr>
          <w:sz w:val="20"/>
          <w:szCs w:val="20"/>
          <w:color w:val="auto"/>
        </w:rPr>
      </w:pPr>
      <w:r>
        <w:rPr>
          <w:rFonts w:ascii="Arial" w:cs="Arial" w:eastAsia="Arial" w:hAnsi="Arial"/>
          <w:sz w:val="13"/>
          <w:szCs w:val="13"/>
          <w:b w:val="1"/>
          <w:bCs w:val="1"/>
          <w:color w:val="auto"/>
        </w:rPr>
        <w:t>Unobservable Inputs</w:t>
      </w:r>
    </w:p>
    <w:p>
      <w:pPr>
        <w:jc w:val="center"/>
        <w:ind w:right="179"/>
        <w:spacing w:after="0"/>
        <w:rPr>
          <w:sz w:val="20"/>
          <w:szCs w:val="20"/>
          <w:color w:val="auto"/>
        </w:rPr>
      </w:pPr>
      <w:r>
        <w:rPr>
          <w:rFonts w:ascii="Arial" w:cs="Arial" w:eastAsia="Arial" w:hAnsi="Arial"/>
          <w:sz w:val="14"/>
          <w:szCs w:val="14"/>
          <w:b w:val="1"/>
          <w:bCs w:val="1"/>
          <w:color w:val="auto"/>
        </w:rPr>
        <w:t>(Level 3)</w:t>
      </w:r>
    </w:p>
    <w:p>
      <w:pPr>
        <w:spacing w:after="0" w:line="9" w:lineRule="exact"/>
        <w:rPr>
          <w:sz w:val="20"/>
          <w:szCs w:val="20"/>
          <w:color w:val="auto"/>
        </w:rPr>
      </w:pPr>
    </w:p>
    <w:p>
      <w:pPr>
        <w:ind w:left="960" w:hanging="960"/>
        <w:spacing w:after="0"/>
        <w:tabs>
          <w:tab w:leader="none" w:pos="960" w:val="left"/>
        </w:tabs>
        <w:numPr>
          <w:ilvl w:val="0"/>
          <w:numId w:val="4"/>
        </w:numPr>
        <w:rPr>
          <w:rFonts w:ascii="Arial" w:cs="Arial" w:eastAsia="Arial" w:hAnsi="Arial"/>
          <w:sz w:val="15"/>
          <w:szCs w:val="15"/>
          <w:color w:val="auto"/>
        </w:rPr>
      </w:pPr>
      <w:r>
        <w:rPr>
          <w:rFonts w:ascii="Arial" w:cs="Arial" w:eastAsia="Arial" w:hAnsi="Arial"/>
          <w:sz w:val="15"/>
          <w:szCs w:val="15"/>
          <w:color w:val="auto"/>
        </w:rPr>
        <w:t>5,521</w:t>
      </w:r>
    </w:p>
    <w:p>
      <w:pPr>
        <w:spacing w:after="0" w:line="42"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889</w:t>
      </w:r>
    </w:p>
    <w:p>
      <w:pPr>
        <w:spacing w:after="0" w:line="43" w:lineRule="exact"/>
        <w:rPr>
          <w:rFonts w:ascii="Arial" w:cs="Arial" w:eastAsia="Arial" w:hAnsi="Arial"/>
          <w:sz w:val="15"/>
          <w:szCs w:val="15"/>
          <w:color w:val="auto"/>
        </w:rPr>
      </w:pPr>
    </w:p>
    <w:p>
      <w:pPr>
        <w:ind w:left="1180"/>
        <w:spacing w:after="0"/>
        <w:rPr>
          <w:rFonts w:ascii="Arial" w:cs="Arial" w:eastAsia="Arial" w:hAnsi="Arial"/>
          <w:sz w:val="15"/>
          <w:szCs w:val="15"/>
          <w:color w:val="auto"/>
        </w:rPr>
      </w:pPr>
      <w:r>
        <w:rPr>
          <w:rFonts w:ascii="Arial" w:cs="Arial" w:eastAsia="Arial" w:hAnsi="Arial"/>
          <w:sz w:val="18"/>
          <w:szCs w:val="18"/>
          <w:color w:val="auto"/>
        </w:rPr>
        <w:t>—</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65</w:t>
      </w:r>
    </w:p>
    <w:p>
      <w:pPr>
        <w:spacing w:after="0" w:line="4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60" w:hanging="960"/>
        <w:spacing w:after="0"/>
        <w:tabs>
          <w:tab w:leader="none" w:pos="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6,475</w:t>
      </w:r>
    </w:p>
    <w:p>
      <w:pPr>
        <w:spacing w:after="0" w:line="272" w:lineRule="exact"/>
        <w:rPr>
          <w:rFonts w:ascii="Arial" w:cs="Arial" w:eastAsia="Arial" w:hAnsi="Arial"/>
          <w:sz w:val="15"/>
          <w:szCs w:val="15"/>
          <w:color w:val="auto"/>
        </w:rPr>
      </w:pPr>
    </w:p>
    <w:p>
      <w:pPr>
        <w:ind w:left="1180" w:hanging="1180"/>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9086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7080" w:space="340"/>
            <w:col w:w="1599"/>
          </w:cols>
          <w:pgMar w:left="1440" w:top="517" w:right="1440" w:bottom="1440" w:gutter="0" w:footer="0" w:header="0"/>
        </w:sectPr>
      </w:pPr>
    </w:p>
    <w:p>
      <w:pPr>
        <w:ind w:left="40" w:right="79"/>
        <w:spacing w:after="0" w:line="296" w:lineRule="auto"/>
        <w:rPr>
          <w:sz w:val="20"/>
          <w:szCs w:val="20"/>
          <w:color w:val="auto"/>
        </w:rPr>
      </w:pPr>
      <w:r>
        <w:rPr>
          <w:rFonts w:ascii="Arial" w:cs="Arial" w:eastAsia="Arial" w:hAnsi="Arial"/>
          <w:sz w:val="16"/>
          <w:szCs w:val="16"/>
          <w:color w:val="auto"/>
        </w:rPr>
        <w:t>Pursuant to the ISG Purchase Agreement, the sellers may receive up to a maximum of $6,000,000 in additional cash consideration (“contingent consideration”), if certain revenue targets are achieved during the 3 years following closing. The contingent consideration was valued using a Black-Scholes option-pricing model. The analysis considered, among other items, contractual terms of the ISG Purchase Agreement, the Company’s discount rate, the timing of expected future cash flows and the probability that the revenue targets required for payment of the contingent consideration will be achieved.</w:t>
      </w:r>
    </w:p>
    <w:p>
      <w:pPr>
        <w:spacing w:after="0" w:line="161" w:lineRule="exact"/>
        <w:rPr>
          <w:sz w:val="20"/>
          <w:szCs w:val="20"/>
          <w:color w:val="auto"/>
        </w:rPr>
      </w:pPr>
    </w:p>
    <w:p>
      <w:pPr>
        <w:ind w:left="40" w:right="139"/>
        <w:spacing w:after="0" w:line="273" w:lineRule="auto"/>
        <w:rPr>
          <w:sz w:val="20"/>
          <w:szCs w:val="20"/>
          <w:color w:val="auto"/>
        </w:rPr>
      </w:pPr>
      <w:r>
        <w:rPr>
          <w:rFonts w:ascii="Arial" w:cs="Arial" w:eastAsia="Arial" w:hAnsi="Arial"/>
          <w:sz w:val="17"/>
          <w:szCs w:val="17"/>
          <w:color w:val="auto"/>
        </w:rPr>
        <w:t>Pursuant to the Telerob Purchase Agreement, the Telerob Seller may receive up to a maximum of €6,000,000 (approximately $7,272,000) in additional cash consideration if specific revenue and contract award targets for Telerob are achieved during the 36 month period after closing. The contingent consideration was valued using a Black-Scholes option-pricing model. The analysis considered, among other items, contractual terms of the Telerob Purchase Agreement, the Company’s discount rate, the timing of expected future cash flows and the probability that the revenue and contract award targets required for payment of the contingent consideration will be achieved.</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Refer to Note 18—Business Acquisitions.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Inventories, net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31,</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5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29"/>
        </w:trPr>
        <w:tc>
          <w:tcPr>
            <w:tcW w:w="51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w:t>
            </w: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Work in process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13,825</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44,113</w:t>
            </w:r>
          </w:p>
        </w:tc>
        <w:tc>
          <w:tcPr>
            <w:tcW w:w="120" w:type="dxa"/>
            <w:vAlign w:val="bottom"/>
            <w:shd w:val="clear" w:color="auto" w:fill="CCEEFF"/>
          </w:tcPr>
          <w:p>
            <w:pPr>
              <w:spacing w:after="0"/>
              <w:rPr>
                <w:sz w:val="18"/>
                <w:szCs w:val="18"/>
                <w:color w:val="auto"/>
              </w:rPr>
            </w:pPr>
          </w:p>
        </w:tc>
      </w:tr>
      <w:tr>
        <w:trPr>
          <w:trHeight w:val="209"/>
        </w:trPr>
        <w:tc>
          <w:tcPr>
            <w:tcW w:w="5140" w:type="dxa"/>
            <w:vAlign w:val="bottom"/>
          </w:tcPr>
          <w:p>
            <w:pPr>
              <w:spacing w:after="0"/>
              <w:rPr>
                <w:sz w:val="20"/>
                <w:szCs w:val="20"/>
                <w:color w:val="auto"/>
              </w:rPr>
            </w:pPr>
            <w:r>
              <w:rPr>
                <w:rFonts w:ascii="Arial" w:cs="Arial" w:eastAsia="Arial" w:hAnsi="Arial"/>
                <w:sz w:val="18"/>
                <w:szCs w:val="18"/>
                <w:color w:val="auto"/>
              </w:rPr>
              <w:t>Inventories, gross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96,524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81,935</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(10,289)</w:t>
            </w: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Inventories, net</w:t>
            </w:r>
          </w:p>
        </w:tc>
        <w:tc>
          <w:tcPr>
            <w:tcW w:w="17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84,852</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71,646</w:t>
            </w:r>
          </w:p>
        </w:tc>
        <w:tc>
          <w:tcPr>
            <w:tcW w:w="12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Equity Method Investments</w:t>
      </w:r>
    </w:p>
    <w:p>
      <w:pPr>
        <w:spacing w:after="0" w:line="162"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color w:val="auto"/>
        </w:rPr>
        <w:t>In December 2017, the Company and SoftBank Corp. (“Softbank”) formed a joint venture, HAPSMobile Inc. (“HAPSMobile”), which is a Japanese corporation. Concurrent with the formation of HAPSMobile, the Company executed a Design and Development Agreement (the “DDA”) with HAPSMobile. As of July 31, 2021, the Company’s ownership stake in HAPSMobile was approximately 7%, with the remaining 93% held by SoftBank. In connection with the formation of the joint venture on December 27, 2017, the Company initially purchased shares of HAPSMobile representing a 5% ownership interest in exchange for an investment of 210,000,000 yen ($1,860,000). The Company</w:t>
      </w:r>
    </w:p>
    <w:p>
      <w:pPr>
        <w:sectPr>
          <w:pgSz w:w="11900" w:h="16838" w:orient="portrait"/>
          <w:cols w:equalWidth="0" w:num="1">
            <w:col w:w="9019"/>
          </w:cols>
          <w:pgMar w:left="1440" w:top="517" w:right="1440" w:bottom="1440" w:gutter="0" w:footer="0" w:header="0"/>
          <w:type w:val="continuous"/>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89" w:lineRule="auto"/>
        <w:rPr>
          <w:sz w:val="20"/>
          <w:szCs w:val="20"/>
          <w:color w:val="auto"/>
        </w:rPr>
      </w:pPr>
      <w:r>
        <w:rPr>
          <w:rFonts w:ascii="Arial" w:cs="Arial" w:eastAsia="Arial" w:hAnsi="Arial"/>
          <w:sz w:val="16"/>
          <w:szCs w:val="16"/>
          <w:color w:val="auto"/>
        </w:rPr>
        <w:t>subsequently purchased additional shares of HAPSMobile in order to maintain a 5% ownership stake in the joint venture. The first such purchase occurred on April 17, 2018, at which time the Company invested 150,000,000 yen ($1,407,000) for the purchase of additional shares of HAPSMobile. On January 29, 2019, the Company invested an additional 209,500,000 yen ($1,926,000) to maintain its 5% ownership stake. On February 9, 2019, the Company elected to purchase 632,800,000 yen ($5,671,000) of additional shares of HAPSMobile to increase the Company’s ownership in the joint venture from 5% to 10%, and on May 10, 2019, the Company purchased 500,000,000 yen ($4,569,000) of additional shares of HAPSMobile to maintain its 10% ownership stake. The Company’s ownership percentage was subsequently diluted from 10% to approximately 5%. On December 4, 2019, the Company purchased 540,050,000 yen ($4,982,000) of additional shares of HAPSMobile to increase its ownership stake to approximately 7%.</w:t>
      </w:r>
    </w:p>
    <w:p>
      <w:pPr>
        <w:spacing w:after="0" w:line="166" w:lineRule="exact"/>
        <w:rPr>
          <w:sz w:val="20"/>
          <w:szCs w:val="20"/>
          <w:color w:val="auto"/>
        </w:rPr>
      </w:pPr>
    </w:p>
    <w:p>
      <w:pPr>
        <w:ind w:left="40" w:right="379"/>
        <w:spacing w:after="0" w:line="259" w:lineRule="auto"/>
        <w:rPr>
          <w:sz w:val="20"/>
          <w:szCs w:val="20"/>
          <w:color w:val="auto"/>
        </w:rPr>
      </w:pPr>
      <w:r>
        <w:rPr>
          <w:rFonts w:ascii="Arial" w:cs="Arial" w:eastAsia="Arial" w:hAnsi="Arial"/>
          <w:sz w:val="18"/>
          <w:szCs w:val="18"/>
          <w:color w:val="auto"/>
        </w:rPr>
        <w:t>On May 29, 2021, the Company entered into an amendment to the DDA with HAPSMobile. The parties agreed to the amendment in anticipation of the Company and SoftBank entering into a Master Design and Development Agreement (“MDDA”) with each other to continue the design and development of the Solar High Altitude Pseudo-Satellite (“Solar HAPS”) aircraft developed under the DDA.</w:t>
      </w:r>
    </w:p>
    <w:p>
      <w:pPr>
        <w:spacing w:after="0" w:line="187" w:lineRule="exact"/>
        <w:rPr>
          <w:sz w:val="20"/>
          <w:szCs w:val="20"/>
          <w:color w:val="auto"/>
        </w:rPr>
      </w:pPr>
    </w:p>
    <w:p>
      <w:pPr>
        <w:ind w:left="40" w:right="79"/>
        <w:spacing w:after="0" w:line="288" w:lineRule="auto"/>
        <w:rPr>
          <w:sz w:val="20"/>
          <w:szCs w:val="20"/>
          <w:color w:val="auto"/>
        </w:rPr>
      </w:pPr>
      <w:r>
        <w:rPr>
          <w:rFonts w:ascii="Arial" w:cs="Arial" w:eastAsia="Arial" w:hAnsi="Arial"/>
          <w:sz w:val="16"/>
          <w:szCs w:val="16"/>
          <w:color w:val="auto"/>
        </w:rPr>
        <w:t>On May 29, 2021, the Company and SoftBank entered into a MDDA to continue the development of Solar HAPS. Pursuant to the MDDA, which has a five-year term, SoftBank will issue orders to the Company for the Company to perform design and development services and produce deliverables as specified in the applicable order(s). Upon the execution of the MDDA, SoftBank issued to the Company, and the Company accepted, the first order under the MDDA which has a maximum value of approximately $51,200,000. Concurrent with the execution of the MDDA, each of SoftBank and the Company agreed to lend HAPSMobile loans which are convertible into shares of HAPSMobile under certain conditions, and to cooperate with each other to explore restructuring and financing options for HAPSMobile to continue the development of Solar HAPS. The Company committed to lend 500,000,000 yen ($4,600,000). On June 7, 2021 the Company funded 130,000,000 yen ($1,195,000) of the loan agreement. On August 13, 2021, the Company made the second payment of the loan agreement in the amount of 180,000,000 yen ($1,638,000).</w:t>
      </w:r>
    </w:p>
    <w:p>
      <w:pPr>
        <w:spacing w:after="0" w:line="168"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As the Company has the ability to exercise significant influence over the operating and financial policies of HAPSMobile pursuant to the applicable Joint Venture Agreement and related organizational documents, the Company’s investment is accounted for as an equity method investment. For the three months ended July 31, 2021 and August 1, 2020, the Company recorded its proportionate net loss of HAPSMobile, or $1,655,000 and $1,008,000, respectively, in equity method investment loss, net of tax in the unaudited consolidated statement of operations. At July 31, 2021 and April 30, 2021, the carrying value of the investment in HAPSMobile was a liability of $415,000 and an asset of $10,455,000, respectively, was recorded in other current liabilities and other assets, respectively. The equity method losses recognized during the three months ended July 31, 2021 exceeded the Company’s loan contributions to date resulting in the recording of an accrued liability in the amount of $415,000 recorded in other current liabilities on the unaudited consolidated balance sheet as of July 31, 2021.</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 Limited Partnership Fund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July 2019, the Company made its initial capital contribution to a limited partnership fund focusing on highly relevant</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technologies and start-up companies serving defense and industrial markets. During the three months ended July 31, 2021</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August 1, 2021, the Company made additional contributions of $1,497,000 and $1,173,000, respectively. Under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terms of the limited partnership agreement, the Company has committed to make additional capital contributions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$880,000 to the fund. The Company accounts for investments in limited partnerships as equity method investments as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Company is deemed to have influence when it holds more than a minor interest. For the three months ended July 31, 2021</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August 1, 2020, the Company recorded its ownership percentage of the net gain (loss) of the limited partnership, 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$514,000 and $(280,000), respectively, in equity method investment loss in the unaudited consolidated statements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operations. At July 31, 2021 and April 30, 2021, the carrying value of the investment in the limited partnership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$9,178,000 and $7,168,000, respectively, was recorded in long-term investments.</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Warranty Reserves</w:t>
      </w:r>
    </w:p>
    <w:p>
      <w:pPr>
        <w:spacing w:after="0" w:line="162" w:lineRule="exact"/>
        <w:rPr>
          <w:sz w:val="20"/>
          <w:szCs w:val="20"/>
          <w:color w:val="auto"/>
        </w:rPr>
      </w:pPr>
    </w:p>
    <w:p>
      <w:pPr>
        <w:ind w:left="40" w:right="239"/>
        <w:spacing w:after="0" w:line="342" w:lineRule="auto"/>
        <w:rPr>
          <w:sz w:val="20"/>
          <w:szCs w:val="20"/>
          <w:color w:val="auto"/>
        </w:rPr>
      </w:pPr>
      <w:r>
        <w:rPr>
          <w:rFonts w:ascii="Arial" w:cs="Arial" w:eastAsia="Arial" w:hAnsi="Arial"/>
          <w:sz w:val="16"/>
          <w:szCs w:val="16"/>
          <w:color w:val="auto"/>
        </w:rPr>
        <w:t>The Company accrues an estimate of its exposure to warranty claims based upon both current and historical product sales data and warranty costs incurred. The warranty reserve is included in other current liabilities. The related expense is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included in cost of sales. Warranty reserve activity is summarized as follows for the three months ended July 31, 2021 and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1, 2020, respectively (in thousands):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5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July 31,</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72"/>
              <w:spacing w:after="0" w:line="119" w:lineRule="exact"/>
              <w:rPr>
                <w:sz w:val="20"/>
                <w:szCs w:val="20"/>
                <w:color w:val="auto"/>
              </w:rPr>
            </w:pPr>
            <w:r>
              <w:rPr>
                <w:rFonts w:ascii="Arial" w:cs="Arial" w:eastAsia="Arial" w:hAnsi="Arial"/>
                <w:sz w:val="13"/>
                <w:szCs w:val="13"/>
                <w:b w:val="1"/>
                <w:bCs w:val="1"/>
                <w:color w:val="auto"/>
              </w:rPr>
              <w:t>August 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Balance acquired from acquisition</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Warranty expense</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Warranty costs settled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8. Intangibles, net</w:t>
            </w:r>
          </w:p>
        </w:tc>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560" w:type="dxa"/>
            <w:vAlign w:val="bottom"/>
          </w:tcPr>
          <w:p>
            <w:pPr>
              <w:spacing w:after="0"/>
              <w:rPr>
                <w:sz w:val="20"/>
                <w:szCs w:val="20"/>
                <w:color w:val="auto"/>
              </w:rPr>
            </w:pPr>
            <w:r>
              <w:rPr>
                <w:rFonts w:ascii="Arial" w:cs="Arial" w:eastAsia="Arial" w:hAnsi="Arial"/>
                <w:sz w:val="18"/>
                <w:szCs w:val="18"/>
                <w:color w:val="auto"/>
              </w:rPr>
              <w:t>The components of intangibles are as follows (in thousands):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55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58,178</w:t>
            </w:r>
          </w:p>
        </w:tc>
        <w:tc>
          <w:tcPr>
            <w:tcW w:w="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Licenses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Backlog</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Non-compete agreements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Intangibles, gross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135,552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1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(17,697)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(10,604)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3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117,855</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106,268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59"/>
        <w:spacing w:after="0" w:line="342" w:lineRule="auto"/>
        <w:rPr>
          <w:sz w:val="20"/>
          <w:szCs w:val="20"/>
          <w:color w:val="auto"/>
        </w:rPr>
      </w:pPr>
      <w:r>
        <w:rPr>
          <w:rFonts w:ascii="Arial" w:cs="Arial" w:eastAsia="Arial" w:hAnsi="Arial"/>
          <w:sz w:val="16"/>
          <w:szCs w:val="16"/>
          <w:color w:val="auto"/>
        </w:rPr>
        <w:t>The weighted average amortization period at July 31, 2021 and April 30, 2021 was five years, respectively. Amortization expense for the three months ended July 31, 2021 and August 1, 2020 was $6,973,000 and $709,000, respectively.</w:t>
      </w:r>
    </w:p>
    <w:p>
      <w:pPr>
        <w:spacing w:after="0" w:line="124" w:lineRule="exact"/>
        <w:rPr>
          <w:sz w:val="20"/>
          <w:szCs w:val="20"/>
          <w:color w:val="auto"/>
        </w:rPr>
      </w:pPr>
    </w:p>
    <w:p>
      <w:pPr>
        <w:ind w:left="40" w:right="359"/>
        <w:spacing w:after="0" w:line="257" w:lineRule="auto"/>
        <w:rPr>
          <w:sz w:val="20"/>
          <w:szCs w:val="20"/>
          <w:color w:val="auto"/>
        </w:rPr>
      </w:pPr>
      <w:r>
        <w:rPr>
          <w:rFonts w:ascii="Arial" w:cs="Arial" w:eastAsia="Arial" w:hAnsi="Arial"/>
          <w:sz w:val="18"/>
          <w:szCs w:val="18"/>
          <w:color w:val="auto"/>
        </w:rPr>
        <w:t>Technology, backlog and customer relationship intangible assets were recognized in conjunction with the Company’s acquisition of Telerob on May 3, 2021. Technology and customer relationship intangible assets were recognized in conjunction with the Company’s acquisition of Arcturus on February 19, 2021. Technology and customer relationship intangible assets were recognized in conjunction with the Company’s acquisition of ISG on February 23, 2021. Refer to Note 18—Business Acquisitions for further details.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Estimated amortization expense for the next five years is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 ending</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210"/>
        </w:trPr>
        <w:tc>
          <w:tcPr>
            <w:tcW w:w="2360" w:type="dxa"/>
            <w:vAlign w:val="bottom"/>
            <w:tcBorders>
              <w:top w:val="single" w:sz="8" w:color="CCEEFF"/>
            </w:tcBorders>
            <w:shd w:val="clear" w:color="auto" w:fill="CCEEFF"/>
          </w:tcPr>
          <w:p>
            <w:pPr>
              <w:jc w:val="right"/>
              <w:ind w:right="1910"/>
              <w:spacing w:after="0"/>
              <w:rPr>
                <w:sz w:val="20"/>
                <w:szCs w:val="20"/>
                <w:color w:val="auto"/>
              </w:rPr>
            </w:pPr>
            <w:r>
              <w:rPr>
                <w:rFonts w:ascii="Arial" w:cs="Arial" w:eastAsia="Arial" w:hAnsi="Arial"/>
                <w:sz w:val="18"/>
                <w:szCs w:val="18"/>
                <w:color w:val="auto"/>
                <w:w w:val="84"/>
              </w:rPr>
              <w:t>2022</w:t>
            </w:r>
          </w:p>
        </w:tc>
        <w:tc>
          <w:tcPr>
            <w:tcW w:w="5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right"/>
              <w:ind w:right="1910"/>
              <w:spacing w:after="0"/>
              <w:rPr>
                <w:sz w:val="20"/>
                <w:szCs w:val="20"/>
                <w:color w:val="auto"/>
              </w:rPr>
            </w:pPr>
            <w:r>
              <w:rPr>
                <w:rFonts w:ascii="Arial" w:cs="Arial" w:eastAsia="Arial" w:hAnsi="Arial"/>
                <w:sz w:val="18"/>
                <w:szCs w:val="18"/>
                <w:color w:val="auto"/>
                <w:w w:val="84"/>
              </w:rPr>
              <w:t>2023</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jc w:val="right"/>
              <w:ind w:right="1910"/>
              <w:spacing w:after="0"/>
              <w:rPr>
                <w:sz w:val="20"/>
                <w:szCs w:val="20"/>
                <w:color w:val="auto"/>
              </w:rPr>
            </w:pPr>
            <w:r>
              <w:rPr>
                <w:rFonts w:ascii="Arial" w:cs="Arial" w:eastAsia="Arial" w:hAnsi="Arial"/>
                <w:sz w:val="18"/>
                <w:szCs w:val="18"/>
                <w:color w:val="auto"/>
                <w:w w:val="84"/>
              </w:rPr>
              <w:t>2024</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right"/>
              <w:ind w:right="1910"/>
              <w:spacing w:after="0"/>
              <w:rPr>
                <w:sz w:val="20"/>
                <w:szCs w:val="20"/>
                <w:color w:val="auto"/>
              </w:rPr>
            </w:pPr>
            <w:r>
              <w:rPr>
                <w:rFonts w:ascii="Arial" w:cs="Arial" w:eastAsia="Arial" w:hAnsi="Arial"/>
                <w:sz w:val="18"/>
                <w:szCs w:val="18"/>
                <w:color w:val="auto"/>
                <w:w w:val="84"/>
              </w:rPr>
              <w:t>2025</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jc w:val="right"/>
              <w:ind w:right="1910"/>
              <w:spacing w:after="0"/>
              <w:rPr>
                <w:sz w:val="20"/>
                <w:szCs w:val="20"/>
                <w:color w:val="auto"/>
              </w:rPr>
            </w:pPr>
            <w:r>
              <w:rPr>
                <w:rFonts w:ascii="Arial" w:cs="Arial" w:eastAsia="Arial" w:hAnsi="Arial"/>
                <w:sz w:val="18"/>
                <w:szCs w:val="18"/>
                <w:color w:val="auto"/>
                <w:w w:val="84"/>
              </w:rPr>
              <w:t>2026</w:t>
            </w:r>
          </w:p>
        </w:tc>
        <w:tc>
          <w:tcPr>
            <w:tcW w:w="5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400" w:type="dxa"/>
            <w:vAlign w:val="bottom"/>
            <w:vMerge w:val="restart"/>
          </w:tcPr>
          <w:p>
            <w:pPr>
              <w:jc w:val="right"/>
              <w:ind w:right="31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36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3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the changes in the Company’s goodwill balance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340" w:type="dxa"/>
            <w:vAlign w:val="bottom"/>
            <w:gridSpan w:val="4"/>
          </w:tcPr>
          <w:p>
            <w:pPr>
              <w:ind w:left="1580"/>
              <w:spacing w:after="0"/>
              <w:rPr>
                <w:sz w:val="20"/>
                <w:szCs w:val="20"/>
                <w:color w:val="auto"/>
              </w:rPr>
            </w:pPr>
            <w:r>
              <w:rPr>
                <w:rFonts w:ascii="Arial" w:cs="Arial" w:eastAsia="Arial" w:hAnsi="Arial"/>
                <w:sz w:val="14"/>
                <w:szCs w:val="14"/>
                <w:b w:val="1"/>
                <w:bCs w:val="1"/>
                <w:color w:val="auto"/>
              </w:rPr>
              <w:t>Small UAS</w:t>
            </w:r>
          </w:p>
        </w:tc>
        <w:tc>
          <w:tcPr>
            <w:tcW w:w="12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rPr>
              <w:t>TMS</w:t>
            </w:r>
          </w:p>
        </w:tc>
        <w:tc>
          <w:tcPr>
            <w:tcW w:w="80" w:type="dxa"/>
            <w:vAlign w:val="bottom"/>
          </w:tcPr>
          <w:p>
            <w:pPr>
              <w:spacing w:after="0"/>
              <w:rPr>
                <w:sz w:val="14"/>
                <w:szCs w:val="14"/>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rPr>
              <w:t>MUAS</w:t>
            </w:r>
          </w:p>
        </w:tc>
        <w:tc>
          <w:tcPr>
            <w:tcW w:w="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Total</w:t>
            </w: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30, 2021</w:t>
            </w:r>
          </w:p>
        </w:tc>
        <w:tc>
          <w:tcPr>
            <w:tcW w:w="1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6,340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$ 288,611</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$ 19,254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314,205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Additions to goodwill</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20,824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20,824</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Balance at July 31, 2021</w:t>
            </w:r>
          </w:p>
        </w:tc>
        <w:tc>
          <w:tcPr>
            <w:tcW w:w="15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6,340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$ 288,611</w:t>
            </w: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$ 40,078</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335,029</w:t>
            </w:r>
          </w:p>
        </w:tc>
      </w:tr>
      <w:tr>
        <w:trPr>
          <w:trHeight w:val="20"/>
        </w:trPr>
        <w:tc>
          <w:tcPr>
            <w:tcW w:w="3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179"/>
        <w:spacing w:after="0" w:line="263" w:lineRule="auto"/>
        <w:rPr>
          <w:sz w:val="20"/>
          <w:szCs w:val="20"/>
          <w:color w:val="auto"/>
        </w:rPr>
      </w:pPr>
      <w:r>
        <w:rPr>
          <w:rFonts w:ascii="Arial" w:cs="Arial" w:eastAsia="Arial" w:hAnsi="Arial"/>
          <w:sz w:val="18"/>
          <w:szCs w:val="18"/>
          <w:color w:val="auto"/>
        </w:rPr>
        <w:t>The goodwill balance at April 30, 2021 is attributable to the acquisitions of Pulse, ISG, and Arcturus acquisitions. The All other goodwill addition is attributable to the Telerob acquisition. Refer to Note 18—Business Acquisitions for further details.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Debt</w:t>
      </w:r>
    </w:p>
    <w:p>
      <w:pPr>
        <w:spacing w:after="0" w:line="229" w:lineRule="exact"/>
        <w:rPr>
          <w:sz w:val="20"/>
          <w:szCs w:val="20"/>
          <w:color w:val="auto"/>
        </w:rPr>
      </w:pPr>
    </w:p>
    <w:p>
      <w:pPr>
        <w:ind w:left="40" w:right="319"/>
        <w:spacing w:after="0" w:line="301" w:lineRule="auto"/>
        <w:rPr>
          <w:sz w:val="20"/>
          <w:szCs w:val="20"/>
          <w:color w:val="auto"/>
        </w:rPr>
      </w:pPr>
      <w:r>
        <w:rPr>
          <w:rFonts w:ascii="Arial" w:cs="Arial" w:eastAsia="Arial" w:hAnsi="Arial"/>
          <w:sz w:val="16"/>
          <w:szCs w:val="16"/>
          <w:color w:val="auto"/>
        </w:rPr>
        <w:t>In connection with the consummation of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spacing w:after="0" w:line="157"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The Credit Agreement and its associated Security and Pledge Agreement set forth the terms and conditions for (i) a five-year $100 million revolving credit facility, which includes a $10 million sublimit for the issuance of standby and commercial letters of credit (the “Revolving Facility”), and (ii) a five-year amortized $200 million term A loan (the “Term Loan Facility”, and together with the Revolving Facility, the “Credit Facilities”). Certain existing letters of credit issued by JPMorgan Chase Bank were reserved for under the Revolving Facility at closing and remain outstanding under the terms thereof. Upon execution of the Credit Agreement, the Company drew the full principal of the Term Loan Facility for use in the acquisition of Arcturus. The Term Loan Facility requires payment of 5% of the outstanding obligations in each of the first four loan years, with the remaining 80%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w:t>
      </w:r>
    </w:p>
    <w:p>
      <w:pPr>
        <w:spacing w:after="0" w:line="179" w:lineRule="exact"/>
        <w:rPr>
          <w:sz w:val="20"/>
          <w:szCs w:val="20"/>
          <w:color w:val="auto"/>
        </w:rPr>
      </w:pPr>
    </w:p>
    <w:p>
      <w:pPr>
        <w:ind w:left="40" w:right="299"/>
        <w:spacing w:after="0" w:line="291" w:lineRule="auto"/>
        <w:rPr>
          <w:sz w:val="20"/>
          <w:szCs w:val="20"/>
          <w:color w:val="auto"/>
        </w:rPr>
      </w:pPr>
      <w:r>
        <w:rPr>
          <w:rFonts w:ascii="Arial" w:cs="Arial" w:eastAsia="Arial" w:hAnsi="Arial"/>
          <w:sz w:val="16"/>
          <w:szCs w:val="16"/>
          <w:color w:val="auto"/>
        </w:rPr>
        <w:t>The Credit Facilities provide the Company with a choice of interest rates between (a) LIBOR (with a 0% floor) plus the Applicable Margin; or (b) Base Rate (defined as the highest of (a) the Federal Funds Rate plus one-half percent (0.50%),</w:t>
      </w:r>
    </w:p>
    <w:p>
      <w:pPr>
        <w:ind w:left="40" w:right="79" w:firstLine="4"/>
        <w:spacing w:after="0" w:line="252"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Bank of America prime rate, and (c) the one (1) month LIBOR plus one percent (1.00%) plus the Applicable Margin. The Applicable Margin is based upon the Consolidated Leverage Ratio (as defined in the Credit Agreement) and whether the Company elects LIBOR (ranging from 1.50 - 2.25%) or Base Rate (ranging from 0.50 - 1.25%). The Company is also responsible for certain commitment fees from 0.20-0.35% depending on the Consolidated Leverage Ratio, and administrative agent expenses incurred in relation to the Credit Facilities. In the event of a default, an additional 2% default interest rate in addition to the applicable rate if specified or the Base Rate plus Applicable Margin if an applicable rate is not specified.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39"/>
        <w:spacing w:after="0" w:line="275" w:lineRule="auto"/>
        <w:rPr>
          <w:sz w:val="20"/>
          <w:szCs w:val="20"/>
          <w:color w:val="auto"/>
        </w:rPr>
      </w:pPr>
      <w:r>
        <w:rPr>
          <w:rFonts w:ascii="Arial" w:cs="Arial" w:eastAsia="Arial" w:hAnsi="Arial"/>
          <w:sz w:val="17"/>
          <w:szCs w:val="17"/>
          <w:color w:val="auto"/>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spacing w:after="0" w:line="176" w:lineRule="exact"/>
        <w:rPr>
          <w:sz w:val="20"/>
          <w:szCs w:val="20"/>
          <w:color w:val="auto"/>
        </w:rPr>
      </w:pPr>
    </w:p>
    <w:p>
      <w:pPr>
        <w:ind w:left="40" w:right="119"/>
        <w:spacing w:after="0" w:line="257" w:lineRule="auto"/>
        <w:rPr>
          <w:sz w:val="20"/>
          <w:szCs w:val="20"/>
          <w:color w:val="auto"/>
        </w:rPr>
      </w:pPr>
      <w:r>
        <w:rPr>
          <w:rFonts w:ascii="Arial" w:cs="Arial" w:eastAsia="Arial" w:hAnsi="Arial"/>
          <w:sz w:val="18"/>
          <w:szCs w:val="18"/>
          <w:color w:val="auto"/>
        </w:rPr>
        <w:t>In support of its obligations pursuant to the Credit Facilities, the Company has granted security interests in substantially all of the personal property of the Company and its domestic subsidiaries, including a pledge of the equity interests in its subsidiaries (limited to 65% of outstanding equity interests in the case of foreign subsidiaries), and the proceeds thereof, with customary exclusions and exceptions. The Company’s existing and future domestic subsidiaries, including Arcturus, are guarantors for the Credit Facilities.</w:t>
      </w:r>
    </w:p>
    <w:p>
      <w:pPr>
        <w:spacing w:after="0" w:line="188" w:lineRule="exact"/>
        <w:rPr>
          <w:sz w:val="20"/>
          <w:szCs w:val="20"/>
          <w:color w:val="auto"/>
        </w:rPr>
      </w:pPr>
    </w:p>
    <w:p>
      <w:pPr>
        <w:ind w:left="40" w:right="79"/>
        <w:spacing w:after="0" w:line="271" w:lineRule="auto"/>
        <w:rPr>
          <w:sz w:val="20"/>
          <w:szCs w:val="20"/>
          <w:color w:val="auto"/>
        </w:rPr>
      </w:pPr>
      <w:r>
        <w:rPr>
          <w:rFonts w:ascii="Arial" w:cs="Arial" w:eastAsia="Arial" w:hAnsi="Arial"/>
          <w:sz w:val="17"/>
          <w:szCs w:val="17"/>
          <w:color w:val="auto"/>
        </w:rPr>
        <w:t>The Credit Agreement contains certain customary representations and warranties and affirmative and negative covenants, including certain restrictions on the ability of the Company and its subsidiaries (as defined in the Credit Agreement) to incur any additional indebtedness or guarantee indebtedness of others, to create liens on properties or assets, or to enter into certain asset and stock-based transactions. In addition, the Credit Agreement includes certain financial maintenance covenants, requiring that (x) the Consolidated Leverage Ratio (as defined in the Credit Agreement) shall not be more than 3.00 to 1.00 as of the end of any fiscal quarter and (y) the Consolidated Fixed Charge Coverage Ratio (as defined in the Credit Agreement) shall not be less than 1.25 to 1.00 as of the end of any fiscal quarter. As of July 31, 2021, the Company is in compliance with all covenants.</w:t>
      </w:r>
    </w:p>
    <w:p>
      <w:pPr>
        <w:spacing w:after="0" w:line="178" w:lineRule="exact"/>
        <w:rPr>
          <w:sz w:val="20"/>
          <w:szCs w:val="20"/>
          <w:color w:val="auto"/>
        </w:rPr>
      </w:pPr>
    </w:p>
    <w:p>
      <w:pPr>
        <w:ind w:left="40" w:right="79"/>
        <w:spacing w:after="0" w:line="273" w:lineRule="auto"/>
        <w:rPr>
          <w:sz w:val="20"/>
          <w:szCs w:val="20"/>
          <w:color w:val="auto"/>
        </w:rPr>
      </w:pPr>
      <w:r>
        <w:rPr>
          <w:rFonts w:ascii="Arial" w:cs="Arial" w:eastAsia="Arial" w:hAnsi="Arial"/>
          <w:sz w:val="17"/>
          <w:szCs w:val="17"/>
          <w:color w:val="auto"/>
        </w:rPr>
        <w:t>The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 and the current period interest rates were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11"/>
        </w:trPr>
        <w:tc>
          <w:tcPr>
            <w:tcW w:w="6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July 31,</w:t>
            </w:r>
          </w:p>
        </w:tc>
        <w:tc>
          <w:tcPr>
            <w:tcW w:w="0" w:type="dxa"/>
            <w:vAlign w:val="bottom"/>
          </w:tcPr>
          <w:p>
            <w:pPr>
              <w:spacing w:after="0"/>
              <w:rPr>
                <w:sz w:val="1"/>
                <w:szCs w:val="1"/>
                <w:color w:val="auto"/>
              </w:rPr>
            </w:pPr>
          </w:p>
        </w:tc>
      </w:tr>
      <w:tr>
        <w:trPr>
          <w:trHeight w:val="201"/>
        </w:trPr>
        <w:tc>
          <w:tcPr>
            <w:tcW w:w="6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3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197,500</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Revolving credit facility</w:t>
            </w:r>
          </w:p>
        </w:tc>
        <w:tc>
          <w:tcPr>
            <w:tcW w:w="1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197,500</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1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debt issuance costs - term loans</w:t>
            </w:r>
          </w:p>
        </w:tc>
        <w:tc>
          <w:tcPr>
            <w:tcW w:w="1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 net of unamortized debt issuance costs - term loans</w:t>
            </w:r>
          </w:p>
        </w:tc>
        <w:tc>
          <w:tcPr>
            <w:tcW w:w="1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185,141</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Unamortized debt issuance costs - revolving credit facility</w:t>
            </w:r>
          </w:p>
        </w:tc>
        <w:tc>
          <w:tcPr>
            <w:tcW w:w="1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Current period interest rate</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648"/>
        </w:trPr>
        <w:tc>
          <w:tcPr>
            <w:tcW w:w="6420" w:type="dxa"/>
            <w:vAlign w:val="bottom"/>
          </w:tcPr>
          <w:p>
            <w:pPr>
              <w:ind w:left="4380"/>
              <w:spacing w:after="0"/>
              <w:rPr>
                <w:sz w:val="20"/>
                <w:szCs w:val="20"/>
                <w:color w:val="auto"/>
              </w:rPr>
            </w:pPr>
            <w:r>
              <w:rPr>
                <w:rFonts w:ascii="Arial" w:cs="Arial" w:eastAsia="Arial" w:hAnsi="Arial"/>
                <w:sz w:val="18"/>
                <w:szCs w:val="18"/>
                <w:color w:val="auto"/>
              </w:rPr>
              <w:t>21</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Future long-term debt principal payments at July 31, 2021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(In thousands)</w:t>
            </w:r>
          </w:p>
        </w:tc>
      </w:tr>
      <w:tr>
        <w:trPr>
          <w:trHeight w:val="216"/>
        </w:trPr>
        <w:tc>
          <w:tcPr>
            <w:tcW w:w="7840" w:type="dxa"/>
            <w:vAlign w:val="bottom"/>
            <w:shd w:val="clear" w:color="auto" w:fill="CCEEFF"/>
          </w:tcPr>
          <w:p>
            <w:pPr>
              <w:jc w:val="right"/>
              <w:ind w:right="7390"/>
              <w:spacing w:after="0"/>
              <w:rPr>
                <w:sz w:val="20"/>
                <w:szCs w:val="20"/>
                <w:color w:val="auto"/>
              </w:rPr>
            </w:pPr>
            <w:r>
              <w:rPr>
                <w:rFonts w:ascii="Arial" w:cs="Arial" w:eastAsia="Arial" w:hAnsi="Arial"/>
                <w:sz w:val="18"/>
                <w:szCs w:val="18"/>
                <w:color w:val="auto"/>
                <w:w w:val="84"/>
              </w:rPr>
              <w:t>2022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7840" w:type="dxa"/>
            <w:vAlign w:val="bottom"/>
          </w:tcPr>
          <w:p>
            <w:pPr>
              <w:jc w:val="right"/>
              <w:ind w:right="7390"/>
              <w:spacing w:after="0"/>
              <w:rPr>
                <w:sz w:val="20"/>
                <w:szCs w:val="20"/>
                <w:color w:val="auto"/>
              </w:rPr>
            </w:pPr>
            <w:r>
              <w:rPr>
                <w:rFonts w:ascii="Arial" w:cs="Arial" w:eastAsia="Arial" w:hAnsi="Arial"/>
                <w:sz w:val="18"/>
                <w:szCs w:val="18"/>
                <w:color w:val="auto"/>
                <w:w w:val="84"/>
              </w:rPr>
              <w:t>2023</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7840" w:type="dxa"/>
            <w:vAlign w:val="bottom"/>
            <w:shd w:val="clear" w:color="auto" w:fill="CCEEFF"/>
          </w:tcPr>
          <w:p>
            <w:pPr>
              <w:jc w:val="right"/>
              <w:ind w:right="7390"/>
              <w:spacing w:after="0"/>
              <w:rPr>
                <w:sz w:val="20"/>
                <w:szCs w:val="20"/>
                <w:color w:val="auto"/>
              </w:rPr>
            </w:pPr>
            <w:r>
              <w:rPr>
                <w:rFonts w:ascii="Arial" w:cs="Arial" w:eastAsia="Arial" w:hAnsi="Arial"/>
                <w:sz w:val="18"/>
                <w:szCs w:val="18"/>
                <w:color w:val="auto"/>
                <w:w w:val="84"/>
              </w:rPr>
              <w:t>2024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7840" w:type="dxa"/>
            <w:vAlign w:val="bottom"/>
          </w:tcPr>
          <w:p>
            <w:pPr>
              <w:jc w:val="right"/>
              <w:ind w:right="7390"/>
              <w:spacing w:after="0"/>
              <w:rPr>
                <w:sz w:val="20"/>
                <w:szCs w:val="20"/>
                <w:color w:val="auto"/>
              </w:rPr>
            </w:pPr>
            <w:r>
              <w:rPr>
                <w:rFonts w:ascii="Arial" w:cs="Arial" w:eastAsia="Arial" w:hAnsi="Arial"/>
                <w:sz w:val="18"/>
                <w:szCs w:val="18"/>
                <w:color w:val="auto"/>
                <w:w w:val="84"/>
              </w:rPr>
              <w:t>2025</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7840" w:type="dxa"/>
            <w:vAlign w:val="bottom"/>
            <w:shd w:val="clear" w:color="auto" w:fill="CCEEFF"/>
          </w:tcPr>
          <w:p>
            <w:pPr>
              <w:jc w:val="right"/>
              <w:ind w:right="7390"/>
              <w:spacing w:after="0"/>
              <w:rPr>
                <w:sz w:val="20"/>
                <w:szCs w:val="20"/>
                <w:color w:val="auto"/>
              </w:rPr>
            </w:pPr>
            <w:r>
              <w:rPr>
                <w:rFonts w:ascii="Arial" w:cs="Arial" w:eastAsia="Arial" w:hAnsi="Arial"/>
                <w:sz w:val="18"/>
                <w:szCs w:val="18"/>
                <w:color w:val="auto"/>
                <w:w w:val="84"/>
              </w:rPr>
              <w:t>2026</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r>
      <w:tr>
        <w:trPr>
          <w:trHeight w:val="210"/>
        </w:trPr>
        <w:tc>
          <w:tcPr>
            <w:tcW w:w="78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197,500</w:t>
            </w:r>
          </w:p>
        </w:tc>
      </w:tr>
      <w:tr>
        <w:trPr>
          <w:trHeight w:val="20"/>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pacing w:after="0" w:line="187" w:lineRule="exact"/>
        <w:rPr>
          <w:sz w:val="20"/>
          <w:szCs w:val="20"/>
          <w:color w:val="auto"/>
        </w:rPr>
      </w:pPr>
    </w:p>
    <w:p>
      <w:pPr>
        <w:ind w:left="40" w:right="79"/>
        <w:spacing w:after="0" w:line="270" w:lineRule="auto"/>
        <w:rPr>
          <w:sz w:val="20"/>
          <w:szCs w:val="20"/>
          <w:color w:val="auto"/>
        </w:rPr>
      </w:pPr>
      <w:r>
        <w:rPr>
          <w:rFonts w:ascii="Arial" w:cs="Arial" w:eastAsia="Arial" w:hAnsi="Arial"/>
          <w:sz w:val="17"/>
          <w:szCs w:val="17"/>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10 years, and some of which may include options to terminate the lease after two years. If the Company determines the option to extend or terminate is reasonably certain, it is included in the determination of lease assets and liabilities. For operating leases, the Company recognizes lease expense for these leases on a straight-line basis over the lease term.</w:t>
      </w:r>
    </w:p>
    <w:p>
      <w:pPr>
        <w:spacing w:after="0" w:line="181"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7"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The Company does not have any material restrictions or covenants in its lease agreements, sale-leaseback transactions, land easements or residual value guarantees.</w:t>
      </w:r>
    </w:p>
    <w:p>
      <w:pPr>
        <w:spacing w:after="0" w:line="170"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The components of lease costs recorded in cost of sales and selling, general and administrative (“SG&amp;A”) expense were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3"/>
              </w:rPr>
              <w:t>Three Months Ended 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July 31,</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August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Short term lease cost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 net</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Supplemental lease information were as follows:</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9"/>
          </w:tcPr>
          <w:p>
            <w:pPr>
              <w:spacing w:after="0"/>
              <w:rPr>
                <w:sz w:val="20"/>
                <w:szCs w:val="20"/>
                <w:color w:val="auto"/>
              </w:rPr>
            </w:pPr>
            <w:r>
              <w:rPr>
                <w:rFonts w:ascii="Arial" w:cs="Arial" w:eastAsia="Arial" w:hAnsi="Arial"/>
                <w:sz w:val="14"/>
                <w:szCs w:val="14"/>
                <w:b w:val="1"/>
                <w:bCs w:val="1"/>
                <w:color w:val="auto"/>
                <w:w w:val="94"/>
              </w:rPr>
              <w:t>Three Months Ended 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rPr>
              <w:t>July 31,</w:t>
            </w: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232"/>
              <w:spacing w:after="0" w:line="119" w:lineRule="exact"/>
              <w:rPr>
                <w:sz w:val="20"/>
                <w:szCs w:val="20"/>
                <w:color w:val="auto"/>
              </w:rPr>
            </w:pPr>
            <w:r>
              <w:rPr>
                <w:rFonts w:ascii="Arial" w:cs="Arial" w:eastAsia="Arial" w:hAnsi="Arial"/>
                <w:sz w:val="13"/>
                <w:szCs w:val="13"/>
                <w:b w:val="1"/>
                <w:bCs w:val="1"/>
                <w:color w:val="auto"/>
                <w:w w:val="97"/>
              </w:rPr>
              <w:t>August 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5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paid for amounts included in the measurement of operating lease liabilities</w:t>
            </w:r>
          </w:p>
        </w:tc>
        <w:tc>
          <w:tcPr>
            <w:tcW w:w="4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4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6,310</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70 months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46 months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00" w:type="dxa"/>
            <w:vAlign w:val="bottom"/>
            <w:gridSpan w:val="7"/>
          </w:tcPr>
          <w:p>
            <w:pPr>
              <w:spacing w:after="0"/>
              <w:rPr>
                <w:sz w:val="20"/>
                <w:szCs w:val="20"/>
                <w:color w:val="auto"/>
              </w:rPr>
            </w:pPr>
            <w:r>
              <w:rPr>
                <w:rFonts w:ascii="Arial" w:cs="Arial" w:eastAsia="Arial" w:hAnsi="Arial"/>
                <w:sz w:val="18"/>
                <w:szCs w:val="18"/>
                <w:color w:val="auto"/>
              </w:rPr>
              <w:t>Maturities of operating lease liabilities as of July 31, 2021 were as follows (in thousands):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present value of operating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Accumulated Other Comprehensive (Loss) Income and Reclassifications Adjustments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components of accumulated other comprehensive (loss) income and adjustments are as follows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19"/>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right"/>
              <w:ind w:right="337"/>
              <w:spacing w:after="0" w:line="119" w:lineRule="exact"/>
              <w:rPr>
                <w:sz w:val="20"/>
                <w:szCs w:val="20"/>
                <w:color w:val="auto"/>
              </w:rPr>
            </w:pPr>
            <w:r>
              <w:rPr>
                <w:rFonts w:ascii="Arial" w:cs="Arial" w:eastAsia="Arial" w:hAnsi="Arial"/>
                <w:sz w:val="13"/>
                <w:szCs w:val="13"/>
                <w:b w:val="1"/>
                <w:bCs w:val="1"/>
                <w:color w:val="auto"/>
              </w:rPr>
              <w:t>July 31,</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right"/>
              <w:ind w:right="297"/>
              <w:spacing w:after="0" w:line="119" w:lineRule="exact"/>
              <w:rPr>
                <w:sz w:val="20"/>
                <w:szCs w:val="20"/>
                <w:color w:val="auto"/>
              </w:rPr>
            </w:pPr>
            <w:r>
              <w:rPr>
                <w:rFonts w:ascii="Arial" w:cs="Arial" w:eastAsia="Arial" w:hAnsi="Arial"/>
                <w:sz w:val="13"/>
                <w:szCs w:val="13"/>
                <w:b w:val="1"/>
                <w:bCs w:val="1"/>
                <w:color w:val="auto"/>
              </w:rPr>
              <w:t>August 1,</w:t>
            </w:r>
          </w:p>
        </w:tc>
        <w:tc>
          <w:tcPr>
            <w:tcW w:w="0" w:type="dxa"/>
            <w:vAlign w:val="bottom"/>
          </w:tcPr>
          <w:p>
            <w:pPr>
              <w:spacing w:after="0"/>
              <w:rPr>
                <w:sz w:val="1"/>
                <w:szCs w:val="1"/>
                <w:color w:val="auto"/>
              </w:rPr>
            </w:pPr>
          </w:p>
        </w:tc>
      </w:tr>
      <w:tr>
        <w:trPr>
          <w:trHeight w:val="171"/>
        </w:trPr>
        <w:tc>
          <w:tcPr>
            <w:tcW w:w="60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6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Balance, net of $1 and $0 deferred taxes, as of April 30, 2021 and April 30, 2020,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2"/>
        </w:trPr>
        <w:tc>
          <w:tcPr>
            <w:tcW w:w="6000" w:type="dxa"/>
            <w:vAlign w:val="bottom"/>
          </w:tcPr>
          <w:p>
            <w:pPr>
              <w:ind w:left="220"/>
              <w:spacing w:after="0" w:line="201" w:lineRule="exact"/>
              <w:rPr>
                <w:sz w:val="20"/>
                <w:szCs w:val="20"/>
                <w:color w:val="auto"/>
              </w:rPr>
            </w:pPr>
            <w:r>
              <w:rPr>
                <w:rFonts w:ascii="Arial" w:cs="Arial" w:eastAsia="Arial" w:hAnsi="Arial"/>
                <w:sz w:val="18"/>
                <w:szCs w:val="18"/>
                <w:color w:val="auto"/>
                <w:w w:val="91"/>
              </w:rPr>
              <w:t>Unrealized loss on available-for-sale investments, net of deferred tax benefit of</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w w:val="99"/>
              </w:rPr>
              <w:t>$0 and $4 for the three months ended July 31, 2021 and August 1, 2020,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2"/>
        </w:trPr>
        <w:tc>
          <w:tcPr>
            <w:tcW w:w="6000" w:type="dxa"/>
            <w:vAlign w:val="bottom"/>
          </w:tcPr>
          <w:p>
            <w:pPr>
              <w:spacing w:after="0" w:line="182" w:lineRule="exact"/>
              <w:rPr>
                <w:sz w:val="20"/>
                <w:szCs w:val="20"/>
                <w:color w:val="auto"/>
              </w:rPr>
            </w:pPr>
            <w:r>
              <w:rPr>
                <w:rFonts w:ascii="Arial" w:cs="Arial" w:eastAsia="Arial" w:hAnsi="Arial"/>
                <w:sz w:val="18"/>
                <w:szCs w:val="18"/>
                <w:color w:val="auto"/>
                <w:w w:val="91"/>
              </w:rPr>
              <w:t>Balance, net of $1 and $4 deferred taxes, as of July 31, 2021 and August 1, 2020,</w:t>
            </w:r>
          </w:p>
        </w:tc>
        <w:tc>
          <w:tcPr>
            <w:tcW w:w="3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(394)</w:t>
            </w:r>
          </w:p>
        </w:tc>
        <w:tc>
          <w:tcPr>
            <w:tcW w:w="4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7"/>
        </w:trPr>
        <w:tc>
          <w:tcPr>
            <w:tcW w:w="6000" w:type="dxa"/>
            <w:vAlign w:val="bottom"/>
          </w:tcPr>
          <w:p>
            <w:pPr>
              <w:spacing w:after="0"/>
              <w:rPr>
                <w:sz w:val="20"/>
                <w:szCs w:val="20"/>
                <w:color w:val="auto"/>
              </w:rPr>
            </w:pPr>
            <w:r>
              <w:rPr>
                <w:rFonts w:ascii="Arial" w:cs="Arial" w:eastAsia="Arial" w:hAnsi="Arial"/>
                <w:sz w:val="18"/>
                <w:szCs w:val="18"/>
                <w:color w:val="auto"/>
              </w:rPr>
              <w:t>respectively</w:t>
            </w:r>
          </w:p>
        </w:tc>
        <w:tc>
          <w:tcPr>
            <w:tcW w:w="3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43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Customer-Funded Research &amp; Development</w:t>
      </w:r>
    </w:p>
    <w:p>
      <w:pPr>
        <w:spacing w:after="0" w:line="216" w:lineRule="exact"/>
        <w:rPr>
          <w:sz w:val="20"/>
          <w:szCs w:val="20"/>
          <w:color w:val="auto"/>
        </w:rPr>
      </w:pPr>
    </w:p>
    <w:p>
      <w:pPr>
        <w:ind w:left="40" w:right="199"/>
        <w:spacing w:after="0" w:line="257" w:lineRule="auto"/>
        <w:rPr>
          <w:sz w:val="20"/>
          <w:szCs w:val="20"/>
          <w:color w:val="auto"/>
        </w:rPr>
      </w:pPr>
      <w:r>
        <w:rPr>
          <w:rFonts w:ascii="Arial" w:cs="Arial" w:eastAsia="Arial" w:hAnsi="Arial"/>
          <w:sz w:val="18"/>
          <w:szCs w:val="18"/>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are recognized in accordance with Topic 606 over time as costs are incurred. Revenue from customer-funded R&amp;D was approximately $16,911,000 and $23,426,000 for the three months ended July 31, 2021 and August 1, 2020, respectively.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Long-Term Incentive Awards</w:t>
      </w:r>
    </w:p>
    <w:p>
      <w:pPr>
        <w:spacing w:after="0" w:line="216" w:lineRule="exact"/>
        <w:rPr>
          <w:sz w:val="20"/>
          <w:szCs w:val="20"/>
          <w:color w:val="auto"/>
        </w:rPr>
      </w:pPr>
    </w:p>
    <w:p>
      <w:pPr>
        <w:ind w:left="40" w:right="159"/>
        <w:spacing w:after="0" w:line="268" w:lineRule="auto"/>
        <w:rPr>
          <w:sz w:val="20"/>
          <w:szCs w:val="20"/>
          <w:color w:val="auto"/>
        </w:rPr>
      </w:pPr>
      <w:r>
        <w:rPr>
          <w:rFonts w:ascii="Arial" w:cs="Arial" w:eastAsia="Arial" w:hAnsi="Arial"/>
          <w:sz w:val="17"/>
          <w:szCs w:val="17"/>
          <w:color w:val="auto"/>
        </w:rPr>
        <w:t>During the three months ended July 31, 2021, the Company granted awards under its amended and restated 2006 Equity Incentive Plan (the “Restated 2006 Plan”) to key employees (“Fiscal 2022 LTIP”). Awards under the Fiscal 2022 LTIP consist of: (i) time-based restricted stock awards and time-based restricted stock units, which vest in equal tranches in July 2022, July 2023 and July 2024, and (ii) performance-based restricted stock units (“PRSUs”), which vest based on the Company’s achievement of revenue and operating income targets for the three-year period ending April 30, 2024.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months ended July 31, 2021, the Company recorded $308,000 of compensation expense related to the Fiscal 2022 LTIP. The Company recorded no compensation expense related to the Fiscal 2022 LTIP for the three months ended August 1, 2020. At July 31, 2021, the maximum compensation expense that may be recorded for the performance-based portion of the Fiscal 2022 LTIP is $13,314,000.</w:t>
      </w:r>
    </w:p>
    <w:p>
      <w:pPr>
        <w:spacing w:after="0" w:line="182" w:lineRule="exact"/>
        <w:rPr>
          <w:sz w:val="20"/>
          <w:szCs w:val="20"/>
          <w:color w:val="auto"/>
        </w:rPr>
      </w:pPr>
    </w:p>
    <w:p>
      <w:pPr>
        <w:ind w:left="40" w:right="199"/>
        <w:spacing w:after="0" w:line="287" w:lineRule="auto"/>
        <w:rPr>
          <w:sz w:val="20"/>
          <w:szCs w:val="20"/>
          <w:color w:val="auto"/>
        </w:rPr>
      </w:pPr>
      <w:r>
        <w:rPr>
          <w:rFonts w:ascii="Arial" w:cs="Arial" w:eastAsia="Arial" w:hAnsi="Arial"/>
          <w:sz w:val="16"/>
          <w:szCs w:val="16"/>
          <w:color w:val="auto"/>
        </w:rPr>
        <w:t>During the three months ended August 1, 2020, the Company granted awards under its amended and restated 2006 Equity Incentive Plan (the “Restated 2006 Plan”) to key employees (“Fiscal 2021 LTIP”). Awards under the Fiscal 2021 LTIP consist of: (i) time-based restricted stock awards, which vest in equal tranches in July 2021, July 2022 and July 2023, and</w:t>
      </w:r>
    </w:p>
    <w:p>
      <w:pPr>
        <w:spacing w:after="0" w:line="2" w:lineRule="exact"/>
        <w:rPr>
          <w:sz w:val="20"/>
          <w:szCs w:val="20"/>
          <w:color w:val="auto"/>
        </w:rPr>
      </w:pPr>
    </w:p>
    <w:p>
      <w:pPr>
        <w:ind w:left="40" w:right="79" w:firstLine="4"/>
        <w:spacing w:after="0" w:line="267" w:lineRule="auto"/>
        <w:tabs>
          <w:tab w:leader="none" w:pos="305"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performance-based restricted stock units (“PRSUs”), which vest based on the Company’s achievement of revenue and operating income targets for the three-year period ending April 30, 2023.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months ended July 31, 2021 and August 1, 2020, the Company recorded $65,000 and $91,000 of compensation expense related to the Fiscal 2021 LTIP, respectively. At July 31, 2021, the maximum compensation expense that may be recorded for the performance-based portion of the Fiscal 2021 LTIP is $7,337,000.</w:t>
      </w:r>
    </w:p>
    <w:p>
      <w:pPr>
        <w:spacing w:after="0" w:line="186"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During the three months ended July 27, 2019, the Company granted awards under the Restated 2006 Plan to key employees (“Fiscal 2020 LTIP”). Awards under the Fiscal 2020 LTIP consist of: (i) time-based restricted stock awards, which vest in equal tranches in July 2020, July 2021 and July 2022, and (ii) PRSUs, which vest based on the Company’s achievement of revenue and operating income targets for the three-year period ending April 30, 2022.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months ended July 31, 2021 and August 1, 2020, the Company recorded $(1,000) and $80,000 of compensation expense related to the Fiscal 2020 LTIP, respectively. At July 31, 2021, the maximum compensation expense that may be recorded for the performance-based portion of the Fiscal 2020 LTIP is $3,983,000.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spacing w:after="0" w:line="291" w:lineRule="auto"/>
        <w:rPr>
          <w:sz w:val="20"/>
          <w:szCs w:val="20"/>
          <w:color w:val="auto"/>
        </w:rPr>
      </w:pPr>
      <w:r>
        <w:rPr>
          <w:rFonts w:ascii="Arial" w:cs="Arial" w:eastAsia="Arial" w:hAnsi="Arial"/>
          <w:sz w:val="16"/>
          <w:szCs w:val="16"/>
          <w:color w:val="auto"/>
        </w:rPr>
        <w:t>During the three months ended July 28, 2018, the Company also granted awards under the Restated 2006 Plan to key employees (“Fiscal 2019 LTIP”). Awards under the Fiscal 2019 LTIP consist of: (i) time-based restricted stock awards, which vest in equal tranches in July 2019, July 2020 and July 2021, and (ii) PRSUs, which vest based on the Company’s achievement of revenue and operating income targets for the three-year period ending April 30, 2021. During the three months ended July 31, 2021, the Company issued a total of 12,101 fully-vested shares of common stock to settle the PRSUs in the Fiscal 2019 LTIP. For the three months ended July 31, 2021 and August 1, 2020, the Company recorded $0 and $75,000 of compensation expense related to the Fiscal 2019 LTIP, respectively.</w:t>
      </w:r>
    </w:p>
    <w:p>
      <w:pPr>
        <w:spacing w:after="0" w:line="166" w:lineRule="exact"/>
        <w:rPr>
          <w:sz w:val="20"/>
          <w:szCs w:val="20"/>
          <w:color w:val="auto"/>
        </w:rPr>
      </w:pPr>
    </w:p>
    <w:p>
      <w:pPr>
        <w:ind w:left="40" w:right="159"/>
        <w:spacing w:after="0" w:line="275" w:lineRule="auto"/>
        <w:rPr>
          <w:sz w:val="20"/>
          <w:szCs w:val="20"/>
          <w:color w:val="auto"/>
        </w:rPr>
      </w:pPr>
      <w:r>
        <w:rPr>
          <w:rFonts w:ascii="Arial" w:cs="Arial" w:eastAsia="Arial" w:hAnsi="Arial"/>
          <w:sz w:val="17"/>
          <w:szCs w:val="17"/>
          <w:color w:val="auto"/>
        </w:rPr>
        <w:t>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Income Taxes</w:t>
      </w:r>
    </w:p>
    <w:p>
      <w:pPr>
        <w:spacing w:after="0" w:line="216" w:lineRule="exact"/>
        <w:rPr>
          <w:sz w:val="20"/>
          <w:szCs w:val="20"/>
          <w:color w:val="auto"/>
        </w:rPr>
      </w:pPr>
    </w:p>
    <w:p>
      <w:pPr>
        <w:ind w:left="40" w:right="99"/>
        <w:spacing w:after="0" w:line="291" w:lineRule="auto"/>
        <w:rPr>
          <w:sz w:val="20"/>
          <w:szCs w:val="20"/>
          <w:color w:val="auto"/>
        </w:rPr>
      </w:pPr>
      <w:r>
        <w:rPr>
          <w:rFonts w:ascii="Arial" w:cs="Arial" w:eastAsia="Arial" w:hAnsi="Arial"/>
          <w:sz w:val="16"/>
          <w:szCs w:val="16"/>
          <w:color w:val="auto"/>
        </w:rPr>
        <w:t>For the three months ended July 31, 2021 and August 1, 2020, the Company recorded a (benefit from) and provision for income taxes of $(957,000) and $1,207,000, respectively, yielding effective tax rates of 7.0% and 9.6%, respectively. The variance from statutory rates for the three months ended July 31, 2021 was primarily due to federal R&amp;D credits, foreign derived intangible income deductions and the recording of discrete excess tax benefits resulting from the vesting of restricted stock awards and exercises of stock options. The variance from statutory rates for the three months ended August 1, 2020 was primarily due to federal R&amp;D credits, foreign derived intangible income deductions and the recording of discrete excess tax benefits resulting from the vesting of restricted stock awards and exercises of stock options.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Share Repurchase</w:t>
      </w:r>
    </w:p>
    <w:p>
      <w:pPr>
        <w:spacing w:after="0" w:line="216" w:lineRule="exact"/>
        <w:rPr>
          <w:sz w:val="20"/>
          <w:szCs w:val="20"/>
          <w:color w:val="auto"/>
        </w:rPr>
      </w:pPr>
    </w:p>
    <w:p>
      <w:pPr>
        <w:ind w:left="40" w:right="539"/>
        <w:spacing w:after="0" w:line="301" w:lineRule="auto"/>
        <w:rPr>
          <w:sz w:val="20"/>
          <w:szCs w:val="20"/>
          <w:color w:val="auto"/>
        </w:rPr>
      </w:pPr>
      <w:r>
        <w:rPr>
          <w:rFonts w:ascii="Arial" w:cs="Arial" w:eastAsia="Arial" w:hAnsi="Arial"/>
          <w:sz w:val="16"/>
          <w:szCs w:val="16"/>
          <w:color w:val="auto"/>
        </w:rPr>
        <w:t>In September 2015, the Company’s Board of Directors authorized a program to repurchase up to $25,000,000 of the Company’s common stock with no specified termination date for the program. No shares were repurchased under the program during the three months ended July 31, 2021 or August 1, 2020. As of July 31, 2021 and April 30, 2021, approximately $21,200,000 remained authorized for future repurchases under this program.</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ind w:left="40" w:right="59"/>
        <w:spacing w:after="0" w:line="253" w:lineRule="auto"/>
        <w:rPr>
          <w:sz w:val="20"/>
          <w:szCs w:val="20"/>
          <w:color w:val="auto"/>
        </w:rPr>
      </w:pPr>
      <w:r>
        <w:rPr>
          <w:rFonts w:ascii="Arial" w:cs="Arial" w:eastAsia="Arial" w:hAnsi="Arial"/>
          <w:sz w:val="18"/>
          <w:szCs w:val="18"/>
          <w:color w:val="auto"/>
        </w:rPr>
        <w:t>Related party transactions are defined as transactions between the Company and entities either controlled by the Company or that the Company can significantly influence. Although SoftBank has a controlling interest in HAPSMobile, the Company determined that it has the ability to exercise significant influence over HAPSMobile. As such, HAPSMobile and SoftBank are considered related parties of the Company. Under the DDA and related efforts with HAPSMobile, the Company will use its best efforts, up to a maximum net value of $185,202,000, to design and build prototype solar powered high altitude aircraft and ground control stations for HAPSMobile and conduct low altitude and high altitude flight tests of the prototype aircraft. The Company will continue the development of Solar HAPS with Softbank under the MDDA. Upon the execution of the MDDA, SoftBank issued the first order under the MDDA which has a maximum value of approximately $51,200,000.</w:t>
      </w:r>
    </w:p>
    <w:p>
      <w:pPr>
        <w:spacing w:after="0" w:line="196" w:lineRule="exact"/>
        <w:rPr>
          <w:sz w:val="20"/>
          <w:szCs w:val="20"/>
          <w:color w:val="auto"/>
        </w:rPr>
      </w:pPr>
    </w:p>
    <w:p>
      <w:pPr>
        <w:ind w:left="40" w:right="99"/>
        <w:spacing w:after="0" w:line="301" w:lineRule="auto"/>
        <w:rPr>
          <w:sz w:val="20"/>
          <w:szCs w:val="20"/>
          <w:color w:val="auto"/>
        </w:rPr>
      </w:pPr>
      <w:r>
        <w:rPr>
          <w:rFonts w:ascii="Arial" w:cs="Arial" w:eastAsia="Arial" w:hAnsi="Arial"/>
          <w:sz w:val="16"/>
          <w:szCs w:val="16"/>
          <w:color w:val="auto"/>
        </w:rPr>
        <w:t>The Company recorded revenue under both the MDDA and DDA of $10,352,000 and $16,386,000 for the three months ended July 31, 2021 and August 1, 2020, respectively. At July 31, 2021 and April 30, 2021, the Company had unbilled related party receivables from HAPSMobile of $5,568,000 and $544,000 recorded in unbilled receivables and retentions on the consolidated balance sheets, respectively. Refer to Note 6—Equity Method Investments for further details.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right="7059" w:firstLine="4"/>
        <w:spacing w:after="0" w:line="603" w:lineRule="auto"/>
        <w:tabs>
          <w:tab w:leader="none" w:pos="31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Business Acquisitions Telerob Acquisition</w:t>
      </w:r>
    </w:p>
    <w:p>
      <w:pPr>
        <w:spacing w:after="0" w:line="1" w:lineRule="exact"/>
        <w:rPr>
          <w:sz w:val="20"/>
          <w:szCs w:val="20"/>
          <w:color w:val="auto"/>
        </w:rPr>
      </w:pPr>
    </w:p>
    <w:p>
      <w:pPr>
        <w:jc w:val="both"/>
        <w:ind w:left="40" w:right="199"/>
        <w:spacing w:after="0" w:line="263" w:lineRule="auto"/>
        <w:rPr>
          <w:sz w:val="20"/>
          <w:szCs w:val="20"/>
          <w:color w:val="auto"/>
        </w:rPr>
      </w:pPr>
      <w:r>
        <w:rPr>
          <w:rFonts w:ascii="Arial" w:cs="Arial" w:eastAsia="Arial" w:hAnsi="Arial"/>
          <w:sz w:val="18"/>
          <w:szCs w:val="18"/>
          <w:color w:val="auto"/>
        </w:rPr>
        <w:t>On May 3, 2021, the Company closed its acquisition of Telerob pursuant to the terms of the Telerob Purchase Agreement. Telerob develops, manufactures, sells, and services remote-controlled unmanned ground robots and transport vehicles for civil and defense applications.</w:t>
      </w:r>
    </w:p>
    <w:p>
      <w:pPr>
        <w:spacing w:after="0" w:line="184" w:lineRule="exact"/>
        <w:rPr>
          <w:sz w:val="20"/>
          <w:szCs w:val="20"/>
          <w:color w:val="auto"/>
        </w:rPr>
      </w:pPr>
    </w:p>
    <w:p>
      <w:pPr>
        <w:ind w:left="40" w:right="159"/>
        <w:spacing w:after="0" w:line="285" w:lineRule="auto"/>
        <w:rPr>
          <w:sz w:val="20"/>
          <w:szCs w:val="20"/>
          <w:color w:val="auto"/>
        </w:rPr>
      </w:pPr>
      <w:r>
        <w:rPr>
          <w:rFonts w:ascii="Arial" w:cs="Arial" w:eastAsia="Arial" w:hAnsi="Arial"/>
          <w:sz w:val="16"/>
          <w:szCs w:val="16"/>
          <w:color w:val="auto"/>
        </w:rPr>
        <w:t>Pursuant to the Telerob Purchase Agreement at closing, the Company paid €37,455,000 (approximately $45,400,000) in cash to the Telerob Seller (subject to certain purchase price adjustments as set forth in the Telerob Purchase Agreement), less (a) €3,000,000 (approximately $3,636,000) to be held in escrow for breaches of the Telerob Seller’s fundamental warranties or any other of Telerob Seller’s warranties to the extent not covered by a representation and warranty insurance policy (the “RWI Policy”) obtained by the Company in support of certain indemnifications provided by the Telerob Seller;</w:t>
      </w:r>
    </w:p>
    <w:p>
      <w:pPr>
        <w:spacing w:after="0" w:line="2" w:lineRule="exact"/>
        <w:rPr>
          <w:sz w:val="20"/>
          <w:szCs w:val="20"/>
          <w:color w:val="auto"/>
        </w:rPr>
      </w:pPr>
    </w:p>
    <w:p>
      <w:pPr>
        <w:ind w:left="40" w:right="79" w:firstLine="4"/>
        <w:spacing w:after="0" w:line="290" w:lineRule="auto"/>
        <w:tabs>
          <w:tab w:leader="none" w:pos="295" w:val="left"/>
        </w:tabs>
        <w:numPr>
          <w:ilvl w:val="0"/>
          <w:numId w:val="9"/>
        </w:numPr>
        <w:rPr>
          <w:rFonts w:ascii="Arial" w:cs="Arial" w:eastAsia="Arial" w:hAnsi="Arial"/>
          <w:sz w:val="16"/>
          <w:szCs w:val="16"/>
          <w:color w:val="auto"/>
        </w:rPr>
      </w:pPr>
      <w:r>
        <w:rPr>
          <w:rFonts w:ascii="Arial" w:cs="Arial" w:eastAsia="Arial" w:hAnsi="Arial"/>
          <w:sz w:val="16"/>
          <w:szCs w:val="16"/>
          <w:color w:val="auto"/>
        </w:rPr>
        <w:t>transaction-related fees and costs incurred by the Telerob Seller, including change in control payments triggered by the transaction; and (c) 50% of the cost of obtaining the RWI Policy. In addition, at closing the Company paid off approximately €7,811,000 (approximately $9,468,000), of certain indebtedness of Telerob, which amount was paid in combination to the Telerob Seller and the lender under an agreement between Telerob GmbH and the lender providing for a reduced payoff amount. This indebtedness was offset by cash on hand at Telerob at closing. The escrow amount is to be released to the Telerob Seller, less any amounts paid or reserved, 30 months following the closing date.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addition to the consideration paid at closing, the Telerob Seller may receive €2,000,000 (approximately $2,424,000) in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cash consideration if specific revenue targets for Telerob are achieved during the 12 month period after closing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beginning on the first day of the calendar month following the closing (the “First Earnout Year”) and an additional</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€2,000,000 (approximately $2,424,000) in cash consideration if specific revenue targets for Telerob are achieved in the 12</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month period following the First Earnout Year. The Telerob Seller may also receive up to €2,000,000 (approximately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$2,424,000) in additional cash consideration if specific awards and/or orders from the U.S. military are achieved prior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end of a 36-month post-closing 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The following table summarizes the provisional allocation of the purchase price over the estimated fair value of the assets and liabilities assumed in the acquisition of Telerob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201"/>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Fair value of assets acquired:</w:t>
            </w:r>
          </w:p>
        </w:tc>
        <w:tc>
          <w:tcPr>
            <w:tcW w:w="4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40" w:type="dxa"/>
            <w:vAlign w:val="bottom"/>
            <w:gridSpan w:val="2"/>
            <w:vMerge w:val="continue"/>
          </w:tcPr>
          <w:p>
            <w:pPr>
              <w:spacing w:after="0"/>
              <w:rPr>
                <w:sz w:val="17"/>
                <w:szCs w:val="17"/>
                <w:color w:val="auto"/>
              </w:rPr>
            </w:pPr>
          </w:p>
        </w:tc>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4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Unbilled receivable</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 net</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Prepaid and other current assets</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Operating lease assets</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Technology</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Backlog</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Customer relationships</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intangible assets</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Goodwill</w:t>
            </w:r>
          </w:p>
        </w:tc>
        <w:tc>
          <w:tcPr>
            <w:tcW w:w="4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liabilities assumed:</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4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Wages and related accruals</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Customer advances</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operating lease liabilities</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Non-current operating lease liabilities</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Other non-current liabilities</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4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assumed</w:t>
            </w:r>
          </w:p>
        </w:tc>
        <w:tc>
          <w:tcPr>
            <w:tcW w:w="4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4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Cash consideration, net of cash acquired</w:t>
            </w:r>
          </w:p>
        </w:tc>
        <w:tc>
          <w:tcPr>
            <w:tcW w:w="4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4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2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240" w:type="dxa"/>
            <w:vAlign w:val="bottom"/>
            <w:vMerge w:val="restart"/>
          </w:tcPr>
          <w:p>
            <w:pPr>
              <w:jc w:val="right"/>
              <w:ind w:right="3230"/>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the workforce of Telerob and expected future customers in the UGV market. For tax purposes the acquisition was treated as a stock purchase and the goodwill is not deductible.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unaudited pro forma summary presents consolidated information of the Company as if the business acquisition had occurred on May 1, 2020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r>
      <w:tr>
        <w:trPr>
          <w:trHeight w:val="211"/>
        </w:trPr>
        <w:tc>
          <w:tcPr>
            <w:tcW w:w="5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81"/>
              <w:spacing w:after="0"/>
              <w:rPr>
                <w:sz w:val="20"/>
                <w:szCs w:val="20"/>
                <w:color w:val="auto"/>
              </w:rPr>
            </w:pPr>
            <w:r>
              <w:rPr>
                <w:rFonts w:ascii="Arial" w:cs="Arial" w:eastAsia="Arial" w:hAnsi="Arial"/>
                <w:sz w:val="14"/>
                <w:szCs w:val="14"/>
                <w:b w:val="1"/>
                <w:bCs w:val="1"/>
                <w:color w:val="auto"/>
              </w:rPr>
              <w:t>July 31,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Arial" w:cs="Arial" w:eastAsia="Arial" w:hAnsi="Arial"/>
                <w:sz w:val="14"/>
                <w:szCs w:val="14"/>
                <w:b w:val="1"/>
                <w:bCs w:val="1"/>
                <w:color w:val="auto"/>
              </w:rPr>
              <w:t>August 1,</w:t>
            </w:r>
          </w:p>
        </w:tc>
      </w:tr>
      <w:tr>
        <w:trPr>
          <w:trHeight w:val="201"/>
        </w:trPr>
        <w:tc>
          <w:tcPr>
            <w:tcW w:w="50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95,143</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Net (loss) income attributable to AeroVironment, Inc.</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(12,298)</w:t>
            </w:r>
          </w:p>
        </w:tc>
        <w:tc>
          <w:tcPr>
            <w:tcW w:w="4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8,856</w:t>
            </w:r>
          </w:p>
        </w:tc>
      </w:tr>
    </w:tbl>
    <w:p>
      <w:pPr>
        <w:spacing w:after="0" w:line="187"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ind w:left="40" w:right="119"/>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August 1, 2020, reflecting the additional amortization that would have been charged assuming the fair value adjustments to intangible assets had been applied from May 1, 2020 with the consequential tax effects and including the results of Telerob prior to acquisition.</w:t>
      </w:r>
    </w:p>
    <w:p>
      <w:pPr>
        <w:spacing w:after="0" w:line="171" w:lineRule="exact"/>
        <w:rPr>
          <w:sz w:val="20"/>
          <w:szCs w:val="20"/>
          <w:color w:val="auto"/>
        </w:rPr>
      </w:pPr>
    </w:p>
    <w:p>
      <w:pPr>
        <w:jc w:val="both"/>
        <w:ind w:left="40" w:right="199"/>
        <w:spacing w:after="0" w:line="263" w:lineRule="auto"/>
        <w:rPr>
          <w:sz w:val="20"/>
          <w:szCs w:val="20"/>
          <w:color w:val="auto"/>
        </w:rPr>
      </w:pPr>
      <w:r>
        <w:rPr>
          <w:rFonts w:ascii="Arial" w:cs="Arial" w:eastAsia="Arial" w:hAnsi="Arial"/>
          <w:sz w:val="18"/>
          <w:szCs w:val="18"/>
          <w:color w:val="auto"/>
        </w:rPr>
        <w:t>The Company incurred approximately $411,000 of acquisition-related expenses for the three months ended July 31, 2021. These expenses are included in selling, general and administrative on the Company’s unaudited consolidated statement of operations.</w:t>
      </w:r>
    </w:p>
    <w:p>
      <w:pPr>
        <w:spacing w:after="0" w:line="184" w:lineRule="exact"/>
        <w:rPr>
          <w:sz w:val="20"/>
          <w:szCs w:val="20"/>
          <w:color w:val="auto"/>
        </w:rPr>
      </w:pPr>
    </w:p>
    <w:p>
      <w:pPr>
        <w:ind w:left="40" w:right="319"/>
        <w:spacing w:after="0" w:line="259"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2020, nor are they indicative of results of operations that may occur in the future.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Arcturus Acquisition</w:t>
      </w:r>
    </w:p>
    <w:p>
      <w:pPr>
        <w:spacing w:after="0" w:line="229" w:lineRule="exact"/>
        <w:rPr>
          <w:sz w:val="20"/>
          <w:szCs w:val="20"/>
          <w:color w:val="auto"/>
        </w:rPr>
      </w:pPr>
    </w:p>
    <w:p>
      <w:pPr>
        <w:ind w:left="40" w:right="179"/>
        <w:spacing w:after="0" w:line="301" w:lineRule="auto"/>
        <w:rPr>
          <w:sz w:val="20"/>
          <w:szCs w:val="20"/>
          <w:color w:val="auto"/>
        </w:rPr>
      </w:pPr>
      <w:r>
        <w:rPr>
          <w:rFonts w:ascii="Arial" w:cs="Arial" w:eastAsia="Arial" w:hAnsi="Arial"/>
          <w:sz w:val="16"/>
          <w:szCs w:val="16"/>
          <w:color w:val="auto"/>
        </w:rPr>
        <w:t>On February 19, 2021, the Company closed its acquisition of Arcturus pursuant to the terms of the Arcturus Purchase Agreement. Arcturus, headquartered in Petaluma, California, designs, engineers, tools, and manufactures unmanned aerial and aircraft systems including airborne platforms, payloads and payload integration, ground control systems, and ground support equipment and other items and services related generally to unmanned aircraft systems.</w:t>
      </w:r>
    </w:p>
    <w:p>
      <w:pPr>
        <w:spacing w:after="0" w:line="157" w:lineRule="exact"/>
        <w:rPr>
          <w:sz w:val="20"/>
          <w:szCs w:val="20"/>
          <w:color w:val="auto"/>
        </w:rPr>
      </w:pPr>
    </w:p>
    <w:p>
      <w:pPr>
        <w:ind w:left="40" w:right="159"/>
        <w:spacing w:after="0" w:line="254" w:lineRule="auto"/>
        <w:rPr>
          <w:sz w:val="20"/>
          <w:szCs w:val="20"/>
          <w:color w:val="auto"/>
        </w:rPr>
      </w:pPr>
      <w:r>
        <w:rPr>
          <w:rFonts w:ascii="Arial" w:cs="Arial" w:eastAsia="Arial" w:hAnsi="Arial"/>
          <w:sz w:val="18"/>
          <w:szCs w:val="18"/>
          <w:color w:val="auto"/>
        </w:rPr>
        <w:t>Pursuant to the Arcturus Purchase Agreement at the closing of the Arcturus Acquisition, the Company paid approximately $422,602,000, net of cash acquired (subject to certain customary adjustments and escrow arrangements set forth in the Arcturus Purchase Agreement), financed with a combination of approximately $150,218,000 of cash-on-hand, $200,000,000 of financing pursuant to the Term Loan Facility and the issuance of approximately $72,384,000 of unregistered, restricted shares of common stock. As specified in the Arcturus Purchase agreement, the number of shares issued was determined based on a value of $50,000,000 and a calculated average price as of the last business day prior to execution of the Arcturus Purchase Agreement.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70" w:lineRule="auto"/>
        <w:rPr>
          <w:sz w:val="20"/>
          <w:szCs w:val="20"/>
          <w:color w:val="auto"/>
        </w:rPr>
      </w:pPr>
      <w:r>
        <w:rPr>
          <w:rFonts w:ascii="Arial" w:cs="Arial" w:eastAsia="Arial" w:hAnsi="Arial"/>
          <w:sz w:val="17"/>
          <w:szCs w:val="17"/>
          <w:color w:val="auto"/>
        </w:rPr>
        <w:t>The final cash consideration is subject to certain customary adjustments, including for net working capital, cash, debt and unpaid transaction expenses (including change in control related payments triggered by the transaction) of Arcturus at the Arcturus closing, less $6,500,000 to be held in escrow to address final purchase price adjustments post-Arcturus closing, if any (the “Adjustment Escrow”), and $1,822,500 to be held in escrow to address Arcturus’s and/or the Sellers’ indemnification obligations (the “Indemnification Escrow”). During the three months ended July 31, 2021, the Adjustment Escrow of $6,500,000, less $509,000 of post-closing adjustments, was released to the Arcturus Sellers. To further address potential breaches of Arcturus’s and the Sellers’ representations and warranties beyond the application of the Indemnification Escrow, the Company also obtained representation and warranty insurance policies providing $40,000,000 in coverage, subject to customary terms, exclusions and retention amounts.</w:t>
      </w:r>
    </w:p>
    <w:p>
      <w:pPr>
        <w:spacing w:after="0" w:line="181"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table summarizes the allocation of the purchase price over the estimated fair value of the assets and liabilities assumed in the acquisition of Arcturus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565785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Unbilled receivable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Prepaid and other current assets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Operating lease assets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Technology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Wages and related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Customer advances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Operating lease liabilities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Deferred income taxes, net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identifiable net assets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Cash consideration,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Equity consideration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173"/>
        <w:spacing w:after="0"/>
        <w:rPr>
          <w:sz w:val="20"/>
          <w:szCs w:val="20"/>
          <w:color w:val="auto"/>
        </w:rPr>
      </w:pPr>
      <w:r>
        <w:rPr>
          <w:rFonts w:ascii="Arial" w:cs="Arial" w:eastAsia="Arial" w:hAnsi="Arial"/>
          <w:sz w:val="13"/>
          <w:szCs w:val="13"/>
          <w:b w:val="1"/>
          <w:bCs w:val="1"/>
          <w:color w:val="auto"/>
        </w:rPr>
        <w:t>February 19,</w:t>
      </w:r>
    </w:p>
    <w:p>
      <w:pPr>
        <w:spacing w:after="0" w:line="67" w:lineRule="exact"/>
        <w:rPr>
          <w:sz w:val="20"/>
          <w:szCs w:val="20"/>
          <w:color w:val="auto"/>
        </w:rPr>
      </w:pPr>
    </w:p>
    <w:p>
      <w:pPr>
        <w:jc w:val="center"/>
        <w:ind w:right="173"/>
        <w:spacing w:after="0"/>
        <w:rPr>
          <w:sz w:val="20"/>
          <w:szCs w:val="20"/>
          <w:color w:val="auto"/>
        </w:rPr>
      </w:pPr>
      <w:r>
        <w:rPr>
          <w:rFonts w:ascii="Arial" w:cs="Arial" w:eastAsia="Arial" w:hAnsi="Arial"/>
          <w:sz w:val="14"/>
          <w:szCs w:val="14"/>
          <w:b w:val="1"/>
          <w:bCs w:val="1"/>
          <w:color w:val="auto"/>
        </w:rPr>
        <w:t>2021</w:t>
      </w:r>
    </w:p>
    <w:p>
      <w:pPr>
        <w:spacing w:after="0" w:line="225" w:lineRule="exact"/>
        <w:rPr>
          <w:sz w:val="20"/>
          <w:szCs w:val="20"/>
          <w:color w:val="auto"/>
        </w:rPr>
      </w:pPr>
    </w:p>
    <w:p>
      <w:pPr>
        <w:ind w:left="446" w:hanging="446"/>
        <w:spacing w:after="0"/>
        <w:tabs>
          <w:tab w:leader="none" w:pos="4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6,050</w:t>
      </w:r>
    </w:p>
    <w:p>
      <w:pPr>
        <w:spacing w:after="0" w:line="46" w:lineRule="exact"/>
        <w:rPr>
          <w:rFonts w:ascii="Arial" w:cs="Arial" w:eastAsia="Arial" w:hAnsi="Arial"/>
          <w:sz w:val="16"/>
          <w:szCs w:val="16"/>
          <w:color w:val="auto"/>
        </w:rPr>
      </w:pPr>
    </w:p>
    <w:p>
      <w:pPr>
        <w:ind w:left="446"/>
        <w:spacing w:after="0"/>
        <w:rPr>
          <w:rFonts w:ascii="Arial" w:cs="Arial" w:eastAsia="Arial" w:hAnsi="Arial"/>
          <w:sz w:val="16"/>
          <w:szCs w:val="16"/>
          <w:color w:val="auto"/>
        </w:rPr>
      </w:pPr>
      <w:r>
        <w:rPr>
          <w:rFonts w:ascii="Arial" w:cs="Arial" w:eastAsia="Arial" w:hAnsi="Arial"/>
          <w:sz w:val="16"/>
          <w:szCs w:val="16"/>
          <w:color w:val="auto"/>
        </w:rPr>
        <w:t>4,176</w:t>
      </w:r>
    </w:p>
    <w:p>
      <w:pPr>
        <w:spacing w:after="0" w:line="32"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21,701</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3,076</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38,739</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11,429</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136</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20,500</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62,700</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288,611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5829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266" w:hanging="266"/>
        <w:spacing w:after="0"/>
        <w:tabs>
          <w:tab w:leader="none" w:pos="266" w:val="left"/>
        </w:tabs>
        <w:numPr>
          <w:ilvl w:val="0"/>
          <w:numId w:val="11"/>
        </w:numPr>
        <w:rPr>
          <w:rFonts w:ascii="Arial" w:cs="Arial" w:eastAsia="Arial" w:hAnsi="Arial"/>
          <w:sz w:val="16"/>
          <w:szCs w:val="16"/>
          <w:color w:val="auto"/>
        </w:rPr>
      </w:pPr>
      <w:r>
        <w:rPr>
          <w:rFonts w:ascii="Arial" w:cs="Arial" w:eastAsia="Arial" w:hAnsi="Arial"/>
          <w:sz w:val="16"/>
          <w:szCs w:val="16"/>
          <w:color w:val="auto"/>
        </w:rPr>
        <w:t>457,118</w:t>
      </w:r>
    </w:p>
    <w:p>
      <w:pPr>
        <w:spacing w:after="0" w:line="200" w:lineRule="exact"/>
        <w:rPr>
          <w:sz w:val="20"/>
          <w:szCs w:val="20"/>
          <w:color w:val="auto"/>
        </w:rPr>
      </w:pPr>
    </w:p>
    <w:p>
      <w:pPr>
        <w:spacing w:after="0" w:line="263" w:lineRule="exact"/>
        <w:rPr>
          <w:sz w:val="20"/>
          <w:szCs w:val="20"/>
          <w:color w:val="auto"/>
        </w:rPr>
      </w:pPr>
    </w:p>
    <w:p>
      <w:pPr>
        <w:ind w:left="446" w:hanging="446"/>
        <w:spacing w:after="0"/>
        <w:tabs>
          <w:tab w:leader="none" w:pos="446" w:val="left"/>
        </w:tabs>
        <w:numPr>
          <w:ilvl w:val="0"/>
          <w:numId w:val="12"/>
        </w:numPr>
        <w:rPr>
          <w:rFonts w:ascii="Arial" w:cs="Arial" w:eastAsia="Arial" w:hAnsi="Arial"/>
          <w:sz w:val="16"/>
          <w:szCs w:val="16"/>
          <w:color w:val="auto"/>
        </w:rPr>
      </w:pPr>
      <w:r>
        <w:rPr>
          <w:rFonts w:ascii="Arial" w:cs="Arial" w:eastAsia="Arial" w:hAnsi="Arial"/>
          <w:sz w:val="16"/>
          <w:szCs w:val="16"/>
          <w:color w:val="auto"/>
        </w:rPr>
        <w:t>3,085</w:t>
      </w:r>
    </w:p>
    <w:p>
      <w:pPr>
        <w:spacing w:after="0" w:line="46" w:lineRule="exact"/>
        <w:rPr>
          <w:rFonts w:ascii="Arial" w:cs="Arial" w:eastAsia="Arial" w:hAnsi="Arial"/>
          <w:sz w:val="16"/>
          <w:szCs w:val="16"/>
          <w:color w:val="auto"/>
        </w:rPr>
      </w:pPr>
    </w:p>
    <w:p>
      <w:pPr>
        <w:ind w:left="446"/>
        <w:spacing w:after="0"/>
        <w:rPr>
          <w:rFonts w:ascii="Arial" w:cs="Arial" w:eastAsia="Arial" w:hAnsi="Arial"/>
          <w:sz w:val="16"/>
          <w:szCs w:val="16"/>
          <w:color w:val="auto"/>
        </w:rPr>
      </w:pPr>
      <w:r>
        <w:rPr>
          <w:rFonts w:ascii="Arial" w:cs="Arial" w:eastAsia="Arial" w:hAnsi="Arial"/>
          <w:sz w:val="16"/>
          <w:szCs w:val="16"/>
          <w:color w:val="auto"/>
        </w:rPr>
        <w:t>1,698</w:t>
      </w:r>
    </w:p>
    <w:p>
      <w:pPr>
        <w:spacing w:after="0" w:line="32" w:lineRule="exact"/>
        <w:rPr>
          <w:rFonts w:ascii="Arial" w:cs="Arial" w:eastAsia="Arial" w:hAnsi="Arial"/>
          <w:sz w:val="16"/>
          <w:szCs w:val="16"/>
          <w:color w:val="auto"/>
        </w:rPr>
      </w:pPr>
    </w:p>
    <w:p>
      <w:pPr>
        <w:ind w:left="446"/>
        <w:spacing w:after="0"/>
        <w:rPr>
          <w:rFonts w:ascii="Arial" w:cs="Arial" w:eastAsia="Arial" w:hAnsi="Arial"/>
          <w:sz w:val="16"/>
          <w:szCs w:val="16"/>
          <w:color w:val="auto"/>
        </w:rPr>
      </w:pPr>
      <w:r>
        <w:rPr>
          <w:rFonts w:ascii="Arial" w:cs="Arial" w:eastAsia="Arial" w:hAnsi="Arial"/>
          <w:sz w:val="16"/>
          <w:szCs w:val="16"/>
          <w:color w:val="auto"/>
        </w:rPr>
        <w:t>1,818</w:t>
      </w:r>
    </w:p>
    <w:p>
      <w:pPr>
        <w:spacing w:after="0" w:line="32"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8,534</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12,297</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1,190</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5,869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5829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jc w:val="right"/>
        <w:ind w:right="259"/>
        <w:spacing w:after="0"/>
        <w:rPr>
          <w:sz w:val="20"/>
          <w:szCs w:val="20"/>
          <w:color w:val="auto"/>
        </w:rPr>
      </w:pPr>
      <w:r>
        <w:rPr>
          <w:rFonts w:ascii="Arial" w:cs="Arial" w:eastAsia="Arial" w:hAnsi="Arial"/>
          <w:sz w:val="18"/>
          <w:szCs w:val="18"/>
          <w:color w:val="auto"/>
        </w:rPr>
        <w:t>34,491</w:t>
      </w:r>
    </w:p>
    <w:p>
      <w:pPr>
        <w:spacing w:after="0" w:line="23" w:lineRule="exact"/>
        <w:rPr>
          <w:sz w:val="20"/>
          <w:szCs w:val="20"/>
          <w:color w:val="auto"/>
        </w:rPr>
      </w:pPr>
    </w:p>
    <w:p>
      <w:pPr>
        <w:jc w:val="right"/>
        <w:ind w:right="259"/>
        <w:spacing w:after="0"/>
        <w:tabs>
          <w:tab w:leader="none" w:pos="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422,627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5829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66" w:hanging="266"/>
        <w:spacing w:after="0"/>
        <w:tabs>
          <w:tab w:leader="none" w:pos="2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350,243</w:t>
      </w:r>
    </w:p>
    <w:p>
      <w:pPr>
        <w:spacing w:after="0" w:line="46" w:lineRule="exact"/>
        <w:rPr>
          <w:rFonts w:ascii="Arial" w:cs="Arial" w:eastAsia="Arial" w:hAnsi="Arial"/>
          <w:sz w:val="16"/>
          <w:szCs w:val="16"/>
          <w:color w:val="auto"/>
        </w:rPr>
      </w:pPr>
    </w:p>
    <w:p>
      <w:pPr>
        <w:ind w:left="366"/>
        <w:spacing w:after="0"/>
        <w:rPr>
          <w:rFonts w:ascii="Arial" w:cs="Arial" w:eastAsia="Arial" w:hAnsi="Arial"/>
          <w:sz w:val="16"/>
          <w:szCs w:val="16"/>
          <w:color w:val="auto"/>
        </w:rPr>
      </w:pPr>
      <w:r>
        <w:rPr>
          <w:rFonts w:ascii="Arial" w:cs="Arial" w:eastAsia="Arial" w:hAnsi="Arial"/>
          <w:sz w:val="16"/>
          <w:szCs w:val="16"/>
          <w:color w:val="auto"/>
        </w:rPr>
        <w:t>72,384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12" w:lineRule="exact"/>
        <w:rPr>
          <w:sz w:val="20"/>
          <w:szCs w:val="20"/>
          <w:color w:val="auto"/>
        </w:rPr>
      </w:pPr>
    </w:p>
    <w:p>
      <w:pPr>
        <w:ind w:left="6"/>
        <w:spacing w:after="0"/>
        <w:tabs>
          <w:tab w:leader="none" w:pos="245"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422,627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829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5829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7194" w:space="720"/>
            <w:col w:w="1105"/>
          </w:cols>
          <w:pgMar w:left="1440" w:top="517" w:right="1440" w:bottom="1440" w:gutter="0" w:footer="0" w:header="0"/>
          <w:type w:val="continuous"/>
        </w:sectPr>
      </w:pPr>
    </w:p>
    <w:p>
      <w:pPr>
        <w:spacing w:after="0" w:line="52"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79"/>
        <w:spacing w:after="0" w:line="26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the workforce of Arcturus and expected future customers in the MUAS market. For tax purposes the acquisition was treated as a stock purchase and the goodwill is not deductible.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unaudited pro forma summary presents consolidated information of the Company as if the business acquisition had occurred on May 1, 2019 (in thousands):</w:t>
      </w:r>
    </w:p>
    <w:p>
      <w:pPr>
        <w:spacing w:after="0" w:line="243"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r>
      <w:tr>
        <w:trPr>
          <w:trHeight w:val="211"/>
        </w:trPr>
        <w:tc>
          <w:tcPr>
            <w:tcW w:w="5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4"/>
                <w:szCs w:val="14"/>
                <w:b w:val="1"/>
                <w:bCs w:val="1"/>
                <w:color w:val="auto"/>
              </w:rPr>
              <w:t>August 1,</w:t>
            </w:r>
          </w:p>
        </w:tc>
      </w:tr>
      <w:tr>
        <w:trPr>
          <w:trHeight w:val="201"/>
        </w:trPr>
        <w:tc>
          <w:tcPr>
            <w:tcW w:w="53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112,567</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Net income attributable to AeroVironment, Inc.</w:t>
            </w:r>
          </w:p>
        </w:tc>
        <w:tc>
          <w:tcPr>
            <w:tcW w:w="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16,859</w:t>
            </w:r>
          </w:p>
        </w:tc>
      </w:tr>
    </w:tbl>
    <w:p>
      <w:pPr>
        <w:spacing w:after="0" w:line="187"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jc w:val="both"/>
        <w:ind w:left="40" w:right="99"/>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27, 2019, reflecting the additional amortization that would have been charged assuming the fair value adjustments to intangible assets had been applied from May 1, 2019 with the consequential tax effects, and including the results of Arcturus prior to acquisition.</w:t>
      </w:r>
    </w:p>
    <w:p>
      <w:pPr>
        <w:spacing w:after="0" w:line="171" w:lineRule="exact"/>
        <w:rPr>
          <w:sz w:val="20"/>
          <w:szCs w:val="20"/>
          <w:color w:val="auto"/>
        </w:rPr>
      </w:pPr>
    </w:p>
    <w:p>
      <w:pPr>
        <w:jc w:val="both"/>
        <w:ind w:left="40" w:right="179"/>
        <w:spacing w:after="0" w:line="263" w:lineRule="auto"/>
        <w:rPr>
          <w:sz w:val="20"/>
          <w:szCs w:val="20"/>
          <w:color w:val="auto"/>
        </w:rPr>
      </w:pPr>
      <w:r>
        <w:rPr>
          <w:rFonts w:ascii="Arial" w:cs="Arial" w:eastAsia="Arial" w:hAnsi="Arial"/>
          <w:sz w:val="18"/>
          <w:szCs w:val="18"/>
          <w:color w:val="auto"/>
        </w:rPr>
        <w:t>The Company incurred approximately $1,384,000 and $0 acquisition-related expenses for the three months ended July 31, 2021 and August 1, 2020, respectively. These expenses are included in selling, general and administrative expense on the Company’s unaudited consolidated statement of operations.</w:t>
      </w:r>
    </w:p>
    <w:p>
      <w:pPr>
        <w:spacing w:after="0" w:line="184" w:lineRule="exact"/>
        <w:rPr>
          <w:sz w:val="20"/>
          <w:szCs w:val="20"/>
          <w:color w:val="auto"/>
        </w:rPr>
      </w:pPr>
    </w:p>
    <w:p>
      <w:pPr>
        <w:ind w:left="40" w:right="319"/>
        <w:spacing w:after="0" w:line="259"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2019, nor are they indicative of results of operations that may occur in the future.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ISG Acquisition</w:t>
      </w:r>
    </w:p>
    <w:p>
      <w:pPr>
        <w:spacing w:after="0" w:line="229" w:lineRule="exact"/>
        <w:rPr>
          <w:sz w:val="20"/>
          <w:szCs w:val="20"/>
          <w:color w:val="auto"/>
        </w:rPr>
      </w:pPr>
    </w:p>
    <w:p>
      <w:pPr>
        <w:ind w:left="40" w:right="279"/>
        <w:spacing w:after="0" w:line="259" w:lineRule="auto"/>
        <w:rPr>
          <w:sz w:val="20"/>
          <w:szCs w:val="20"/>
          <w:color w:val="auto"/>
        </w:rPr>
      </w:pPr>
      <w:r>
        <w:rPr>
          <w:rFonts w:ascii="Arial" w:cs="Arial" w:eastAsia="Arial" w:hAnsi="Arial"/>
          <w:sz w:val="18"/>
          <w:szCs w:val="18"/>
          <w:color w:val="auto"/>
        </w:rPr>
        <w:t>On February 23, 2021, the Company purchased certain assets of, and assumed certain liabilities of, ISG pursuant to the terms of the ISG Purchase Agreement. ISG is engaged in development of artificial intelligence-enabled computer vision, machine learning and perceptive autonomy technologies and provides related services to United States government customers.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connection with the ISG Acquisition, the Company (i) paid a base purchase price of $29,700,000 in cash at closing and</w:t>
      </w:r>
    </w:p>
    <w:p>
      <w:pPr>
        <w:spacing w:after="0" w:line="46" w:lineRule="exact"/>
        <w:rPr>
          <w:sz w:val="20"/>
          <w:szCs w:val="20"/>
          <w:color w:val="auto"/>
        </w:rPr>
      </w:pPr>
    </w:p>
    <w:p>
      <w:pPr>
        <w:ind w:left="40" w:right="259" w:firstLine="4"/>
        <w:spacing w:after="0" w:line="277" w:lineRule="auto"/>
        <w:tabs>
          <w:tab w:leader="none" w:pos="305"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may pay additional cash consideration of up to $6,000,000, which is held in escrow account not controlled by the Company, based on the achievement of certain revenue targets by ISG during the 3 years following closing, in each case, subject to the terms and conditions of the ISG Purchase Agreement, including certain customary adjustments.</w:t>
      </w:r>
    </w:p>
    <w:p>
      <w:pPr>
        <w:spacing w:after="0" w:line="173" w:lineRule="exact"/>
        <w:rPr>
          <w:sz w:val="20"/>
          <w:szCs w:val="20"/>
          <w:color w:val="auto"/>
        </w:rPr>
      </w:pPr>
    </w:p>
    <w:p>
      <w:pPr>
        <w:jc w:val="both"/>
        <w:ind w:left="40" w:right="339"/>
        <w:spacing w:after="0" w:line="311" w:lineRule="auto"/>
        <w:rPr>
          <w:sz w:val="20"/>
          <w:szCs w:val="20"/>
          <w:color w:val="auto"/>
        </w:rPr>
      </w:pPr>
      <w:r>
        <w:rPr>
          <w:rFonts w:ascii="Arial" w:cs="Arial" w:eastAsia="Arial" w:hAnsi="Arial"/>
          <w:sz w:val="16"/>
          <w:szCs w:val="16"/>
          <w:color w:val="auto"/>
        </w:rPr>
        <w:t>As a condition to closing pursuant to the ISG Purchase Agreement, the Company and the ISG Seller entered into certain ancillary agreements, including a transition services agreement and two subleases pursuant to which the ISG Seller will provide the Company certain services and facilities space to accommodate the transition of ISG to the Company.</w:t>
      </w:r>
    </w:p>
    <w:p>
      <w:pPr>
        <w:spacing w:after="0" w:line="149"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The parties to the ISG Purchase Agreement have made representations, warranties, and covenants that are customary for a transaction of this type, including, among other things, restrictions on the ISG Seller and the Beneficial Owner from engaging in certain competitive activities, as well as mutual indemnification obligations between the Company and the ISG Seller. To supplement certain indemnifications provided by the ISG Seller, the Company obtained a representation and warranty insurance policy.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table summarizes the allocation of the purchase price over the estimated fair value of the assets and liabilities assumed in the ISG Acquisition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February 23,</w:t>
            </w:r>
          </w:p>
        </w:tc>
        <w:tc>
          <w:tcPr>
            <w:tcW w:w="0" w:type="dxa"/>
            <w:vAlign w:val="bottom"/>
          </w:tcPr>
          <w:p>
            <w:pPr>
              <w:spacing w:after="0"/>
              <w:rPr>
                <w:sz w:val="1"/>
                <w:szCs w:val="1"/>
                <w:color w:val="auto"/>
              </w:rPr>
            </w:pPr>
          </w:p>
        </w:tc>
      </w:tr>
      <w:tr>
        <w:trPr>
          <w:trHeight w:val="201"/>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Fair value of assets acquired:</w:t>
            </w:r>
          </w:p>
        </w:tc>
        <w:tc>
          <w:tcPr>
            <w:tcW w:w="2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gridSpan w:val="2"/>
            <w:vMerge w:val="continue"/>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7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2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2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 transferred:</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Cash</w:t>
            </w:r>
          </w:p>
        </w:tc>
        <w:tc>
          <w:tcPr>
            <w:tcW w:w="27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Holdback</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consideration</w:t>
            </w:r>
          </w:p>
        </w:tc>
        <w:tc>
          <w:tcPr>
            <w:tcW w:w="2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For tax purposes the acquisition was treated as an asset purchase and the goodwill is deductible ratably over a period of fifteen years.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unaudited pro forma summary presents consolidated information of the Company as if the business acquisition had occurred on May 1, 2019 (in thousands):</w:t>
      </w:r>
    </w:p>
    <w:p>
      <w:pPr>
        <w:spacing w:after="0" w:line="243"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r>
      <w:tr>
        <w:trPr>
          <w:trHeight w:val="211"/>
        </w:trPr>
        <w:tc>
          <w:tcPr>
            <w:tcW w:w="5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4"/>
                <w:szCs w:val="14"/>
                <w:b w:val="1"/>
                <w:bCs w:val="1"/>
                <w:color w:val="auto"/>
              </w:rPr>
              <w:t>August 1,</w:t>
            </w:r>
          </w:p>
        </w:tc>
      </w:tr>
      <w:tr>
        <w:trPr>
          <w:trHeight w:val="201"/>
        </w:trPr>
        <w:tc>
          <w:tcPr>
            <w:tcW w:w="53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90,333</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Net income attributable to AeroVironment, Inc.</w:t>
            </w:r>
          </w:p>
        </w:tc>
        <w:tc>
          <w:tcPr>
            <w:tcW w:w="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10,386</w:t>
            </w:r>
          </w:p>
        </w:tc>
      </w:tr>
    </w:tbl>
    <w:p>
      <w:pPr>
        <w:spacing w:after="0" w:line="187"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jc w:val="both"/>
        <w:ind w:left="40" w:right="99"/>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27, 2019, reflecting the additional amortization that would have been charged assuming the fair value adjustments to intangible assets had been applied from May 1, 2019 with the consequential tax effects, and including the results of ISG prior to acquisition.</w:t>
      </w:r>
    </w:p>
    <w:p>
      <w:pPr>
        <w:spacing w:after="0" w:line="171" w:lineRule="exact"/>
        <w:rPr>
          <w:sz w:val="20"/>
          <w:szCs w:val="20"/>
          <w:color w:val="auto"/>
        </w:rPr>
      </w:pPr>
    </w:p>
    <w:p>
      <w:pPr>
        <w:ind w:left="40" w:right="179"/>
        <w:spacing w:after="0" w:line="263" w:lineRule="auto"/>
        <w:rPr>
          <w:sz w:val="20"/>
          <w:szCs w:val="20"/>
          <w:color w:val="auto"/>
        </w:rPr>
      </w:pPr>
      <w:r>
        <w:rPr>
          <w:rFonts w:ascii="Arial" w:cs="Arial" w:eastAsia="Arial" w:hAnsi="Arial"/>
          <w:sz w:val="18"/>
          <w:szCs w:val="18"/>
          <w:color w:val="auto"/>
        </w:rPr>
        <w:t>The Company incurred approximately $651,000 and $0 acquisition-related expenses for the three months ended July 31, 2021 and August 1, 2020, respectively. These expenses are included in selling, general and administrative expenses on the Company’s unaudited consolidated statement of operations.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319"/>
        <w:spacing w:after="0" w:line="259"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2019, nor are they indicative of results of operations that may occur in the future.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19. Pension</w:t>
      </w:r>
    </w:p>
    <w:p>
      <w:pPr>
        <w:spacing w:after="0" w:line="229" w:lineRule="exact"/>
        <w:rPr>
          <w:sz w:val="20"/>
          <w:szCs w:val="20"/>
          <w:color w:val="auto"/>
        </w:rPr>
      </w:pPr>
    </w:p>
    <w:p>
      <w:pPr>
        <w:ind w:left="40" w:right="319"/>
        <w:spacing w:after="0" w:line="257" w:lineRule="auto"/>
        <w:rPr>
          <w:sz w:val="20"/>
          <w:szCs w:val="20"/>
          <w:color w:val="auto"/>
        </w:rPr>
      </w:pPr>
      <w:r>
        <w:rPr>
          <w:rFonts w:ascii="Arial" w:cs="Arial" w:eastAsia="Arial" w:hAnsi="Arial"/>
          <w:sz w:val="18"/>
          <w:szCs w:val="18"/>
          <w:color w:val="auto"/>
        </w:rPr>
        <w:t>As part of the Telerob acquisition, the Company acquired a small foreign-based defined benefit pension plan. The Rheinmetall-Zusatzversorgung (“RZV”) service plan covers three employees based on individual contracts issued to the employees. No other employees are eligible to participate. In January 2011, reinsurance policies were taken out, which were pledged to the employees. The measurement date for the Company’s pension plan was May 3, 2021 in conjunction with the acquisition.</w:t>
      </w:r>
    </w:p>
    <w:p>
      <w:pPr>
        <w:spacing w:after="0" w:line="188"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The table below includes the projected benefit obligation and fair value of plan assets as of May 3, 2021. The net projected benefit obligation (in thousands) is recorded in other non-current liabilities.</w:t>
      </w:r>
    </w:p>
    <w:p>
      <w:pPr>
        <w:sectPr>
          <w:pgSz w:w="11900" w:h="16838" w:orient="portrait"/>
          <w:cols w:equalWidth="0" w:num="1">
            <w:col w:w="9019"/>
          </w:cols>
          <w:pgMar w:left="1440" w:top="517" w:right="1440" w:bottom="1440" w:gutter="0" w:footer="0" w:header="0"/>
        </w:sectPr>
      </w:pPr>
    </w:p>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Projected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-107315</wp:posOffset>
            </wp:positionV>
            <wp:extent cx="565785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Unfunded status of the plan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668" w:hanging="668"/>
        <w:spacing w:after="0"/>
        <w:tabs>
          <w:tab w:leader="none" w:pos="668" w:val="left"/>
        </w:tabs>
        <w:numPr>
          <w:ilvl w:val="0"/>
          <w:numId w:val="15"/>
        </w:numPr>
        <w:rPr>
          <w:rFonts w:ascii="Arial" w:cs="Arial" w:eastAsia="Arial" w:hAnsi="Arial"/>
          <w:sz w:val="17"/>
          <w:szCs w:val="17"/>
          <w:color w:val="auto"/>
        </w:rPr>
      </w:pPr>
      <w:r>
        <w:rPr>
          <w:rFonts w:ascii="Arial" w:cs="Arial" w:eastAsia="Arial" w:hAnsi="Arial"/>
          <w:sz w:val="17"/>
          <w:szCs w:val="17"/>
          <w:color w:val="auto"/>
        </w:rPr>
        <w:t>(4,126)</w:t>
      </w:r>
    </w:p>
    <w:p>
      <w:pPr>
        <w:spacing w:after="0" w:line="34" w:lineRule="exact"/>
        <w:rPr>
          <w:rFonts w:ascii="Arial" w:cs="Arial" w:eastAsia="Arial" w:hAnsi="Arial"/>
          <w:sz w:val="17"/>
          <w:szCs w:val="17"/>
          <w:color w:val="auto"/>
        </w:rPr>
      </w:pPr>
    </w:p>
    <w:p>
      <w:pPr>
        <w:ind w:left="728"/>
        <w:spacing w:after="0"/>
        <w:rPr>
          <w:rFonts w:ascii="Arial" w:cs="Arial" w:eastAsia="Arial" w:hAnsi="Arial"/>
          <w:sz w:val="17"/>
          <w:szCs w:val="17"/>
          <w:color w:val="auto"/>
        </w:rPr>
      </w:pPr>
      <w:r>
        <w:rPr>
          <w:rFonts w:ascii="Arial" w:cs="Arial" w:eastAsia="Arial" w:hAnsi="Arial"/>
          <w:sz w:val="18"/>
          <w:szCs w:val="18"/>
          <w:color w:val="auto"/>
        </w:rPr>
        <w:t>3,951</w:t>
      </w:r>
    </w:p>
    <w:p>
      <w:pPr>
        <w:spacing w:after="0" w:line="9" w:lineRule="exact"/>
        <w:rPr>
          <w:sz w:val="20"/>
          <w:szCs w:val="20"/>
          <w:color w:val="auto"/>
        </w:rPr>
      </w:pPr>
    </w:p>
    <w:p>
      <w:pPr>
        <w:ind w:left="808" w:hanging="808"/>
        <w:spacing w:after="0"/>
        <w:tabs>
          <w:tab w:leader="none" w:pos="808" w:val="left"/>
        </w:tabs>
        <w:numPr>
          <w:ilvl w:val="0"/>
          <w:numId w:val="16"/>
        </w:numPr>
        <w:rPr>
          <w:rFonts w:ascii="Arial" w:cs="Arial" w:eastAsia="Arial" w:hAnsi="Arial"/>
          <w:sz w:val="17"/>
          <w:szCs w:val="17"/>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632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7032" w:space="720"/>
            <w:col w:w="1267"/>
          </w:cols>
          <w:pgMar w:left="1440" w:top="517" w:right="1440" w:bottom="1440" w:gutter="0" w:footer="0" w:header="0"/>
          <w:type w:val="continuous"/>
        </w:sectPr>
      </w:pPr>
    </w:p>
    <w:p>
      <w:pPr>
        <w:spacing w:after="0" w:line="75" w:lineRule="exact"/>
        <w:rPr>
          <w:sz w:val="20"/>
          <w:szCs w:val="20"/>
          <w:color w:val="auto"/>
        </w:rPr>
      </w:pPr>
    </w:p>
    <w:p>
      <w:pPr>
        <w:ind w:left="40" w:right="79"/>
        <w:spacing w:after="0" w:line="293" w:lineRule="auto"/>
        <w:rPr>
          <w:sz w:val="20"/>
          <w:szCs w:val="20"/>
          <w:color w:val="auto"/>
        </w:rPr>
      </w:pPr>
      <w:r>
        <w:rPr>
          <w:rFonts w:ascii="Arial" w:cs="Arial" w:eastAsia="Arial" w:hAnsi="Arial"/>
          <w:sz w:val="16"/>
          <w:szCs w:val="16"/>
          <w:color w:val="auto"/>
        </w:rPr>
        <w:t>The projected benefit obligation includes assumptions of a discount rate of 1% and pension increase for in-payment benefits of 1.5% for May 3, 2021 and July 31, 2021. The accumulated benefit obligation is approximately equal to our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2022. The Company assumed expected return on plan assets of 2.15% for May 3, 2021 and July 31, 2021.</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Expected benefits paid as of May 3, 2021 (in thousands):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4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2023</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2025</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2027-2031</w:t>
            </w: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expected benefit payments</w:t>
            </w: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Net benefit income (in thousands) is recorded in interest (expense) income, net.</w:t>
            </w: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253"/>
              <w:spacing w:after="0"/>
              <w:rPr>
                <w:sz w:val="20"/>
                <w:szCs w:val="20"/>
                <w:color w:val="auto"/>
              </w:rPr>
            </w:pPr>
            <w:r>
              <w:rPr>
                <w:rFonts w:ascii="Arial" w:cs="Arial" w:eastAsia="Arial" w:hAnsi="Arial"/>
                <w:sz w:val="14"/>
                <w:szCs w:val="14"/>
                <w:b w:val="1"/>
                <w:bCs w:val="1"/>
                <w:color w:val="auto"/>
                <w:w w:val="93"/>
              </w:rPr>
              <w:t>July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53"/>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rate changes</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benefit income</w:t>
            </w: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634"/>
        </w:trPr>
        <w:tc>
          <w:tcPr>
            <w:tcW w:w="6660" w:type="dxa"/>
            <w:vAlign w:val="bottom"/>
            <w:gridSpan w:val="2"/>
          </w:tcPr>
          <w:p>
            <w:pPr>
              <w:jc w:val="right"/>
              <w:ind w:right="2010"/>
              <w:spacing w:after="0"/>
              <w:rPr>
                <w:sz w:val="20"/>
                <w:szCs w:val="20"/>
                <w:color w:val="auto"/>
              </w:rPr>
            </w:pPr>
            <w:r>
              <w:rPr>
                <w:rFonts w:ascii="Arial" w:cs="Arial" w:eastAsia="Arial" w:hAnsi="Arial"/>
                <w:sz w:val="18"/>
                <w:szCs w:val="18"/>
                <w:color w:val="auto"/>
              </w:rPr>
              <w:t>32</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 Segments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Company’s product segments are as follows:</w:t>
      </w:r>
    </w:p>
    <w:p>
      <w:pPr>
        <w:spacing w:after="0" w:line="225" w:lineRule="exact"/>
        <w:rPr>
          <w:sz w:val="20"/>
          <w:szCs w:val="20"/>
          <w:color w:val="auto"/>
        </w:rPr>
      </w:pPr>
    </w:p>
    <w:p>
      <w:pPr>
        <w:ind w:left="40" w:right="219"/>
        <w:spacing w:after="0" w:line="259" w:lineRule="auto"/>
        <w:rPr>
          <w:sz w:val="20"/>
          <w:szCs w:val="20"/>
          <w:color w:val="auto"/>
        </w:rPr>
      </w:pPr>
      <w:r>
        <w:rPr>
          <w:rFonts w:ascii="Arial" w:cs="Arial" w:eastAsia="Arial" w:hAnsi="Arial"/>
          <w:sz w:val="18"/>
          <w:szCs w:val="18"/>
          <w:color w:val="auto"/>
        </w:rPr>
        <w:t>Small Unmanned Aircraft Systems —The Small UAS segment focuses primarily on products designed to operate reliably at very low altitudes in a wide range of environmental conditions, providing a vantage point from which to collect and deliver valuable information as well as related support services including training, spare parts, product repair, product replacement, and the customer contracted operation.</w:t>
      </w:r>
    </w:p>
    <w:p>
      <w:pPr>
        <w:spacing w:after="0" w:line="187" w:lineRule="exact"/>
        <w:rPr>
          <w:sz w:val="20"/>
          <w:szCs w:val="20"/>
          <w:color w:val="auto"/>
        </w:rPr>
      </w:pPr>
    </w:p>
    <w:p>
      <w:pPr>
        <w:ind w:left="40" w:right="319"/>
        <w:spacing w:after="0" w:line="279" w:lineRule="auto"/>
        <w:rPr>
          <w:sz w:val="20"/>
          <w:szCs w:val="20"/>
          <w:color w:val="auto"/>
        </w:rPr>
      </w:pPr>
      <w:r>
        <w:rPr>
          <w:rFonts w:ascii="Arial" w:cs="Arial" w:eastAsia="Arial" w:hAnsi="Arial"/>
          <w:sz w:val="17"/>
          <w:szCs w:val="17"/>
          <w:color w:val="auto"/>
        </w:rPr>
        <w:t>Tactical Missile Systems – The TMS segment focuses primarily on TMS products, which are tube-launched aircraft that deploy with the push of a button, fly at higher speeds than small UAS products, and perform either effects delivery or reconnaissance missions, and related support services including training, spare parts, product repair, and product replacement. The TMS segment also includes customer funded research and development programs.</w:t>
      </w:r>
    </w:p>
    <w:p>
      <w:pPr>
        <w:spacing w:after="0" w:line="171"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Medium Unmanned Aircraft Systems—The MUAS segment, which originates with the acquisition of Arcturus, focuses on designs, engineers, tools, and manufactures unmanned aerial and aircraft systems including airborne platforms, payloads and payload integration, ground control systems, and ground support equipment and other items and services related generally to unmanned aircraft systems including ISR services.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All other—All other segments include HAPS, MacCready Works and the recently acquired ISG and Telerob businesses.</w:t>
      </w:r>
    </w:p>
    <w:p>
      <w:pPr>
        <w:spacing w:after="0" w:line="248" w:lineRule="exact"/>
        <w:rPr>
          <w:sz w:val="20"/>
          <w:szCs w:val="20"/>
          <w:color w:val="auto"/>
        </w:rPr>
      </w:pPr>
    </w:p>
    <w:p>
      <w:pPr>
        <w:ind w:left="40" w:right="159"/>
        <w:spacing w:after="0" w:line="255" w:lineRule="auto"/>
        <w:rPr>
          <w:sz w:val="20"/>
          <w:szCs w:val="20"/>
          <w:color w:val="auto"/>
        </w:rPr>
      </w:pPr>
      <w:r>
        <w:rPr>
          <w:rFonts w:ascii="Arial" w:cs="Arial" w:eastAsia="Arial" w:hAnsi="Arial"/>
          <w:sz w:val="18"/>
          <w:szCs w:val="18"/>
          <w:color w:val="auto"/>
        </w:rPr>
        <w:t>The accounting policies of the segments are the same as those described in Note 1, “Organization and Significant Accounting Policies.” The operating segments do not make sales to each other. The following table (in thousands) sets forth segment revenue, gross margin, operating (loss) income and adjusted operating (loss) income from operations for the periods indicated. Adjusted operating (loss) income is defined as operating (loss) income before intangible amortization, amortization of purchase accounting adjustment related to increasing the carrying value of certain assets to fair value, and acquisition related expenses.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Small UAS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12"/>
          </w:tcPr>
          <w:p>
            <w:pPr>
              <w:ind w:left="40"/>
              <w:spacing w:after="0"/>
              <w:rPr>
                <w:sz w:val="20"/>
                <w:szCs w:val="20"/>
                <w:color w:val="auto"/>
              </w:rPr>
            </w:pPr>
            <w:r>
              <w:rPr>
                <w:rFonts w:ascii="Arial" w:cs="Arial" w:eastAsia="Arial" w:hAnsi="Arial"/>
                <w:sz w:val="14"/>
                <w:szCs w:val="14"/>
                <w:b w:val="1"/>
                <w:bCs w:val="1"/>
                <w:color w:val="auto"/>
              </w:rPr>
              <w:t>Three Months Ended July 31, 2021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TMS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MUAS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$ 39,924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19,176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22,379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19,530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101,009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Gross margin</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16,920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28,723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1,958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(6,381)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(7,227)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(12,113)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ind w:left="200"/>
              <w:spacing w:after="0" w:line="201" w:lineRule="exact"/>
              <w:rPr>
                <w:sz w:val="20"/>
                <w:szCs w:val="20"/>
                <w:color w:val="auto"/>
              </w:rPr>
            </w:pPr>
            <w:r>
              <w:rPr>
                <w:rFonts w:ascii="Arial" w:cs="Arial" w:eastAsia="Arial" w:hAnsi="Arial"/>
                <w:sz w:val="18"/>
                <w:szCs w:val="18"/>
                <w:color w:val="auto"/>
                <w:w w:val="95"/>
              </w:rPr>
              <w:t>Amortization of acquired intangible assets and other</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purchase accounting adjustments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707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5,191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9,124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3,089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(2,806)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Small UAS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12"/>
          </w:tcPr>
          <w:p>
            <w:pPr>
              <w:ind w:left="20"/>
              <w:spacing w:after="0"/>
              <w:rPr>
                <w:sz w:val="20"/>
                <w:szCs w:val="20"/>
                <w:color w:val="auto"/>
              </w:rPr>
            </w:pPr>
            <w:r>
              <w:rPr>
                <w:rFonts w:ascii="Arial" w:cs="Arial" w:eastAsia="Arial" w:hAnsi="Arial"/>
                <w:sz w:val="14"/>
                <w:szCs w:val="14"/>
                <w:b w:val="1"/>
                <w:bCs w:val="1"/>
                <w:color w:val="auto"/>
                <w:w w:val="96"/>
              </w:rPr>
              <w:t>Three Months Ended August 1, 2020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TMS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MUAS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$ 56,202</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21,714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87,450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Gross margin</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27,483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35,411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15,197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(4,145)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12,297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ind w:left="200"/>
              <w:spacing w:after="0" w:line="201" w:lineRule="exact"/>
              <w:rPr>
                <w:sz w:val="20"/>
                <w:szCs w:val="20"/>
                <w:color w:val="auto"/>
              </w:rPr>
            </w:pPr>
            <w:r>
              <w:rPr>
                <w:rFonts w:ascii="Arial" w:cs="Arial" w:eastAsia="Arial" w:hAnsi="Arial"/>
                <w:sz w:val="18"/>
                <w:szCs w:val="18"/>
                <w:color w:val="auto"/>
                <w:w w:val="95"/>
              </w:rPr>
              <w:t>Amortization of acquired intangible assets and other</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purchase accounting adjustments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661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52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$ 15,858</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(4,145)</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12,958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Segment assets are summarized in the table below. Corporate assets primarily consist of cash and cash equivalents, short-term investments, prepaid expenses and other current assets, long-term investments, property and equipment, net, operating lease right-of-use assets, deferred income taxes and other assets managed centrally on behalf of the business segments.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Small UAS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TMS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62"/>
              <w:spacing w:after="0"/>
              <w:rPr>
                <w:sz w:val="20"/>
                <w:szCs w:val="20"/>
                <w:color w:val="auto"/>
              </w:rPr>
            </w:pPr>
            <w:r>
              <w:rPr>
                <w:rFonts w:ascii="Arial" w:cs="Arial" w:eastAsia="Arial" w:hAnsi="Arial"/>
                <w:sz w:val="14"/>
                <w:szCs w:val="14"/>
                <w:b w:val="1"/>
                <w:bCs w:val="1"/>
                <w:color w:val="auto"/>
              </w:rPr>
              <w:t>July 31, 2021</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Corporate</w:t>
            </w:r>
          </w:p>
        </w:tc>
        <w:tc>
          <w:tcPr>
            <w:tcW w:w="8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MUAS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62"/>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$ 94,332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$ 75,837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$ 398,686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w w:val="87"/>
              </w:rPr>
              <w:t>$ 101,775</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$ 237,923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$ 908,553</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3700" w:type="dxa"/>
            <w:vAlign w:val="bottom"/>
          </w:tcPr>
          <w:p>
            <w:pPr>
              <w:spacing w:after="0"/>
              <w:rPr>
                <w:sz w:val="24"/>
                <w:szCs w:val="2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Small UAS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TMS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5"/>
          </w:tcPr>
          <w:p>
            <w:pPr>
              <w:jc w:val="right"/>
              <w:ind w:right="342"/>
              <w:spacing w:after="0"/>
              <w:rPr>
                <w:sz w:val="20"/>
                <w:szCs w:val="20"/>
                <w:color w:val="auto"/>
              </w:rPr>
            </w:pPr>
            <w:r>
              <w:rPr>
                <w:rFonts w:ascii="Arial" w:cs="Arial" w:eastAsia="Arial" w:hAnsi="Arial"/>
                <w:sz w:val="14"/>
                <w:szCs w:val="14"/>
                <w:b w:val="1"/>
                <w:bCs w:val="1"/>
                <w:color w:val="auto"/>
              </w:rPr>
              <w:t>April 30, 2021</w:t>
            </w:r>
          </w:p>
        </w:tc>
        <w:tc>
          <w:tcPr>
            <w:tcW w:w="14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Corporate</w:t>
            </w:r>
          </w:p>
        </w:tc>
        <w:tc>
          <w:tcPr>
            <w:tcW w:w="8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MUAS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7"/>
              </w:rPr>
              <w:t>$ 113,072</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$ 71,707</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$ 402,037</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88"/>
              </w:rPr>
              <w:t>$ 39,581</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$ 302,169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$ 928,566</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900" w:right="339" w:hanging="849"/>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left="40" w:right="79"/>
        <w:spacing w:after="0" w:line="287" w:lineRule="auto"/>
        <w:rPr>
          <w:sz w:val="20"/>
          <w:szCs w:val="20"/>
          <w:color w:val="auto"/>
        </w:rPr>
      </w:pPr>
      <w:r>
        <w:rPr>
          <w:rFonts w:ascii="Arial" w:cs="Arial" w:eastAsia="Arial" w:hAnsi="Arial"/>
          <w:sz w:val="16"/>
          <w:szCs w:val="16"/>
          <w:color w:val="auto"/>
        </w:rPr>
        <w:t>The following is a discussion and analysis of our financial condition and the results of operations as of and for the periods presented below. The following discussion and analysis should be read in conjunction with the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2021, as updated by our subsequent filings under the Securities and Exchange Act of 1934, as amended (“the Exchange Act”).</w:t>
      </w:r>
    </w:p>
    <w:p>
      <w:pPr>
        <w:spacing w:after="0" w:line="168"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The following should be read in conjunction with the critical accounting estimates presented in our Annual Report on Form 10-K for the fiscal year ended April 30, 2021.</w:t>
      </w:r>
    </w:p>
    <w:p>
      <w:pPr>
        <w:spacing w:after="0" w:line="170"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86" w:lineRule="auto"/>
        <w:rPr>
          <w:sz w:val="20"/>
          <w:szCs w:val="20"/>
          <w:color w:val="auto"/>
        </w:rPr>
      </w:pPr>
      <w:r>
        <w:rPr>
          <w:rFonts w:ascii="Arial" w:cs="Arial" w:eastAsia="Arial" w:hAnsi="Arial"/>
          <w:sz w:val="17"/>
          <w:szCs w:val="17"/>
          <w:color w:val="auto"/>
        </w:rPr>
        <w:t xml:space="preserve">We recognize revenue in accordance with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Topic 606 requires revenue to be recognized when promised goods or services are transferred to customers in amounts that reflect the consideration to which we expect to be entitled in exchange for those goods or services.</w:t>
      </w:r>
    </w:p>
    <w:p>
      <w:pPr>
        <w:spacing w:after="0" w:line="165" w:lineRule="exact"/>
        <w:rPr>
          <w:sz w:val="20"/>
          <w:szCs w:val="20"/>
          <w:color w:val="auto"/>
        </w:rPr>
      </w:pPr>
    </w:p>
    <w:p>
      <w:pPr>
        <w:jc w:val="both"/>
        <w:ind w:left="40" w:right="239"/>
        <w:spacing w:after="0" w:line="287" w:lineRule="auto"/>
        <w:rPr>
          <w:sz w:val="20"/>
          <w:szCs w:val="20"/>
          <w:color w:val="auto"/>
        </w:rPr>
      </w:pPr>
      <w:r>
        <w:rPr>
          <w:rFonts w:ascii="Arial" w:cs="Arial" w:eastAsia="Arial" w:hAnsi="Arial"/>
          <w:sz w:val="16"/>
          <w:szCs w:val="16"/>
          <w:color w:val="auto"/>
        </w:rPr>
        <w:t>Revenue for TMS product deliveries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w:t>
      </w:r>
    </w:p>
    <w:p>
      <w:pPr>
        <w:spacing w:after="0" w:line="2" w:lineRule="exact"/>
        <w:rPr>
          <w:sz w:val="20"/>
          <w:szCs w:val="20"/>
          <w:color w:val="auto"/>
        </w:rPr>
      </w:pPr>
    </w:p>
    <w:p>
      <w:pPr>
        <w:ind w:left="40" w:right="119"/>
        <w:spacing w:after="0" w:line="268" w:lineRule="auto"/>
        <w:rPr>
          <w:sz w:val="20"/>
          <w:szCs w:val="20"/>
          <w:color w:val="auto"/>
        </w:rPr>
      </w:pPr>
      <w:r>
        <w:rPr>
          <w:rFonts w:ascii="Arial" w:cs="Arial" w:eastAsia="Arial" w:hAnsi="Arial"/>
          <w:sz w:val="17"/>
          <w:szCs w:val="17"/>
          <w:color w:val="auto"/>
        </w:rPr>
        <w:t>Contract services revenue, including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81"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Our small UAS, MUAS and UGV product sales revenue is composed of revenue recognized on contracts for the delivery of small UAS, MUAS and UGV systems and spare parts. Revenue is recognized at the point in time when control transfers to the customer, which generally occurs when title and risk of loss have passed to the customer.</w:t>
      </w:r>
    </w:p>
    <w:p>
      <w:pPr>
        <w:spacing w:after="0" w:line="188" w:lineRule="exact"/>
        <w:rPr>
          <w:sz w:val="20"/>
          <w:szCs w:val="20"/>
          <w:color w:val="auto"/>
        </w:rPr>
      </w:pPr>
    </w:p>
    <w:p>
      <w:pPr>
        <w:ind w:left="40" w:right="119"/>
        <w:spacing w:after="0" w:line="272" w:lineRule="auto"/>
        <w:rPr>
          <w:sz w:val="20"/>
          <w:szCs w:val="20"/>
          <w:color w:val="auto"/>
        </w:rPr>
      </w:pPr>
      <w:r>
        <w:rPr>
          <w:rFonts w:ascii="Arial" w:cs="Arial" w:eastAsia="Arial" w:hAnsi="Arial"/>
          <w:sz w:val="17"/>
          <w:szCs w:val="17"/>
          <w:color w:val="auto"/>
        </w:rPr>
        <w:t>We review cost performance and estimates-to-complete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estimate of completion for all types of contracts are recognized on a cumulative catch-up basis in the period in which the revisions are made. During the three months ended July 31, 2021 and August 1, 2020, changes in accounting estimates on contracts recognized over time are presented below.</w:t>
      </w:r>
    </w:p>
    <w:p>
      <w:pPr>
        <w:spacing w:after="0" w:line="177"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color w:val="auto"/>
        </w:rPr>
        <w:t>For the three months ended July 31, 2021 and August 1, 2020, favorable and unfavorable cumulative catch-up adjustments included in revenue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8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August 1,</w:t>
            </w:r>
          </w:p>
        </w:tc>
        <w:tc>
          <w:tcPr>
            <w:tcW w:w="100" w:type="dxa"/>
            <w:vAlign w:val="bottom"/>
          </w:tcPr>
          <w:p>
            <w:pPr>
              <w:spacing w:after="0"/>
              <w:rPr>
                <w:sz w:val="10"/>
                <w:szCs w:val="10"/>
                <w:color w:val="auto"/>
              </w:rPr>
            </w:pPr>
          </w:p>
        </w:tc>
      </w:tr>
      <w:tr>
        <w:trPr>
          <w:trHeight w:val="171"/>
        </w:trPr>
        <w:tc>
          <w:tcPr>
            <w:tcW w:w="4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10"/>
        </w:trPr>
        <w:tc>
          <w:tcPr>
            <w:tcW w:w="4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Gross unfavorable adjustments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(unfavorable) favorable adjustments</w:t>
            </w: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spacing w:after="0" w:line="259" w:lineRule="auto"/>
        <w:rPr>
          <w:sz w:val="20"/>
          <w:szCs w:val="20"/>
          <w:color w:val="auto"/>
        </w:rPr>
      </w:pPr>
      <w:r>
        <w:rPr>
          <w:rFonts w:ascii="Arial" w:cs="Arial" w:eastAsia="Arial" w:hAnsi="Arial"/>
          <w:sz w:val="18"/>
          <w:szCs w:val="18"/>
          <w:color w:val="auto"/>
        </w:rPr>
        <w:t>For the three months ended July 31, 2021, favorable cumulative catch-up adjustments of $0.6 million were primarily due to final cost adjustments on 17 contracts, which individually were not material. For the same period, unfavorable cumulative catch-up adjustments of $0.8 million were primarily related to higher than expected costs on 10 contracts, which individually were not material.</w:t>
      </w:r>
    </w:p>
    <w:p>
      <w:pPr>
        <w:spacing w:after="0" w:line="187"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For the three months ended August 1, 2020, favorable cumulative catch-up adjustments of $0.8 million were primarily due to final cost adjustments on nine contracts, which individually were not material. For the same period, unfavorable cumulative catch-up adjustments of $0.4 million were primarily related to higher than expected costs on eight contracts, which individually were not material.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left="40" w:right="139"/>
        <w:spacing w:after="0" w:line="311" w:lineRule="auto"/>
        <w:rPr>
          <w:sz w:val="20"/>
          <w:szCs w:val="20"/>
          <w:color w:val="auto"/>
        </w:rPr>
      </w:pPr>
      <w:r>
        <w:rPr>
          <w:rFonts w:ascii="Arial" w:cs="Arial" w:eastAsia="Arial" w:hAnsi="Arial"/>
          <w:sz w:val="16"/>
          <w:szCs w:val="16"/>
          <w:color w:val="auto"/>
        </w:rPr>
        <w:t>Due to our fixed year end date of April 30, our first and fourth quarters each consist of approximately 13 weeks. The second and third quarters each consist of exactly 13 weeks. Our first three quarters end on a Saturday. Our 2022 fiscal year ends on April 30, 2022 and our fiscal quarters end on July 31, 2021, October 30, 2021 and January 29, 2022, respectively.</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tables set forth our results of operations for the periods indicated (in thousands):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Three Months Ended July 31, 2021 Compared to Three Months Ended August 1, 2020</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8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93"/>
              <w:spacing w:after="0" w:line="119" w:lineRule="exact"/>
              <w:rPr>
                <w:sz w:val="20"/>
                <w:szCs w:val="20"/>
                <w:color w:val="auto"/>
              </w:rPr>
            </w:pPr>
            <w:r>
              <w:rPr>
                <w:rFonts w:ascii="Arial" w:cs="Arial" w:eastAsia="Arial" w:hAnsi="Arial"/>
                <w:sz w:val="13"/>
                <w:szCs w:val="13"/>
                <w:b w:val="1"/>
                <w:bCs w:val="1"/>
                <w:color w:val="auto"/>
              </w:rPr>
              <w:t>August 1,</w:t>
            </w:r>
          </w:p>
        </w:tc>
        <w:tc>
          <w:tcPr>
            <w:tcW w:w="100" w:type="dxa"/>
            <w:vAlign w:val="bottom"/>
          </w:tcPr>
          <w:p>
            <w:pPr>
              <w:spacing w:after="0"/>
              <w:rPr>
                <w:sz w:val="10"/>
                <w:szCs w:val="10"/>
                <w:color w:val="auto"/>
              </w:rPr>
            </w:pPr>
          </w:p>
        </w:tc>
      </w:tr>
      <w:tr>
        <w:trPr>
          <w:trHeight w:val="171"/>
        </w:trPr>
        <w:tc>
          <w:tcPr>
            <w:tcW w:w="4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09"/>
        </w:trPr>
        <w:tc>
          <w:tcPr>
            <w:tcW w:w="4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87,450</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72,286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52,039</w:t>
            </w:r>
          </w:p>
        </w:tc>
        <w:tc>
          <w:tcPr>
            <w:tcW w:w="100" w:type="dxa"/>
            <w:vAlign w:val="bottom"/>
            <w:tcBorders>
              <w:bottom w:val="single" w:sz="8" w:color="CCEEFF"/>
            </w:tcBorders>
          </w:tcPr>
          <w:p>
            <w:pPr>
              <w:spacing w:after="0"/>
              <w:rPr>
                <w:sz w:val="18"/>
                <w:szCs w:val="18"/>
                <w:color w:val="auto"/>
              </w:rPr>
            </w:pP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35,411</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12,011</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w:t>
            </w:r>
          </w:p>
        </w:tc>
        <w:tc>
          <w:tcPr>
            <w:tcW w:w="100" w:type="dxa"/>
            <w:vAlign w:val="bottom"/>
            <w:shd w:val="clear" w:color="auto" w:fill="CCEEFF"/>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12,297</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(loss) income:</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Interest (expense) income, net</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8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12,538</w:t>
            </w:r>
          </w:p>
        </w:tc>
        <w:tc>
          <w:tcPr>
            <w:tcW w:w="100" w:type="dxa"/>
            <w:vAlign w:val="bottom"/>
          </w:tcPr>
          <w:p>
            <w:pPr>
              <w:spacing w:after="0"/>
              <w:rPr>
                <w:sz w:val="18"/>
                <w:szCs w:val="18"/>
                <w:color w:val="auto"/>
              </w:rPr>
            </w:pPr>
          </w:p>
        </w:tc>
      </w:tr>
      <w:tr>
        <w:trPr>
          <w:trHeight w:val="22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Equity method investment loss, net of tax</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(1,288)</w:t>
            </w:r>
          </w:p>
        </w:tc>
      </w:tr>
      <w:tr>
        <w:trPr>
          <w:trHeight w:val="210"/>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39"/>
        <w:spacing w:after="0" w:line="271" w:lineRule="auto"/>
        <w:rPr>
          <w:sz w:val="20"/>
          <w:szCs w:val="20"/>
          <w:color w:val="auto"/>
        </w:rPr>
      </w:pPr>
      <w:r>
        <w:rPr>
          <w:rFonts w:ascii="Arial" w:cs="Arial" w:eastAsia="Arial" w:hAnsi="Arial"/>
          <w:sz w:val="17"/>
          <w:szCs w:val="17"/>
          <w:color w:val="auto"/>
        </w:rPr>
        <w:t>We operate the business as three reportable segments, Small Unmanned Aircraft Systems (“Small UAS”), Tactical Missile Systems (“TMS”) and Medium Unmanned Aircraft Systems (“MUAS”). The Small UAS segment consists of our existing small UAS product lines. The TMS segment consists of our existing tactical missile systems product lines. The MUAS segment consists of our recently acquired Arcturus business. All other includes HAPS, MacCready Works and the recently acquired ISG and Telerob businesses. The following table (in thousands) sets forth our revenue, gross margin and adjusted operating income (loss) from operations generated by each reporting segment for the periods indicated. Adjusted operating income is defined as operating income before intangible amortization, amortization of purchase accounting adjustments, and acquisition related expenses.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Small UAS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7"/>
          </w:tcPr>
          <w:p>
            <w:pPr>
              <w:ind w:left="60"/>
              <w:spacing w:after="0"/>
              <w:rPr>
                <w:sz w:val="20"/>
                <w:szCs w:val="20"/>
                <w:color w:val="auto"/>
              </w:rPr>
            </w:pPr>
            <w:r>
              <w:rPr>
                <w:rFonts w:ascii="Arial" w:cs="Arial" w:eastAsia="Arial" w:hAnsi="Arial"/>
                <w:sz w:val="14"/>
                <w:szCs w:val="14"/>
                <w:b w:val="1"/>
                <w:bCs w:val="1"/>
                <w:color w:val="auto"/>
                <w:w w:val="96"/>
              </w:rPr>
              <w:t>Three Months Ended July 31, 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TMS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rPr>
              <w:t>MUAS</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39,924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19,176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22,379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19,530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101,009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16,920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(7,227)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(12,113)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 assets and other</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purchase accounting adjustments</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Small UAS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8"/>
          </w:tcPr>
          <w:p>
            <w:pPr>
              <w:spacing w:after="0"/>
              <w:rPr>
                <w:sz w:val="20"/>
                <w:szCs w:val="20"/>
                <w:color w:val="auto"/>
              </w:rPr>
            </w:pPr>
            <w:r>
              <w:rPr>
                <w:rFonts w:ascii="Arial" w:cs="Arial" w:eastAsia="Arial" w:hAnsi="Arial"/>
                <w:sz w:val="14"/>
                <w:szCs w:val="14"/>
                <w:b w:val="1"/>
                <w:bCs w:val="1"/>
                <w:color w:val="auto"/>
                <w:w w:val="96"/>
              </w:rPr>
              <w:t>Three Months Ended August 1, 2020</w:t>
            </w:r>
          </w:p>
        </w:tc>
        <w:tc>
          <w:tcPr>
            <w:tcW w:w="60" w:type="dxa"/>
            <w:vAlign w:val="bottom"/>
          </w:tcPr>
          <w:p>
            <w:pPr>
              <w:spacing w:after="0"/>
              <w:rPr>
                <w:sz w:val="14"/>
                <w:szCs w:val="14"/>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TMS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MUAS</w:t>
            </w:r>
          </w:p>
        </w:tc>
        <w:tc>
          <w:tcPr>
            <w:tcW w:w="16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$ 56,202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21,714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$ 87,450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Gross margin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27,483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6,008</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35,411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15,197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(4,145)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12,297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ind w:left="200"/>
              <w:spacing w:after="0" w:line="201" w:lineRule="exact"/>
              <w:rPr>
                <w:sz w:val="20"/>
                <w:szCs w:val="20"/>
                <w:color w:val="auto"/>
              </w:rPr>
            </w:pPr>
            <w:r>
              <w:rPr>
                <w:rFonts w:ascii="Arial" w:cs="Arial" w:eastAsia="Arial" w:hAnsi="Arial"/>
                <w:sz w:val="18"/>
                <w:szCs w:val="18"/>
                <w:color w:val="auto"/>
                <w:w w:val="98"/>
              </w:rPr>
              <w:t>Amortization of acquired intangible assets and other</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purchase accounting adjustments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$ 15,858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(4,145)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$ 12,958</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The Company recorded intangible amortization expense and other purchase accounting adjustments in the following categories on the accompanying unaudited consolidated statements of operations: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6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8"/>
              <w:spacing w:after="0" w:line="119" w:lineRule="exact"/>
              <w:rPr>
                <w:sz w:val="20"/>
                <w:szCs w:val="20"/>
                <w:color w:val="auto"/>
              </w:rPr>
            </w:pPr>
            <w:r>
              <w:rPr>
                <w:rFonts w:ascii="Arial" w:cs="Arial" w:eastAsia="Arial" w:hAnsi="Arial"/>
                <w:sz w:val="13"/>
                <w:szCs w:val="13"/>
                <w:b w:val="1"/>
                <w:bCs w:val="1"/>
                <w:color w:val="auto"/>
              </w:rPr>
              <w:t>July 31,</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97"/>
              <w:spacing w:after="0" w:line="119" w:lineRule="exact"/>
              <w:rPr>
                <w:sz w:val="20"/>
                <w:szCs w:val="20"/>
                <w:color w:val="auto"/>
              </w:rPr>
            </w:pPr>
            <w:r>
              <w:rPr>
                <w:rFonts w:ascii="Arial" w:cs="Arial" w:eastAsia="Arial" w:hAnsi="Arial"/>
                <w:sz w:val="13"/>
                <w:szCs w:val="13"/>
                <w:b w:val="1"/>
                <w:bCs w:val="1"/>
                <w:color w:val="auto"/>
              </w:rPr>
              <w:t>August 1,</w:t>
            </w:r>
          </w:p>
        </w:tc>
        <w:tc>
          <w:tcPr>
            <w:tcW w:w="100" w:type="dxa"/>
            <w:vAlign w:val="bottom"/>
          </w:tcPr>
          <w:p>
            <w:pPr>
              <w:spacing w:after="0"/>
              <w:rPr>
                <w:sz w:val="10"/>
                <w:szCs w:val="10"/>
                <w:color w:val="auto"/>
              </w:rPr>
            </w:pPr>
          </w:p>
        </w:tc>
      </w:tr>
      <w:tr>
        <w:trPr>
          <w:trHeight w:val="171"/>
        </w:trPr>
        <w:tc>
          <w:tcPr>
            <w:tcW w:w="462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2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8"/>
                <w:szCs w:val="18"/>
                <w:color w:val="auto"/>
              </w:rPr>
            </w:pPr>
          </w:p>
        </w:tc>
      </w:tr>
      <w:tr>
        <w:trPr>
          <w:trHeight w:val="209"/>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spacing w:after="0" w:line="290"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three months ended July 31, 2021 was $101.0 million, as compared to $87.5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August 1, 2020, representing an increase of $13.6 million, or 16%. The increase in revenue was due to an increase in service revenue of $18.8 million, partially offset by a decrease in product revenue of $5.2 million. The increase in service revenue was primarily due to an increase in MUAS service revenue, resulting from our acquisition of Arcturus in February 2021, partially offset by a decrease in HAPS service revenue. The decrease in product revenue was primarily due to a decrease in small UAS revenue, partially offset by an increase in TMS revenue and an increase in UGV revenue, resulting from our acquisition of Telerob in May 2021. Within small UAS, decreases in product revenue was primarily due to a decrease in product deliveries to customers within the U.S. Department of Defense.</w:t>
      </w:r>
    </w:p>
    <w:p>
      <w:pPr>
        <w:spacing w:after="0" w:line="165"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three months ended July 31, 2021 was $72.3 million, as compared to $52.0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August 1, 2020, representing an increase of $20.2 million, or 39%. The increase in cost of sales was a result of an increase in service cost of sales of $19.7 million and an increase in product costs of sales of $0.5 million. The increase in service cost of sales was primarily due to the increase in service revenues resulting from the acquisitions of Arcturus and ISG, and an increase in intangible amortization expense and other purchase accounting adjustments. The increase in product costs of sales was primarily due to an increase in intangible amortization expense and other purchase accounting adjustments and an unfavorable product mix. Cost of sales for the first quarter of fiscal 2022 included $4.0 million of intangible amortization and other related non-cash purchase accounting expenses as compared to $0.6 million in the first quarter of fiscal 2021. As a percentage of revenue, cost of sales increased from 60% to 72%, primarily due to an increase in the proportion of service revenue to total revenues resulting from the acquisitions of Arcturus and ISG, an increase in intangible amortization expense and other purchase accounting adjustments, and an unfavorable product mix.</w:t>
      </w:r>
    </w:p>
    <w:p>
      <w:pPr>
        <w:spacing w:after="0" w:line="172" w:lineRule="exact"/>
        <w:rPr>
          <w:sz w:val="20"/>
          <w:szCs w:val="20"/>
          <w:color w:val="auto"/>
        </w:rPr>
      </w:pPr>
    </w:p>
    <w:p>
      <w:pPr>
        <w:ind w:left="40" w:right="99"/>
        <w:spacing w:after="0" w:line="289"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July 31, 2021 was $28.7 million, as compared to $35.4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August 1, 2020, representing a decrease of $6.7 million, or 19%. The decrease in gross margin was due to a decrease in product margin of $5.7 million and a decrease in service margin of $1.0 million. The decrease in product margin was primarily due to the decrease in product sales, an increase in intangible amortization expense and other purchase accounting adjustments and an unfavorable product mix. The decrease in service margin was primarily due to an increase in intangible amortization expense and other purchase accounting adjustments, partially offset by the increase in service revenue. As a percentage of revenue, gross margin decreased from 40% to 28%, primarily due to an increase in the proportion of service revenue to total revenues resulting from the acquisitions of Arcturus and ISG, an increase in intangible amortization expense and other purchase accounting adjustments, and an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86" w:lineRule="auto"/>
        <w:rPr>
          <w:sz w:val="20"/>
          <w:szCs w:val="20"/>
          <w:color w:val="auto"/>
        </w:rPr>
      </w:pPr>
      <w:r>
        <w:rPr>
          <w:rFonts w:ascii="Arial" w:cs="Arial" w:eastAsia="Arial" w:hAnsi="Arial"/>
          <w:sz w:val="17"/>
          <w:szCs w:val="17"/>
          <w:color w:val="auto"/>
        </w:rPr>
        <w:t>unfavorable product mix, partially offset by the increase in service revenue. With the acquisitions of Arcturus and ISG we expect that we will continue to experience a higher proportion of service revenue, which generally have lower gross margins than our product sales, in future quarters as compared to our historical trends in future quarters.</w:t>
      </w:r>
    </w:p>
    <w:p>
      <w:pPr>
        <w:spacing w:after="0" w:line="161" w:lineRule="exact"/>
        <w:rPr>
          <w:sz w:val="20"/>
          <w:szCs w:val="20"/>
          <w:color w:val="auto"/>
        </w:rPr>
      </w:pPr>
    </w:p>
    <w:p>
      <w:pPr>
        <w:ind w:left="40" w:right="139"/>
        <w:spacing w:after="0" w:line="256"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three months ended July 31, 2021 was $27.1 million, or 27%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revenue, as compared to SG&amp;A expense of $12.0 million, or 14% of revenue, for the three months ended August 1, 2020. The increase in SG&amp;A expense was primarily due to an increase in headcount and related costs associated with our Arcturus, ISG and Telerob acquisitions and an increase in intangible amortization and acquisition related expenses. SG&amp;A included $5.1 million and $38 thousand of intangible amortization expenses for the three months ended July 31, 2021 and August 1, 2020, respectively.</w:t>
      </w:r>
    </w:p>
    <w:p>
      <w:pPr>
        <w:spacing w:after="0" w:line="191" w:lineRule="exact"/>
        <w:rPr>
          <w:sz w:val="20"/>
          <w:szCs w:val="20"/>
          <w:color w:val="auto"/>
        </w:rPr>
      </w:pPr>
    </w:p>
    <w:p>
      <w:pPr>
        <w:ind w:left="40" w:right="159"/>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July 31, 2021 was $13.7 million, or 14%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as compared to R&amp;D expense of $11.1 million, or 13% of revenue, for the three months ended August 1, 2020. R&amp;D expense increased by $2.6 million, or 23%, for the three months ended July 31, 2021, primarily due to an increase in development activities regarding enhanced capabilities for our products, development of new product lines and to support our recently acquired businesses.</w:t>
      </w:r>
    </w:p>
    <w:p>
      <w:pPr>
        <w:spacing w:after="0" w:line="188"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Income, net. </w:t>
      </w:r>
      <w:r>
        <w:rPr>
          <w:rFonts w:ascii="Arial" w:cs="Arial" w:eastAsia="Arial" w:hAnsi="Arial"/>
          <w:sz w:val="18"/>
          <w:szCs w:val="18"/>
          <w:color w:val="auto"/>
        </w:rPr>
        <w:t>Interest expense, net for the three months ended July 31, 2021 was $1.3 million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interest income, net of $0.2 million for the three months ended August 1, 2020. The increase in interest expense was primarily due to an increase in interest expense resulting from the term debt issued concurrent with the acquisition of Arcturus.</w:t>
      </w:r>
    </w:p>
    <w:p>
      <w:pPr>
        <w:spacing w:after="0" w:line="187"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Other expense, net, for the three months ended July 31, 2021 was $0.3 million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income, net of $33 thousand for the three months ended August 1, 2020.</w:t>
      </w:r>
    </w:p>
    <w:p>
      <w:pPr>
        <w:spacing w:after="0" w:line="170" w:lineRule="exact"/>
        <w:rPr>
          <w:sz w:val="20"/>
          <w:szCs w:val="20"/>
          <w:color w:val="auto"/>
        </w:rPr>
      </w:pPr>
    </w:p>
    <w:p>
      <w:pPr>
        <w:ind w:left="40" w:right="199"/>
        <w:spacing w:after="0" w:line="286" w:lineRule="auto"/>
        <w:rPr>
          <w:sz w:val="20"/>
          <w:szCs w:val="20"/>
          <w:color w:val="auto"/>
        </w:rPr>
      </w:pPr>
      <w:r>
        <w:rPr>
          <w:rFonts w:ascii="Arial" w:cs="Arial" w:eastAsia="Arial" w:hAnsi="Arial"/>
          <w:sz w:val="17"/>
          <w:szCs w:val="17"/>
          <w:b w:val="1"/>
          <w:bCs w:val="1"/>
          <w:i w:val="1"/>
          <w:iCs w:val="1"/>
          <w:color w:val="auto"/>
        </w:rPr>
        <w:t xml:space="preserve">Benefit from Income Taxes. </w:t>
      </w:r>
      <w:r>
        <w:rPr>
          <w:rFonts w:ascii="Arial" w:cs="Arial" w:eastAsia="Arial" w:hAnsi="Arial"/>
          <w:sz w:val="17"/>
          <w:szCs w:val="17"/>
          <w:color w:val="auto"/>
        </w:rPr>
        <w:t>Our effective income tax rate was 7.0% for the three months ended July 31, 2021,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9.6% for the three months ended August 1, 2020. The decrease in the effective income tax rate was primarily due to lower projected annual effective tax rate in the current fiscal year over last fiscal year.</w:t>
      </w:r>
    </w:p>
    <w:p>
      <w:pPr>
        <w:spacing w:after="0" w:line="165"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b w:val="1"/>
          <w:bCs w:val="1"/>
          <w:i w:val="1"/>
          <w:iCs w:val="1"/>
          <w:color w:val="auto"/>
        </w:rPr>
        <w:t xml:space="preserve">Equity Method Investment Loss, net of Tax. </w:t>
      </w:r>
      <w:r>
        <w:rPr>
          <w:rFonts w:ascii="Arial" w:cs="Arial" w:eastAsia="Arial" w:hAnsi="Arial"/>
          <w:sz w:val="18"/>
          <w:szCs w:val="18"/>
          <w:color w:val="auto"/>
        </w:rPr>
        <w:t>Equity method investment loss, net of tax for the three months ended July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was $1.1 million compared to $1.3 million for the three months ended August 1, 2020.</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40" w:right="379"/>
        <w:spacing w:after="0" w:line="263" w:lineRule="auto"/>
        <w:rPr>
          <w:sz w:val="20"/>
          <w:szCs w:val="20"/>
          <w:color w:val="auto"/>
        </w:rPr>
      </w:pPr>
      <w:r>
        <w:rPr>
          <w:rFonts w:ascii="Arial" w:cs="Arial" w:eastAsia="Arial" w:hAnsi="Arial"/>
          <w:sz w:val="18"/>
          <w:szCs w:val="18"/>
          <w:color w:val="auto"/>
        </w:rPr>
        <w:t>Consistent with ASC 606, we define funded backlog as remaining performance obligations under firm orders for which funding is currently appropriated to us under a customer contract. As of July 31, 2021, our funded backlog was approximately $257.7 million.</w:t>
      </w:r>
    </w:p>
    <w:p>
      <w:pPr>
        <w:spacing w:after="0" w:line="184" w:lineRule="exact"/>
        <w:rPr>
          <w:sz w:val="20"/>
          <w:szCs w:val="20"/>
          <w:color w:val="auto"/>
        </w:rPr>
      </w:pPr>
    </w:p>
    <w:p>
      <w:pPr>
        <w:ind w:left="40" w:right="59"/>
        <w:spacing w:after="0" w:line="288" w:lineRule="auto"/>
        <w:rPr>
          <w:sz w:val="20"/>
          <w:szCs w:val="20"/>
          <w:color w:val="auto"/>
        </w:rPr>
      </w:pPr>
      <w:r>
        <w:rPr>
          <w:rFonts w:ascii="Arial" w:cs="Arial" w:eastAsia="Arial" w:hAnsi="Arial"/>
          <w:sz w:val="16"/>
          <w:szCs w:val="16"/>
          <w:color w:val="auto"/>
        </w:rPr>
        <w:t>In addition to our funded backlog, we also had unfunded backlog of $188.3 million as of July 31, 2021. Unfunded backlog does not meet the definition of a performance obligation under ASC Topic 606. We define unfunded backlog as the total remaining potential order amounts under cost reimbursable and fixed price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with the exception of the remaining potential value of the FCS domain, does not include the remaining potential value associated with a U.S. Army IDIQ-type contract for small UAS because values for each of the other domains within the contract have not been disclosed by the customer, and we cannot be certain that we will secure all task orders issued against the contract.</w:t>
      </w:r>
    </w:p>
    <w:p>
      <w:pPr>
        <w:spacing w:after="0" w:line="168" w:lineRule="exact"/>
        <w:rPr>
          <w:sz w:val="20"/>
          <w:szCs w:val="20"/>
          <w:color w:val="auto"/>
        </w:rPr>
      </w:pPr>
    </w:p>
    <w:p>
      <w:pPr>
        <w:ind w:left="40" w:right="59"/>
        <w:spacing w:after="0" w:line="296"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color w:val="auto"/>
        </w:rPr>
        <w:t>government contracts included in backlog, whether or not they are funded, may be terminated at the convenience of the U.S. government.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199"/>
        <w:spacing w:after="0" w:line="269" w:lineRule="auto"/>
        <w:rPr>
          <w:sz w:val="20"/>
          <w:szCs w:val="20"/>
          <w:color w:val="auto"/>
        </w:rPr>
      </w:pPr>
      <w:r>
        <w:rPr>
          <w:rFonts w:ascii="Arial" w:cs="Arial" w:eastAsia="Arial" w:hAnsi="Arial"/>
          <w:sz w:val="17"/>
          <w:szCs w:val="17"/>
          <w:color w:val="auto"/>
        </w:rPr>
        <w:t>On February 19, 2021, in connection with the consummation of the Arcturus Acquisition, we entered into a Credit Agreement for (i) a five-year $100 million revolving credit facility, which includes a $10 million sublimit for the issuance of standby and commercial letters of credit, and (ii) a five-year amortized $200 million term A loan (together the “Credit Facilities”). The Term Loan Facility requires payment of 5% of the outstanding obligations in each of the first four loan years, with the remaining 80.0%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 Refer to Note 10—Debt to our unaudited consolidated financial statements in Part I, Item 1 of this Quarterly Report on Form 10-Q for further details. In addition, Telerob has a line of credit of €5.5 million available for issuing letters of credit of which €1.6 million ($1.8 million) was outstanding as of July 31, 2021.</w:t>
      </w:r>
    </w:p>
    <w:p>
      <w:pPr>
        <w:spacing w:after="0" w:line="398" w:lineRule="exact"/>
        <w:rPr>
          <w:sz w:val="20"/>
          <w:szCs w:val="20"/>
          <w:color w:val="auto"/>
        </w:rPr>
      </w:pPr>
    </w:p>
    <w:p>
      <w:pPr>
        <w:ind w:left="40" w:right="199"/>
        <w:spacing w:after="0" w:line="288" w:lineRule="auto"/>
        <w:rPr>
          <w:sz w:val="20"/>
          <w:szCs w:val="20"/>
          <w:color w:val="auto"/>
        </w:rPr>
      </w:pPr>
      <w:r>
        <w:rPr>
          <w:rFonts w:ascii="Arial" w:cs="Arial" w:eastAsia="Arial" w:hAnsi="Arial"/>
          <w:sz w:val="16"/>
          <w:szCs w:val="16"/>
          <w:color w:val="auto"/>
        </w:rPr>
        <w:t>We anticipate funding our normal recurring trade payables, accrued expenses, ongoing R&amp;D costs and obligations under the Credit Facilities through our existing working capital and funds provided by operating activities including those provided by our recent acquisitions of Arcturus UAV, ISG and Telerob.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recent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68" w:lineRule="exact"/>
        <w:rPr>
          <w:sz w:val="20"/>
          <w:szCs w:val="20"/>
          <w:color w:val="auto"/>
        </w:rPr>
      </w:pPr>
    </w:p>
    <w:p>
      <w:pPr>
        <w:ind w:left="40" w:right="99"/>
        <w:spacing w:after="0" w:line="289"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and enhancing existing products, and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Facilities are insufficient to fund our future activities, we may need to raise additional funds through public or private equity or debt financing, subject to the limitations specified in our Credit Facility agreement. In addition, we may also need to seek additional equity funding or debt financing if we become a party to any agreement or letter of intent for potential investments in, or acquisitions of, businesses, services or technologies.</w:t>
      </w:r>
    </w:p>
    <w:p>
      <w:pPr>
        <w:spacing w:after="0" w:line="166"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7" w:lineRule="exact"/>
        <w:rPr>
          <w:sz w:val="20"/>
          <w:szCs w:val="20"/>
          <w:color w:val="auto"/>
        </w:rPr>
      </w:pPr>
    </w:p>
    <w:p>
      <w:pPr>
        <w:ind w:left="40" w:right="279"/>
        <w:spacing w:after="0" w:line="257" w:lineRule="auto"/>
        <w:rPr>
          <w:sz w:val="20"/>
          <w:szCs w:val="20"/>
          <w:color w:val="auto"/>
        </w:rPr>
      </w:pPr>
      <w:r>
        <w:rPr>
          <w:rFonts w:ascii="Arial" w:cs="Arial" w:eastAsia="Arial" w:hAnsi="Arial"/>
          <w:sz w:val="18"/>
          <w:szCs w:val="18"/>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consideration of the impact of the COVID-19 pandemic, we continue to hold a significant portion of our investments in cash and cash equivalents and U.S. government and U.S. government agency securities.</w:t>
      </w:r>
    </w:p>
    <w:p>
      <w:pPr>
        <w:spacing w:after="0" w:line="188" w:lineRule="exact"/>
        <w:rPr>
          <w:sz w:val="20"/>
          <w:szCs w:val="20"/>
          <w:color w:val="auto"/>
        </w:rPr>
      </w:pPr>
    </w:p>
    <w:p>
      <w:pPr>
        <w:ind w:left="40" w:right="459"/>
        <w:spacing w:after="0" w:line="342" w:lineRule="auto"/>
        <w:rPr>
          <w:sz w:val="20"/>
          <w:szCs w:val="20"/>
          <w:color w:val="auto"/>
        </w:rPr>
      </w:pPr>
      <w:r>
        <w:rPr>
          <w:rFonts w:ascii="Arial" w:cs="Arial" w:eastAsia="Arial" w:hAnsi="Arial"/>
          <w:sz w:val="16"/>
          <w:szCs w:val="16"/>
          <w:color w:val="auto"/>
        </w:rPr>
        <w:t>Although not material in value alone or in aggregate, we made certain commitments outside of the ordinary course of business. We made commitments for capital contributions to a limited partnership fund. Under the terms of the limited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4" w:lineRule="auto"/>
        <w:rPr>
          <w:sz w:val="20"/>
          <w:szCs w:val="20"/>
          <w:color w:val="auto"/>
        </w:rPr>
      </w:pPr>
      <w:r>
        <w:rPr>
          <w:rFonts w:ascii="Arial" w:cs="Arial" w:eastAsia="Arial" w:hAnsi="Arial"/>
          <w:sz w:val="18"/>
          <w:szCs w:val="18"/>
          <w:color w:val="auto"/>
        </w:rPr>
        <w:t>partnership agreement, we have committed to make capital contributions totaling $10.0 million to the fund of which $0.9 million was remaining at July 31, 2021. We also made commitments to lend HAPSMobile loans to continue the development of Solar HAPS. The Company committed to lend 500 million yen ($4.6 million) of which 370 million yen (approximately $3.4 million) was remaining at July 31, 2021. On August 13, 2021, we made the second payment of the loan agreement for 180 million yen ($1.6 million). Under the terms of the agreement the loans are guaranteed and will be repaid when financing is obtained, or by Softbank. We currently anticipate repayment within the fiscal year ended April 30, 2022.</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The following table provides our cash flow data for the three months ended July 31, 2021 and August 1, 2020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81"/>
              <w:spacing w:after="0" w:line="119" w:lineRule="exact"/>
              <w:rPr>
                <w:sz w:val="20"/>
                <w:szCs w:val="20"/>
                <w:color w:val="auto"/>
              </w:rPr>
            </w:pPr>
            <w:r>
              <w:rPr>
                <w:rFonts w:ascii="Arial" w:cs="Arial" w:eastAsia="Arial" w:hAnsi="Arial"/>
                <w:sz w:val="13"/>
                <w:szCs w:val="13"/>
                <w:b w:val="1"/>
                <w:bCs w:val="1"/>
                <w:color w:val="auto"/>
              </w:rPr>
              <w:t>July 31,</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58"/>
              <w:spacing w:after="0" w:line="119" w:lineRule="exact"/>
              <w:rPr>
                <w:sz w:val="20"/>
                <w:szCs w:val="20"/>
                <w:color w:val="auto"/>
              </w:rPr>
            </w:pPr>
            <w:r>
              <w:rPr>
                <w:rFonts w:ascii="Arial" w:cs="Arial" w:eastAsia="Arial" w:hAnsi="Arial"/>
                <w:sz w:val="13"/>
                <w:szCs w:val="13"/>
                <w:b w:val="1"/>
                <w:bCs w:val="1"/>
                <w:color w:val="auto"/>
              </w:rPr>
              <w:t>August 1,</w:t>
            </w:r>
          </w:p>
        </w:tc>
        <w:tc>
          <w:tcPr>
            <w:tcW w:w="100" w:type="dxa"/>
            <w:vAlign w:val="bottom"/>
          </w:tcPr>
          <w:p>
            <w:pPr>
              <w:spacing w:after="0"/>
              <w:rPr>
                <w:sz w:val="10"/>
                <w:szCs w:val="10"/>
                <w:color w:val="auto"/>
              </w:rPr>
            </w:pPr>
          </w:p>
        </w:tc>
      </w:tr>
      <w:tr>
        <w:trPr>
          <w:trHeight w:val="171"/>
        </w:trPr>
        <w:tc>
          <w:tcPr>
            <w:tcW w:w="5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28"/>
        </w:trPr>
        <w:tc>
          <w:tcPr>
            <w:tcW w:w="5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4"/>
          </w:tcPr>
          <w:p>
            <w:pPr>
              <w:jc w:val="right"/>
              <w:ind w:right="658"/>
              <w:spacing w:after="0" w:line="129"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26,841</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(36,345)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(33,474)</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0" w:right="99"/>
        <w:spacing w:after="0" w:line="293" w:lineRule="auto"/>
        <w:rPr>
          <w:sz w:val="20"/>
          <w:szCs w:val="20"/>
          <w:color w:val="auto"/>
        </w:rPr>
      </w:pPr>
      <w:r>
        <w:rPr>
          <w:rFonts w:ascii="Arial" w:cs="Arial" w:eastAsia="Arial" w:hAnsi="Arial"/>
          <w:sz w:val="16"/>
          <w:szCs w:val="16"/>
          <w:b w:val="1"/>
          <w:bCs w:val="1"/>
          <w:i w:val="1"/>
          <w:iCs w:val="1"/>
          <w:color w:val="auto"/>
        </w:rPr>
        <w:t xml:space="preserve">Cash (Used in) Provided by Operating Activities. </w:t>
      </w:r>
      <w:r>
        <w:rPr>
          <w:rFonts w:ascii="Arial" w:cs="Arial" w:eastAsia="Arial" w:hAnsi="Arial"/>
          <w:sz w:val="16"/>
          <w:szCs w:val="16"/>
          <w:color w:val="auto"/>
        </w:rPr>
        <w:t>Net cash used in operating activities for the three months ended July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increased by $42.1 million to $15.3 million, as compared to net cash provided by operating activities of $26.8 million for the three months ended August 1, 2020. The increase in net cash used in operating activities was primarily due to a decrease in net income of $24.0 million and a decrease in cash as a result of changes in operating assets and liabilities of $30.4 million, largely related to accounts receivable and unbilled retentions and receivables due to year over year timing differences, partially offset by an increase in depreciation and amortization of $10.9 million.</w:t>
      </w:r>
    </w:p>
    <w:p>
      <w:pPr>
        <w:spacing w:after="0" w:line="164" w:lineRule="exact"/>
        <w:rPr>
          <w:sz w:val="20"/>
          <w:szCs w:val="20"/>
          <w:color w:val="auto"/>
        </w:rPr>
      </w:pPr>
    </w:p>
    <w:p>
      <w:pPr>
        <w:ind w:left="40" w:right="139"/>
        <w:spacing w:after="0" w:line="293" w:lineRule="auto"/>
        <w:rPr>
          <w:sz w:val="20"/>
          <w:szCs w:val="20"/>
          <w:color w:val="auto"/>
        </w:rPr>
      </w:pPr>
      <w:r>
        <w:rPr>
          <w:rFonts w:ascii="Arial" w:cs="Arial" w:eastAsia="Arial" w:hAnsi="Arial"/>
          <w:sz w:val="16"/>
          <w:szCs w:val="16"/>
          <w:b w:val="1"/>
          <w:bCs w:val="1"/>
          <w:i w:val="1"/>
          <w:iCs w:val="1"/>
          <w:color w:val="auto"/>
        </w:rPr>
        <w:t xml:space="preserve">Cash Used in Investing Activities. </w:t>
      </w:r>
      <w:r>
        <w:rPr>
          <w:rFonts w:ascii="Arial" w:cs="Arial" w:eastAsia="Arial" w:hAnsi="Arial"/>
          <w:sz w:val="16"/>
          <w:szCs w:val="16"/>
          <w:color w:val="auto"/>
        </w:rPr>
        <w:t>Net cash used in investing activities increased by $2.9 million to $36.3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July 31, 2021, as compared to net cash used by investing activities of $33.5 million for the three months ended August 1, 2020. The increase in net cash used in investing activities was primarily due an increase in cash used for the acquisition of Telerob of $46.2 million, a decrease in redemptions of available-for-sale investments of $23.8 million, an increase in equity method investments of $1.5 million and an increase in acquisition of property and equipment of $1.4 million, partially offset by a decrease in purchases of available-for-sale investments of $70.0 million.</w:t>
      </w:r>
    </w:p>
    <w:p>
      <w:pPr>
        <w:spacing w:after="0" w:line="164" w:lineRule="exact"/>
        <w:rPr>
          <w:sz w:val="20"/>
          <w:szCs w:val="20"/>
          <w:color w:val="auto"/>
        </w:rPr>
      </w:pPr>
    </w:p>
    <w:p>
      <w:pPr>
        <w:ind w:left="40" w:right="99"/>
        <w:spacing w:after="0" w:line="257" w:lineRule="auto"/>
        <w:rPr>
          <w:sz w:val="20"/>
          <w:szCs w:val="20"/>
          <w:color w:val="auto"/>
        </w:rPr>
      </w:pPr>
      <w:r>
        <w:rPr>
          <w:rFonts w:ascii="Arial" w:cs="Arial" w:eastAsia="Arial" w:hAnsi="Arial"/>
          <w:sz w:val="18"/>
          <w:szCs w:val="18"/>
          <w:b w:val="1"/>
          <w:bCs w:val="1"/>
          <w:i w:val="1"/>
          <w:iCs w:val="1"/>
          <w:color w:val="auto"/>
        </w:rPr>
        <w:t xml:space="preserve">Cash Used in Financing Activities. </w:t>
      </w:r>
      <w:r>
        <w:rPr>
          <w:rFonts w:ascii="Arial" w:cs="Arial" w:eastAsia="Arial" w:hAnsi="Arial"/>
          <w:sz w:val="18"/>
          <w:szCs w:val="18"/>
          <w:color w:val="auto"/>
        </w:rPr>
        <w:t>Net cash used in financing activities increased by $7.9 million to $9.6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July 31, 2021, as compared to net cash used by financing activities of $1.7 million for the three months ended August 1, 2020. The increase in net cash used by financing activities was primarily due to an increase in holdback and retention payments related to a prior business acquisition of $6.0 million and an increase in payments of loan principal of $2.5 million.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0" w:right="439"/>
        <w:spacing w:after="0" w:line="263" w:lineRule="auto"/>
        <w:rPr>
          <w:sz w:val="20"/>
          <w:szCs w:val="20"/>
          <w:color w:val="auto"/>
        </w:rPr>
      </w:pPr>
      <w:r>
        <w:rPr>
          <w:rFonts w:ascii="Arial" w:cs="Arial" w:eastAsia="Arial" w:hAnsi="Arial"/>
          <w:sz w:val="18"/>
          <w:szCs w:val="18"/>
          <w:color w:val="auto"/>
        </w:rPr>
        <w:t>During the three months ended July 31, 2021, there were no material changes in our contractual obligations and commercial commitments from those disclosed in our Annual Report on Form 10-K for the fiscal year ended April 30, 2021.</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color w:val="auto"/>
        </w:rPr>
        <w:t>As of July 31, 2021, we had no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in Item 303(a)(4) of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40" w:right="119"/>
        <w:spacing w:after="0" w:line="308" w:lineRule="auto"/>
        <w:rPr>
          <w:sz w:val="20"/>
          <w:szCs w:val="20"/>
          <w:color w:val="auto"/>
        </w:rPr>
      </w:pPr>
      <w:r>
        <w:rPr>
          <w:rFonts w:ascii="Arial" w:cs="Arial" w:eastAsia="Arial" w:hAnsi="Arial"/>
          <w:sz w:val="17"/>
          <w:szCs w:val="17"/>
          <w:color w:val="auto"/>
        </w:rPr>
        <w:t>Our operations have not been, and we do not expect them to be, materially affected by inflation. Historically, we have been successful in adjusting prices to our customers to reflect changes in our material and labor costs.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color w:val="auto"/>
        </w:rPr>
        <w:t>Please refer to Note 1—Organization and Significant Accounting Policies to our unaudited consolidated financial statements in Part I, Item 1 of this Quarterly Report on Form 10-Q for a discussion of new accounting pronouncements and accounting pronouncements adopted during the three months ended July 31, 2021.</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 w:right="339"/>
        <w:spacing w:after="0" w:line="342" w:lineRule="auto"/>
        <w:rPr>
          <w:sz w:val="20"/>
          <w:szCs w:val="20"/>
          <w:color w:val="auto"/>
        </w:rPr>
      </w:pPr>
      <w:r>
        <w:rPr>
          <w:rFonts w:ascii="Arial" w:cs="Arial" w:eastAsia="Arial" w:hAnsi="Arial"/>
          <w:sz w:val="16"/>
          <w:szCs w:val="16"/>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40" w:right="199"/>
        <w:spacing w:after="0" w:line="259" w:lineRule="auto"/>
        <w:rPr>
          <w:sz w:val="20"/>
          <w:szCs w:val="20"/>
          <w:color w:val="auto"/>
        </w:rPr>
      </w:pPr>
      <w:r>
        <w:rPr>
          <w:rFonts w:ascii="Arial" w:cs="Arial" w:eastAsia="Arial" w:hAnsi="Arial"/>
          <w:sz w:val="18"/>
          <w:szCs w:val="18"/>
          <w:color w:val="auto"/>
        </w:rPr>
        <w:t>It is our policy not to enter into interest rate derivative financial instruments. On February 19, 2021 in connection with the consummation of the Arcturus Acquisition, we entered into the Credit Facilities. The current outstanding balance of the Credit Facilities is $197.5 million and bears a variable interest rate. If market interest rates increase significantly, interest due on the Credit Facilities would increase.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left="40" w:right="219"/>
        <w:spacing w:after="0" w:line="259"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We occasionally engage in forward contracts in foreign currencies to limit our exposure on non-U.S. dollar transactions. With the acquisition of Telerob, a portion of our cash balance is denominated in Euros which is Telerob’s functional currency.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left="40" w:right="99"/>
        <w:spacing w:after="0" w:line="275"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76"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July 31, 2021, the end of the period covered by this Quarterly Report on Form 10-Q.</w:t>
      </w:r>
    </w:p>
    <w:p>
      <w:pPr>
        <w:spacing w:after="0" w:line="187" w:lineRule="exact"/>
        <w:rPr>
          <w:sz w:val="20"/>
          <w:szCs w:val="20"/>
          <w:color w:val="auto"/>
        </w:rPr>
      </w:pPr>
    </w:p>
    <w:p>
      <w:pPr>
        <w:jc w:val="both"/>
        <w:ind w:left="40" w:right="319"/>
        <w:spacing w:after="0" w:line="263"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July 31, 2021, the end of the period covered by this Quarterly Report on Form 10-Q, our disclosure controls and procedures were effective and were operating at a reasonable assurance level.</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left="40" w:right="319"/>
        <w:spacing w:after="0" w:line="342" w:lineRule="auto"/>
        <w:rPr>
          <w:sz w:val="20"/>
          <w:szCs w:val="20"/>
          <w:color w:val="auto"/>
        </w:rPr>
      </w:pPr>
      <w:r>
        <w:rPr>
          <w:rFonts w:ascii="Arial" w:cs="Arial" w:eastAsia="Arial" w:hAnsi="Arial"/>
          <w:sz w:val="16"/>
          <w:szCs w:val="16"/>
          <w:color w:val="auto"/>
        </w:rPr>
        <w:t>On February 19, 2021 and May 3, 2021, we acquired Arcturus and Telerob, respectively, and, as a result, we have begun integrating certain processes, systems and controls relating to Arcturus and Telerob into our existing system of internal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spacing w:after="0" w:line="296" w:lineRule="auto"/>
        <w:rPr>
          <w:sz w:val="20"/>
          <w:szCs w:val="20"/>
          <w:color w:val="auto"/>
        </w:rPr>
      </w:pPr>
      <w:r>
        <w:rPr>
          <w:rFonts w:ascii="Arial" w:cs="Arial" w:eastAsia="Arial" w:hAnsi="Arial"/>
          <w:sz w:val="16"/>
          <w:szCs w:val="16"/>
          <w:color w:val="auto"/>
        </w:rPr>
        <w:t>control over financial reporting in accordance with our integration plans. We do not believe these represent a material change. There were no changes in our internal control over financial reporting or in other factors identified in connection with the evaluation required by paragraph (d) of Rules 13a-15 or 15d-15 under the Exchange Act that occurred during the quarter ended July 31, 2021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59"/>
        <w:spacing w:after="0" w:line="285" w:lineRule="auto"/>
        <w:rPr>
          <w:sz w:val="20"/>
          <w:szCs w:val="20"/>
          <w:color w:val="auto"/>
        </w:rPr>
      </w:pPr>
      <w:r>
        <w:rPr>
          <w:rFonts w:ascii="Arial" w:cs="Arial" w:eastAsia="Arial" w:hAnsi="Arial"/>
          <w:sz w:val="16"/>
          <w:szCs w:val="16"/>
          <w:color w:val="auto"/>
        </w:rPr>
        <w:t>On February 22, 2019, Webasto filed a lawsuit, which was subsequently amended on April 5, 2019, against us in Delaware Superior Court, arising from the sale of the EES Business to Webasto in June 2018. Webasto again amended the complaint in May 2021 to include additional claims. The lawsuit generally alleges several claims against us for breach of contract, indemnity, declaratory judgment, and fraud and misrepresentation, including allegations regarding inaccuracy of certain diligence disclosures, financial disclosures, failure to provide certain consents to contract assignments and related to the previously announced recall. Webasto seeks to recover the costs of the recall and other damages totaling over $100 million in addition to attorneys’ fees, costs, and punitive damages. Additionally, Webasto is seeking a declaratory judgment that we did not meet the requirements to receive the additional $6.5 million of the purchase price which was held back at the closing of the transaction (the “Holdback Amount”). On August 16, 2019, we filed our answer to Webasto’s amended complaint filed in April 2019 and a counterclaim against Webasto seeking payment of the Holdback Amount and declaratory relief regarding Webasto’s cancellation of an assigned contract. On June 2, 2021, we filed an answer to Webasto’s second amended complaint filed in May 2021. As to the Webasto lawsuit, our evaluation remains that many of the allegations are meritless, but the discovery phase of litigation continues and we lack sufficient information to fully analyze other allegations at this time. As of the date of this filing, trial is set for July 11, 2022. At present written discovery and depositions continue in earnest. We expect nationwide court closures and restrictions resulting from the global COVID-19 pandemic to continue easing, but we expect the possibility of another trial continuance to account for pandemic-related delays (especially related to Europe where many relevant witnesses reside) and therefore trial could be pushed into 2023.</w:t>
      </w:r>
    </w:p>
    <w:p>
      <w:pPr>
        <w:spacing w:after="0" w:line="174" w:lineRule="exact"/>
        <w:rPr>
          <w:sz w:val="20"/>
          <w:szCs w:val="20"/>
          <w:color w:val="auto"/>
        </w:rPr>
      </w:pPr>
    </w:p>
    <w:p>
      <w:pPr>
        <w:ind w:left="40" w:right="99"/>
        <w:spacing w:after="0" w:line="257" w:lineRule="auto"/>
        <w:rPr>
          <w:sz w:val="20"/>
          <w:szCs w:val="20"/>
          <w:color w:val="auto"/>
        </w:rPr>
      </w:pPr>
      <w:r>
        <w:rPr>
          <w:rFonts w:ascii="Arial" w:cs="Arial" w:eastAsia="Arial" w:hAnsi="Arial"/>
          <w:sz w:val="18"/>
          <w:szCs w:val="18"/>
          <w:color w:val="auto"/>
        </w:rPr>
        <w:t>In order to avoid the future cost, expense, and distraction of continued litigation, we engaged in settlement negotiations with Webasto. The negotiations did not result in a settlement of any of our or Webasto’s claims; however, we were required to establish reserve related to this litigation as a result of our good faith offer to settle the claims. The offer and resulting reserve do not reflect our view of the merits of the claims made in the litigation, and we continue to vigorously defend all claims.</w:t>
      </w:r>
    </w:p>
    <w:p>
      <w:pPr>
        <w:spacing w:after="0" w:line="188" w:lineRule="exact"/>
        <w:rPr>
          <w:sz w:val="20"/>
          <w:szCs w:val="20"/>
          <w:color w:val="auto"/>
        </w:rPr>
      </w:pPr>
    </w:p>
    <w:p>
      <w:pPr>
        <w:ind w:left="40" w:right="199"/>
        <w:spacing w:after="0" w:line="272" w:lineRule="auto"/>
        <w:rPr>
          <w:sz w:val="20"/>
          <w:szCs w:val="20"/>
          <w:color w:val="auto"/>
        </w:rPr>
      </w:pPr>
      <w:r>
        <w:rPr>
          <w:rFonts w:ascii="Arial" w:cs="Arial" w:eastAsia="Arial" w:hAnsi="Arial"/>
          <w:sz w:val="17"/>
          <w:szCs w:val="17"/>
          <w:color w:val="auto"/>
        </w:rPr>
        <w:t>On August 14, 2019, Benchmark, the company that assembled the products subject to the recall, served a demand for arbitration to AeroVironment and Webasto pursuant to its contracts with AeroVironment and Webasto, respectively. In December 2019, Benchmark dismissed, without prejudice, all claims against us in the demand for arbitration. The recall remains a significant part of our pending litigation with Webasto. In January 2021, Webasto also filed a lawsuit against Area 51, the subcontracted supplier of the part that allegedly led to the recall. That case proceeded briefly in Orange County Superior Court, but recently settled out of court. Any recovery that Webasto may have obtained from Area 51 will likely be an offset to any recovery Webasto might obtain from us in our lawsuit.</w:t>
      </w:r>
    </w:p>
    <w:p>
      <w:pPr>
        <w:spacing w:after="0" w:line="177"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On August 9, 2021, a former employee filed a class action complaint against AeroVironment in California Superior Court in Los Angeles, California alleging various claims pursuant to the California Labor Code related to wages, meal breaks, overtime and other recordkeeping matters. The complaint seeks a jury trial and payment of various alleged unpaid wages, penalties, interest and attorneys’ fees in unspecified amounts. As of the date of this filing, we have not been served with the complaint.</w:t>
      </w:r>
    </w:p>
    <w:p>
      <w:pPr>
        <w:spacing w:after="0" w:line="188" w:lineRule="exact"/>
        <w:rPr>
          <w:sz w:val="20"/>
          <w:szCs w:val="20"/>
          <w:color w:val="auto"/>
        </w:rPr>
      </w:pPr>
    </w:p>
    <w:p>
      <w:pPr>
        <w:jc w:val="both"/>
        <w:ind w:left="40" w:right="139"/>
        <w:spacing w:after="0" w:line="311" w:lineRule="auto"/>
        <w:rPr>
          <w:sz w:val="20"/>
          <w:szCs w:val="20"/>
          <w:color w:val="auto"/>
        </w:rPr>
      </w:pPr>
      <w:r>
        <w:rPr>
          <w:rFonts w:ascii="Arial" w:cs="Arial" w:eastAsia="Arial" w:hAnsi="Arial"/>
          <w:sz w:val="16"/>
          <w:szCs w:val="16"/>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40" w:right="519"/>
        <w:spacing w:after="0" w:line="263" w:lineRule="auto"/>
        <w:rPr>
          <w:sz w:val="20"/>
          <w:szCs w:val="20"/>
          <w:color w:val="auto"/>
        </w:rPr>
      </w:pPr>
      <w:r>
        <w:rPr>
          <w:rFonts w:ascii="Arial" w:cs="Arial" w:eastAsia="Arial" w:hAnsi="Arial"/>
          <w:sz w:val="18"/>
          <w:szCs w:val="18"/>
          <w:color w:val="auto"/>
        </w:rPr>
        <w:t>Except as set for below, there have been no material changes to the risk factors disclosed under Part I, Item 1A, “Risk Factors,” of our Annual Report on Form 10-K for the fiscal year ended April 30, 2021. Please refer to that section for disclosures regarding the risks and uncertainties related to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spacing w:after="0" w:line="184" w:lineRule="exact"/>
        <w:rPr>
          <w:sz w:val="20"/>
          <w:szCs w:val="20"/>
          <w:color w:val="auto"/>
        </w:rPr>
      </w:pPr>
    </w:p>
    <w:p>
      <w:pPr>
        <w:ind w:left="40" w:right="99"/>
        <w:spacing w:after="0" w:line="272" w:lineRule="auto"/>
        <w:rPr>
          <w:sz w:val="20"/>
          <w:szCs w:val="20"/>
          <w:color w:val="auto"/>
        </w:rPr>
      </w:pPr>
      <w:r>
        <w:rPr>
          <w:rFonts w:ascii="Arial" w:cs="Arial" w:eastAsia="Arial" w:hAnsi="Arial"/>
          <w:sz w:val="17"/>
          <w:szCs w:val="17"/>
          <w:color w:val="auto"/>
        </w:rPr>
        <w:t>We obtain hardware components, various subsystems and systems from a limited group of suppliers, some of which are sole source suppliers. Although we hold long term non-binding contracts with certain key suppliers that establishes pricing, minimizes lead times and to some degree mitigates risk, we do not have long-term agreements with all suppliers that obligate them to continue to sell components, products required to build our systems or products to us. Our reliance on suppliers without long term non-binding contracts involves significant risks and uncertainties, including whether our suppliers will provide an adequate supply of required components or products of sufficient quality, will increase prices for the components or products and will perform their obligations on a timely basis.</w:t>
      </w:r>
    </w:p>
    <w:p>
      <w:pPr>
        <w:spacing w:after="0" w:line="177" w:lineRule="exact"/>
        <w:rPr>
          <w:sz w:val="20"/>
          <w:szCs w:val="20"/>
          <w:color w:val="auto"/>
        </w:rPr>
      </w:pPr>
    </w:p>
    <w:p>
      <w:pPr>
        <w:ind w:left="40" w:right="59"/>
        <w:spacing w:after="0" w:line="284" w:lineRule="auto"/>
        <w:rPr>
          <w:sz w:val="20"/>
          <w:szCs w:val="20"/>
          <w:color w:val="auto"/>
        </w:rPr>
      </w:pPr>
      <w:r>
        <w:rPr>
          <w:rFonts w:ascii="Arial" w:cs="Arial" w:eastAsia="Arial" w:hAnsi="Arial"/>
          <w:sz w:val="16"/>
          <w:szCs w:val="16"/>
          <w:color w:val="auto"/>
        </w:rPr>
        <w:t>In addition, 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is experiencing increased demand and a global shortage of semiconductors, creating substantial uncertainty regarding our suppliers’ ongoing timely delivery of these components to us. In the quarter ended July 31, 2021, we continued to experience delays in receiving of certain electronic components for our TMS product line resulting from the global shortage, which caused short term delays in production and negatively affected our revenue for the period. Should such shortages continue or additional shortages occur and we are unable to obtain components from third party suppliers in the quantities and of the quality that we require, on a timely basis and at acceptable prices, then we may be impaired in our ability to execute development programs on schedule or deliver products on a timely or cost effective basis to our customers. Shortages in components for our products and delays in obtaining components for our products could cause customers to terminate their contracts with us, increase our costs and seriously harm our business, results of operations and financial condition. Moreover, if any of our suppliers become financially unstable, or otherwise unable or unwilling to provide us with raw materials or components, then we may have to find new suppliers. It may take several months to locate alternative suppliers, if required, or to redesign our products to accommodate components from different suppliers. Even if we identify alternate suppliers, we may experience significant delays in manufacturing and shipping our products to customers and incur additional development, manufacturing and other costs to establish such alternative sources, are required to redesign our products and to complete additional quality control procedures. We cannot predict if we will be able to obtain replacement components within the time frames that we require at an affordable cost, if at all. In particular, governmental measures responsive to the global COVID-19 pandemic have disrupted manufacturing and some supply chains, including our supply chain, which has had, and is expected to continue to have, a significant impact, both direct and indirect, on businesses and commerce worldwide. Although we have not yet seen significant delays from our suppliers generally, and we keep stock of all our raw materials and other product components with long lead times to assist in the event that our supply chain is disrupted, if the COVID-19 outbreak continues and results in a prolonged period of commercial and/or governmental restrictions, this may impact our ability to obtain certain raw materials and certain components used in the manufacture of our products and in our development programs.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0" w:right="179"/>
        <w:spacing w:after="0" w:line="290" w:lineRule="auto"/>
        <w:rPr>
          <w:sz w:val="20"/>
          <w:szCs w:val="20"/>
          <w:color w:val="auto"/>
        </w:rPr>
      </w:pPr>
      <w:r>
        <w:rPr>
          <w:rFonts w:ascii="Arial" w:cs="Arial" w:eastAsia="Arial" w:hAnsi="Arial"/>
          <w:sz w:val="16"/>
          <w:szCs w:val="16"/>
          <w:color w:val="auto"/>
        </w:rPr>
        <w:t>On September 24, 2015, we announced that on September 23, 2015 our Board of Directors authorized a share repurchase program (the “Share Repurchase Program”), pursuant to which we may repurchase up to $25.0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Share Repurchase Program. The Share Repurchase Program does not obligate us to acquire any particular amount of common stock and may be suspended at any time by our Board of Directors. No shares were repurchased in the three months ended July 31, 2021. As of July 31, 2021, approximately $21.2 million remained authorized for future repurchases under the Share Repurchase Program.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0"/>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380" w:type="dxa"/>
            <w:vAlign w:val="bottom"/>
            <w:gridSpan w:val="7"/>
          </w:tcPr>
          <w:p>
            <w:pPr>
              <w:ind w:left="96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20" w:type="dxa"/>
            <w:vAlign w:val="bottom"/>
          </w:tcPr>
          <w:p>
            <w:pPr>
              <w:spacing w:after="0"/>
              <w:rPr>
                <w:sz w:val="16"/>
                <w:szCs w:val="16"/>
                <w:color w:val="auto"/>
              </w:rPr>
            </w:pPr>
          </w:p>
        </w:tc>
        <w:tc>
          <w:tcPr>
            <w:tcW w:w="7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3.1(1)</w:t>
            </w:r>
          </w:p>
        </w:tc>
        <w:tc>
          <w:tcPr>
            <w:tcW w:w="180" w:type="dxa"/>
            <w:vAlign w:val="bottom"/>
          </w:tcPr>
          <w:p>
            <w:pPr>
              <w:spacing w:after="0"/>
              <w:rPr>
                <w:sz w:val="16"/>
                <w:szCs w:val="16"/>
                <w:color w:val="auto"/>
              </w:rPr>
            </w:pPr>
          </w:p>
        </w:tc>
        <w:tc>
          <w:tcPr>
            <w:tcW w:w="20" w:type="dxa"/>
            <w:vAlign w:val="bottom"/>
            <w:tcBorders>
              <w:bottom w:val="single" w:sz="8" w:color="0000EE"/>
            </w:tcBorders>
          </w:tcPr>
          <w:p>
            <w:pPr>
              <w:spacing w:after="0"/>
              <w:rPr>
                <w:sz w:val="16"/>
                <w:szCs w:val="16"/>
                <w:color w:val="auto"/>
              </w:rPr>
            </w:pPr>
          </w:p>
        </w:tc>
        <w:tc>
          <w:tcPr>
            <w:tcW w:w="5420" w:type="dxa"/>
            <w:vAlign w:val="bottom"/>
            <w:tcBorders>
              <w:top w:val="single" w:sz="8" w:color="auto"/>
              <w:bottom w:val="single" w:sz="8" w:color="0000EE"/>
            </w:tcBorders>
            <w:gridSpan w:val="4"/>
          </w:tcPr>
          <w:p>
            <w:pPr>
              <w:spacing w:after="0" w:line="189"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Amended and Restated Certificate of Incorporation of AeroVironment, Inc.</w:t>
              </w:r>
            </w:hyperlink>
          </w:p>
        </w:tc>
        <w:tc>
          <w:tcPr>
            <w:tcW w:w="2500" w:type="dxa"/>
            <w:vAlign w:val="bottom"/>
            <w:tcBorders>
              <w:top w:val="single" w:sz="8" w:color="auto"/>
            </w:tcBorders>
            <w:gridSpan w:val="4"/>
          </w:tcPr>
          <w:p>
            <w:pPr>
              <w:spacing w:after="0"/>
              <w:rPr>
                <w:sz w:val="16"/>
                <w:szCs w:val="16"/>
                <w:color w:val="auto"/>
              </w:rPr>
            </w:pPr>
          </w:p>
        </w:tc>
      </w:tr>
      <w:tr>
        <w:trPr>
          <w:trHeight w:val="223"/>
        </w:trPr>
        <w:tc>
          <w:tcPr>
            <w:tcW w:w="800" w:type="dxa"/>
            <w:vAlign w:val="bottom"/>
            <w:gridSpan w:val="2"/>
          </w:tcPr>
          <w:p>
            <w:pPr>
              <w:jc w:val="center"/>
              <w:spacing w:after="0"/>
              <w:rPr>
                <w:sz w:val="20"/>
                <w:szCs w:val="20"/>
                <w:color w:val="auto"/>
              </w:rPr>
            </w:pPr>
            <w:r>
              <w:rPr>
                <w:rFonts w:ascii="Arial" w:cs="Arial" w:eastAsia="Arial" w:hAnsi="Arial"/>
                <w:sz w:val="18"/>
                <w:szCs w:val="18"/>
                <w:color w:val="auto"/>
                <w:w w:val="93"/>
              </w:rPr>
              <w:t>3.2(2)</w:t>
            </w:r>
          </w:p>
        </w:tc>
        <w:tc>
          <w:tcPr>
            <w:tcW w:w="180" w:type="dxa"/>
            <w:vAlign w:val="bottom"/>
          </w:tcPr>
          <w:p>
            <w:pPr>
              <w:spacing w:after="0"/>
              <w:rPr>
                <w:sz w:val="19"/>
                <w:szCs w:val="19"/>
                <w:color w:val="auto"/>
              </w:rPr>
            </w:pPr>
          </w:p>
        </w:tc>
        <w:tc>
          <w:tcPr>
            <w:tcW w:w="7940" w:type="dxa"/>
            <w:vAlign w:val="bottom"/>
            <w:gridSpan w:val="9"/>
          </w:tcPr>
          <w:p>
            <w:pPr>
              <w:spacing w:after="0"/>
              <w:rPr>
                <w:rFonts w:ascii="Arial" w:cs="Arial" w:eastAsia="Arial" w:hAnsi="Arial"/>
                <w:sz w:val="18"/>
                <w:szCs w:val="18"/>
                <w:color w:val="0000EE"/>
              </w:rPr>
            </w:pPr>
            <w:hyperlink r:id="rId82">
              <w:r>
                <w:rPr>
                  <w:rFonts w:ascii="Arial" w:cs="Arial" w:eastAsia="Arial" w:hAnsi="Arial"/>
                  <w:sz w:val="18"/>
                  <w:szCs w:val="18"/>
                  <w:color w:val="0000EE"/>
                </w:rPr>
                <w:t>Third Amended and Restated Bylaws of AeroVironment, Inc.</w:t>
              </w:r>
            </w:hyperlink>
          </w:p>
        </w:tc>
      </w:tr>
      <w:tr>
        <w:trPr>
          <w:trHeight w:val="20"/>
        </w:trPr>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180" w:type="dxa"/>
            <w:vAlign w:val="bottom"/>
          </w:tcPr>
          <w:p>
            <w:pPr>
              <w:spacing w:after="0"/>
              <w:rPr>
                <w:sz w:val="19"/>
                <w:szCs w:val="19"/>
                <w:color w:val="auto"/>
              </w:rPr>
            </w:pPr>
          </w:p>
        </w:tc>
        <w:tc>
          <w:tcPr>
            <w:tcW w:w="7940" w:type="dxa"/>
            <w:vAlign w:val="bottom"/>
            <w:gridSpan w:val="9"/>
          </w:tcPr>
          <w:p>
            <w:pPr>
              <w:spacing w:after="0"/>
              <w:rPr>
                <w:rFonts w:ascii="Arial" w:cs="Arial" w:eastAsia="Arial" w:hAnsi="Arial"/>
                <w:sz w:val="18"/>
                <w:szCs w:val="18"/>
                <w:color w:val="0000EE"/>
                <w:w w:val="96"/>
              </w:rPr>
            </w:pPr>
            <w:hyperlink w:anchor="page47">
              <w:r>
                <w:rPr>
                  <w:rFonts w:ascii="Arial" w:cs="Arial" w:eastAsia="Arial" w:hAnsi="Arial"/>
                  <w:sz w:val="18"/>
                  <w:szCs w:val="18"/>
                  <w:color w:val="0000EE"/>
                  <w:w w:val="96"/>
                </w:rPr>
                <w:t>Certification of Chief Executive Officer pursuant to Rule 13a-14(a) and Rule 15d-14(a) of the Securities</w:t>
              </w:r>
            </w:hyperlink>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520" w:type="dxa"/>
            <w:vAlign w:val="bottom"/>
            <w:tcBorders>
              <w:top w:val="single" w:sz="8" w:color="0000EE"/>
            </w:tcBorders>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420" w:type="dxa"/>
            <w:vAlign w:val="bottom"/>
            <w:gridSpan w:val="2"/>
          </w:tcPr>
          <w:p>
            <w:pPr>
              <w:spacing w:after="0"/>
              <w:rPr>
                <w:sz w:val="19"/>
                <w:szCs w:val="19"/>
                <w:color w:val="auto"/>
              </w:rPr>
            </w:pPr>
          </w:p>
        </w:tc>
      </w:tr>
      <w:tr>
        <w:trPr>
          <w:trHeight w:val="20"/>
        </w:trPr>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80" w:type="dxa"/>
            <w:vAlign w:val="bottom"/>
          </w:tcPr>
          <w:p>
            <w:pPr>
              <w:spacing w:after="0"/>
              <w:rPr>
                <w:sz w:val="19"/>
                <w:szCs w:val="19"/>
                <w:color w:val="auto"/>
              </w:rPr>
            </w:pPr>
          </w:p>
        </w:tc>
        <w:tc>
          <w:tcPr>
            <w:tcW w:w="74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Certification of Chief Financial Officer pursuant to Rule 13a-14(a) and Rule 15d-14(a) of the Securities</w:t>
              </w:r>
            </w:hyperlink>
          </w:p>
        </w:tc>
        <w:tc>
          <w:tcPr>
            <w:tcW w:w="460" w:type="dxa"/>
            <w:vAlign w:val="bottom"/>
            <w:gridSpan w:val="3"/>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40" w:type="dxa"/>
            <w:vAlign w:val="bottom"/>
            <w:gridSpan w:val="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r>
      <w:tr>
        <w:trPr>
          <w:trHeight w:val="20"/>
        </w:trPr>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800" w:type="dxa"/>
            <w:vAlign w:val="bottom"/>
            <w:gridSpan w:val="2"/>
          </w:tcPr>
          <w:p>
            <w:pPr>
              <w:jc w:val="center"/>
              <w:spacing w:after="0"/>
              <w:rPr>
                <w:sz w:val="20"/>
                <w:szCs w:val="20"/>
                <w:color w:val="auto"/>
              </w:rPr>
            </w:pPr>
            <w:r>
              <w:rPr>
                <w:rFonts w:ascii="Arial" w:cs="Arial" w:eastAsia="Arial" w:hAnsi="Arial"/>
                <w:sz w:val="18"/>
                <w:szCs w:val="18"/>
                <w:color w:val="auto"/>
                <w:w w:val="93"/>
              </w:rPr>
              <w:t>32#</w:t>
            </w:r>
          </w:p>
        </w:tc>
        <w:tc>
          <w:tcPr>
            <w:tcW w:w="180" w:type="dxa"/>
            <w:vAlign w:val="bottom"/>
          </w:tcPr>
          <w:p>
            <w:pPr>
              <w:spacing w:after="0"/>
              <w:rPr>
                <w:sz w:val="19"/>
                <w:szCs w:val="19"/>
                <w:color w:val="auto"/>
              </w:rPr>
            </w:pPr>
          </w:p>
        </w:tc>
        <w:tc>
          <w:tcPr>
            <w:tcW w:w="7940" w:type="dxa"/>
            <w:vAlign w:val="bottom"/>
            <w:gridSpan w:val="9"/>
          </w:tcPr>
          <w:p>
            <w:pPr>
              <w:spacing w:after="0"/>
              <w:rPr>
                <w:rFonts w:ascii="Arial" w:cs="Arial" w:eastAsia="Arial" w:hAnsi="Arial"/>
                <w:sz w:val="18"/>
                <w:szCs w:val="18"/>
                <w:color w:val="0000EE"/>
                <w:w w:val="94"/>
              </w:rPr>
            </w:pPr>
            <w:hyperlink w:anchor="page49">
              <w:r>
                <w:rPr>
                  <w:rFonts w:ascii="Arial" w:cs="Arial" w:eastAsia="Arial" w:hAnsi="Arial"/>
                  <w:sz w:val="18"/>
                  <w:szCs w:val="18"/>
                  <w:color w:val="0000EE"/>
                  <w:w w:val="94"/>
                </w:rPr>
                <w:t>Certification of Chief Executive Officer and Chief Financial Officer pursuant to 18 U.S.C. Section 1350, as</w:t>
              </w:r>
            </w:hyperlink>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40" w:type="dxa"/>
            <w:vAlign w:val="bottom"/>
            <w:tcBorders>
              <w:top w:val="single" w:sz="8" w:color="0000EE"/>
            </w:tcBorders>
            <w:gridSpan w:val="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adopted pursuant to Section 906 of the Sarbanes-Oxley Act of 2002</w:t>
              </w:r>
              <w:r>
                <w:rPr>
                  <w:rFonts w:ascii="Arial" w:cs="Arial" w:eastAsia="Arial" w:hAnsi="Arial"/>
                  <w:sz w:val="18"/>
                  <w:szCs w:val="18"/>
                  <w:color w:val="000000"/>
                </w:rPr>
                <w:t>.</w:t>
              </w:r>
            </w:hyperlink>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80" w:type="dxa"/>
            <w:vAlign w:val="bottom"/>
            <w:gridSpan w:val="4"/>
            <w:shd w:val="clear" w:color="auto" w:fill="0000EE"/>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80" w:type="dxa"/>
            <w:vAlign w:val="bottom"/>
          </w:tcPr>
          <w:p>
            <w:pPr>
              <w:spacing w:after="0"/>
              <w:rPr>
                <w:sz w:val="22"/>
                <w:szCs w:val="22"/>
                <w:color w:val="auto"/>
              </w:rPr>
            </w:pPr>
          </w:p>
        </w:tc>
        <w:tc>
          <w:tcPr>
            <w:tcW w:w="7940" w:type="dxa"/>
            <w:vAlign w:val="bottom"/>
            <w:gridSpan w:val="9"/>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Files because its</w:t>
            </w:r>
          </w:p>
        </w:tc>
      </w:tr>
      <w:tr>
        <w:trPr>
          <w:trHeight w:val="243"/>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940" w:type="dxa"/>
            <w:vAlign w:val="bottom"/>
            <w:gridSpan w:val="9"/>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80" w:type="dxa"/>
            <w:vAlign w:val="bottom"/>
          </w:tcPr>
          <w:p>
            <w:pPr>
              <w:spacing w:after="0"/>
              <w:rPr>
                <w:sz w:val="21"/>
                <w:szCs w:val="21"/>
                <w:color w:val="auto"/>
              </w:rPr>
            </w:pPr>
          </w:p>
        </w:tc>
        <w:tc>
          <w:tcPr>
            <w:tcW w:w="79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80" w:type="dxa"/>
            <w:vAlign w:val="bottom"/>
          </w:tcPr>
          <w:p>
            <w:pPr>
              <w:spacing w:after="0"/>
              <w:rPr>
                <w:sz w:val="21"/>
                <w:szCs w:val="21"/>
                <w:color w:val="auto"/>
              </w:rPr>
            </w:pPr>
          </w:p>
        </w:tc>
        <w:tc>
          <w:tcPr>
            <w:tcW w:w="794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80" w:type="dxa"/>
            <w:vAlign w:val="bottom"/>
          </w:tcPr>
          <w:p>
            <w:pPr>
              <w:spacing w:after="0"/>
              <w:rPr>
                <w:sz w:val="21"/>
                <w:szCs w:val="21"/>
                <w:color w:val="auto"/>
              </w:rPr>
            </w:pPr>
          </w:p>
        </w:tc>
        <w:tc>
          <w:tcPr>
            <w:tcW w:w="794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80" w:type="dxa"/>
            <w:vAlign w:val="bottom"/>
          </w:tcPr>
          <w:p>
            <w:pPr>
              <w:spacing w:after="0"/>
              <w:rPr>
                <w:sz w:val="21"/>
                <w:szCs w:val="21"/>
                <w:color w:val="auto"/>
              </w:rPr>
            </w:pPr>
          </w:p>
        </w:tc>
        <w:tc>
          <w:tcPr>
            <w:tcW w:w="794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80" w:type="dxa"/>
            <w:vAlign w:val="bottom"/>
          </w:tcPr>
          <w:p>
            <w:pPr>
              <w:spacing w:after="0"/>
              <w:rPr>
                <w:sz w:val="21"/>
                <w:szCs w:val="21"/>
                <w:color w:val="auto"/>
              </w:rPr>
            </w:pPr>
          </w:p>
        </w:tc>
        <w:tc>
          <w:tcPr>
            <w:tcW w:w="794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left="1020" w:hanging="713"/>
        <w:spacing w:after="0"/>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38" w:lineRule="exact"/>
        <w:rPr>
          <w:rFonts w:ascii="Arial" w:cs="Arial" w:eastAsia="Arial" w:hAnsi="Arial"/>
          <w:sz w:val="18"/>
          <w:szCs w:val="18"/>
          <w:color w:val="auto"/>
        </w:rPr>
      </w:pPr>
    </w:p>
    <w:p>
      <w:pPr>
        <w:ind w:left="360" w:right="139" w:hanging="316"/>
        <w:spacing w:after="0" w:line="223" w:lineRule="exact"/>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202" w:lineRule="exact"/>
        <w:rPr>
          <w:rFonts w:ascii="Arial" w:cs="Arial" w:eastAsia="Arial" w:hAnsi="Arial"/>
          <w:sz w:val="18"/>
          <w:szCs w:val="18"/>
          <w:color w:val="auto"/>
        </w:rPr>
      </w:pPr>
    </w:p>
    <w:p>
      <w:pPr>
        <w:ind w:left="360" w:right="79" w:hanging="316"/>
        <w:spacing w:after="0" w:line="277"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herein to Exhibit 3.3 to the Company’s Annual Report on Form 10-K filed July 1, 2015 (File No. 001-33261).</w:t>
      </w:r>
    </w:p>
    <w:p>
      <w:pPr>
        <w:spacing w:after="0" w:line="170" w:lineRule="exact"/>
        <w:rPr>
          <w:sz w:val="20"/>
          <w:szCs w:val="20"/>
          <w:color w:val="auto"/>
        </w:rPr>
      </w:pPr>
    </w:p>
    <w:p>
      <w:pPr>
        <w:ind w:left="360" w:right="79" w:hanging="316"/>
        <w:spacing w:after="0" w:line="257" w:lineRule="auto"/>
        <w:tabs>
          <w:tab w:leader="none" w:pos="3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0"/>
        <w:spacing w:after="0"/>
        <w:tabs>
          <w:tab w:leader="none" w:pos="4860" w:val="left"/>
        </w:tabs>
        <w:rPr>
          <w:sz w:val="20"/>
          <w:szCs w:val="20"/>
          <w:color w:val="auto"/>
        </w:rPr>
      </w:pPr>
      <w:r>
        <w:rPr>
          <w:rFonts w:ascii="Arial" w:cs="Arial" w:eastAsia="Arial" w:hAnsi="Arial"/>
          <w:sz w:val="18"/>
          <w:szCs w:val="18"/>
          <w:color w:val="auto"/>
        </w:rPr>
        <w:t>Date: September 8, 2021</w:t>
      </w:r>
      <w:r>
        <w:rPr>
          <w:sz w:val="20"/>
          <w:szCs w:val="20"/>
          <w:color w:val="auto"/>
        </w:rPr>
        <w:tab/>
      </w:r>
      <w:r>
        <w:rPr>
          <w:rFonts w:ascii="Arial" w:cs="Arial" w:eastAsia="Arial" w:hAnsi="Arial"/>
          <w:sz w:val="17"/>
          <w:szCs w:val="17"/>
          <w:color w:val="auto"/>
        </w:rPr>
        <w:t>AEROVIRONMENT, INC.</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Wahid Nawabi</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Kevin P. McDonnell</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Senior Vice President and Chief Financial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Wahid Nawabi, certify that:</w:t>
      </w:r>
    </w:p>
    <w:p>
      <w:pPr>
        <w:spacing w:after="0" w:line="198" w:lineRule="exact"/>
        <w:rPr>
          <w:sz w:val="20"/>
          <w:szCs w:val="20"/>
          <w:color w:val="auto"/>
        </w:rPr>
      </w:pPr>
    </w:p>
    <w:p>
      <w:pPr>
        <w:ind w:left="360" w:hanging="316"/>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98" w:lineRule="exact"/>
        <w:rPr>
          <w:rFonts w:ascii="Arial" w:cs="Arial" w:eastAsia="Arial" w:hAnsi="Arial"/>
          <w:sz w:val="18"/>
          <w:szCs w:val="18"/>
          <w:color w:val="auto"/>
        </w:rPr>
      </w:pPr>
    </w:p>
    <w:p>
      <w:pPr>
        <w:jc w:val="both"/>
        <w:ind w:left="360" w:right="119" w:hanging="316"/>
        <w:spacing w:after="0" w:line="248"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60" w:right="79" w:hanging="316"/>
        <w:spacing w:after="0" w:line="248"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60" w:right="239" w:hanging="316"/>
        <w:spacing w:after="0" w:line="270" w:lineRule="auto"/>
        <w:tabs>
          <w:tab w:leader="none" w:pos="3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700" w:right="359" w:hanging="332"/>
        <w:spacing w:after="0" w:line="243" w:lineRule="auto"/>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79" w:hanging="332"/>
        <w:spacing w:after="0" w:line="243" w:lineRule="auto"/>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199" w:hanging="332"/>
        <w:spacing w:after="0" w:line="248" w:lineRule="auto"/>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99" w:hanging="332"/>
        <w:spacing w:after="0" w:line="243" w:lineRule="auto"/>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60" w:right="319" w:hanging="316"/>
        <w:spacing w:after="0" w:line="248"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159" w:hanging="332"/>
        <w:spacing w:after="0" w:line="248" w:lineRule="auto"/>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8, 2021</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ind w:left="45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7" w:name="page48"/>
    <w:bookmarkEnd w:id="4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Kevin P. McDonnell, certify that:</w:t>
      </w:r>
    </w:p>
    <w:p>
      <w:pPr>
        <w:spacing w:after="0" w:line="198" w:lineRule="exact"/>
        <w:rPr>
          <w:sz w:val="20"/>
          <w:szCs w:val="20"/>
          <w:color w:val="auto"/>
        </w:rPr>
      </w:pPr>
    </w:p>
    <w:p>
      <w:pPr>
        <w:ind w:left="360" w:hanging="316"/>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98" w:lineRule="exact"/>
        <w:rPr>
          <w:rFonts w:ascii="Arial" w:cs="Arial" w:eastAsia="Arial" w:hAnsi="Arial"/>
          <w:sz w:val="18"/>
          <w:szCs w:val="18"/>
          <w:color w:val="auto"/>
        </w:rPr>
      </w:pPr>
    </w:p>
    <w:p>
      <w:pPr>
        <w:jc w:val="both"/>
        <w:ind w:left="360" w:right="119" w:hanging="316"/>
        <w:spacing w:after="0" w:line="248"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60" w:right="79" w:hanging="316"/>
        <w:spacing w:after="0" w:line="248"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60" w:right="239" w:hanging="316"/>
        <w:spacing w:after="0" w:line="270" w:lineRule="auto"/>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700" w:right="359" w:hanging="332"/>
        <w:spacing w:after="0" w:line="243"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79" w:hanging="332"/>
        <w:spacing w:after="0" w:line="243"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199" w:hanging="332"/>
        <w:spacing w:after="0" w:line="248"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99" w:hanging="332"/>
        <w:spacing w:after="0" w:line="243"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60" w:right="319" w:hanging="316"/>
        <w:spacing w:after="0" w:line="248"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159" w:hanging="332"/>
        <w:spacing w:after="0" w:line="248"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8, 2021</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8" w:name="page49"/>
    <w:bookmarkEnd w:id="48"/>
    <w:p>
      <w:pPr>
        <w:jc w:val="right"/>
        <w:ind w:right="59"/>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jc w:val="center"/>
        <w:ind w:right="19"/>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82" w:lineRule="exact"/>
        <w:rPr>
          <w:sz w:val="20"/>
          <w:szCs w:val="20"/>
          <w:color w:val="auto"/>
        </w:rPr>
      </w:pPr>
    </w:p>
    <w:p>
      <w:pPr>
        <w:jc w:val="both"/>
        <w:ind w:left="40" w:right="119" w:firstLine="486"/>
        <w:spacing w:after="0" w:line="24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68" w:lineRule="exact"/>
        <w:rPr>
          <w:sz w:val="20"/>
          <w:szCs w:val="20"/>
          <w:color w:val="auto"/>
        </w:rPr>
      </w:pPr>
    </w:p>
    <w:p>
      <w:pPr>
        <w:ind w:left="40" w:right="59" w:firstLine="486"/>
        <w:spacing w:after="0" w:line="243" w:lineRule="auto"/>
        <w:rPr>
          <w:sz w:val="20"/>
          <w:szCs w:val="20"/>
          <w:color w:val="auto"/>
        </w:rPr>
      </w:pPr>
      <w:r>
        <w:rPr>
          <w:rFonts w:ascii="Arial" w:cs="Arial" w:eastAsia="Arial" w:hAnsi="Arial"/>
          <w:sz w:val="18"/>
          <w:szCs w:val="18"/>
          <w:color w:val="auto"/>
        </w:rPr>
        <w:t>The Quarterly Report on Form 10-Q for the quarter ended July 31, 2021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ind w:left="4500"/>
        <w:spacing w:after="0"/>
        <w:rPr>
          <w:sz w:val="20"/>
          <w:szCs w:val="20"/>
          <w:color w:val="auto"/>
        </w:rPr>
      </w:pPr>
      <w:r>
        <w:rPr>
          <w:rFonts w:ascii="Arial" w:cs="Arial" w:eastAsia="Arial" w:hAnsi="Arial"/>
          <w:sz w:val="18"/>
          <w:szCs w:val="18"/>
          <w:color w:val="auto"/>
        </w:rPr>
        <w:t>President and Chief Executive Officer</w:t>
      </w:r>
    </w:p>
    <w:p>
      <w:pPr>
        <w:spacing w:after="0" w:line="18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September 8, 2021</w:t>
      </w:r>
    </w:p>
    <w:p>
      <w:pPr>
        <w:spacing w:after="0" w:line="198" w:lineRule="exact"/>
        <w:rPr>
          <w:sz w:val="20"/>
          <w:szCs w:val="20"/>
          <w:color w:val="auto"/>
        </w:rPr>
      </w:pPr>
    </w:p>
    <w:p>
      <w:pPr>
        <w:ind w:left="40" w:right="299" w:firstLine="486"/>
        <w:spacing w:after="0" w:line="274"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lowerLetter"/>
      <w:start w:val="2"/>
    </w:lvl>
  </w:abstractNum>
  <w:abstractNum w:abstractNumId="6">
    <w:nsid w:val="DED7263"/>
    <w:multiLevelType w:val="hybridMultilevel"/>
    <w:lvl w:ilvl="0">
      <w:lvlJc w:val="left"/>
      <w:lvlText w:val="(%1)"/>
      <w:numFmt w:val="lowerRoman"/>
      <w:start w:val="2"/>
    </w:lvl>
  </w:abstractNum>
  <w:abstractNum w:abstractNumId="7">
    <w:nsid w:val="7FDCC233"/>
    <w:multiLevelType w:val="hybridMultilevel"/>
    <w:lvl w:ilvl="0">
      <w:lvlJc w:val="left"/>
      <w:lvlText w:val="%1."/>
      <w:numFmt w:val="decimal"/>
      <w:start w:val="18"/>
    </w:lvl>
  </w:abstractNum>
  <w:abstractNum w:abstractNumId="8">
    <w:nsid w:val="1BEFD79F"/>
    <w:multiLevelType w:val="hybridMultilevel"/>
    <w:lvl w:ilvl="0">
      <w:lvlJc w:val="left"/>
      <w:lvlText w:val="(%1)"/>
      <w:numFmt w:val="lowerLetter"/>
      <w:start w:val="2"/>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Roman"/>
      <w:start w:val="2"/>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lvl w:ilvl="1">
      <w:lvlJc w:val="left"/>
      <w:lvlText w:val="%2"/>
      <w:numFmt w:val="decimal"/>
      <w:start w:val="104"/>
    </w:lvl>
  </w:abstractNum>
  <w:abstractNum w:abstractNumId="17">
    <w:nsid w:val="257130A3"/>
    <w:multiLevelType w:val="hybridMultilevel"/>
    <w:lvl w:ilvl="0">
      <w:lvlJc w:val="left"/>
      <w:lvlText w:val="(%1)"/>
      <w:numFmt w:val="decimal"/>
      <w:start w:val="1"/>
    </w:lvl>
    <w:lvl w:ilvl="1">
      <w:lvlJc w:val="left"/>
      <w:lvlText w:val="%2"/>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81" Type="http://schemas.openxmlformats.org/officeDocument/2006/relationships/hyperlink" Target="http://www.sec.gov/Archives/edgar/data/1368622/000095015007000008/a28119exv3w1.htm" TargetMode="External"/><Relationship Id="rId82" Type="http://schemas.openxmlformats.org/officeDocument/2006/relationships/hyperlink" Target="http://www.sec.gov/Archives/edgar/data/1368622/000104746915005880/a2225241z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2021-09-09T05:25:04Z</dcterms:created>
  <dcterms:modified xsi:type="dcterms:W3CDTF">2021-09-09T05:25:04Z</dcterms:modified>
</cp:coreProperties>
</file>