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159385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186055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800" w:hanging="477"/>
        <w:spacing w:after="0"/>
        <w:tabs>
          <w:tab w:leader="none" w:pos="8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6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quarterly period ended October 28, 2017</w:t>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141" w:lineRule="exact"/>
        <w:rPr>
          <w:sz w:val="24"/>
          <w:szCs w:val="24"/>
          <w:color w:val="auto"/>
        </w:rPr>
      </w:pPr>
    </w:p>
    <w:p>
      <w:pPr>
        <w:ind w:left="800" w:hanging="477"/>
        <w:spacing w:after="0"/>
        <w:tabs>
          <w:tab w:leader="none" w:pos="8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65" w:lineRule="exact"/>
        <w:rPr>
          <w:sz w:val="24"/>
          <w:szCs w:val="24"/>
          <w:color w:val="auto"/>
        </w:rPr>
      </w:pPr>
    </w:p>
    <w:p>
      <w:pPr>
        <w:ind w:left="3640"/>
        <w:spacing w:after="0"/>
        <w:tabs>
          <w:tab w:leader="none" w:pos="58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169545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AEROVIRONMENT, INC.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166"/>
        </w:trPr>
        <w:tc>
          <w:tcPr>
            <w:tcW w:w="4620" w:type="dxa"/>
            <w:vAlign w:val="bottom"/>
          </w:tcPr>
          <w:p>
            <w:pPr>
              <w:jc w:val="center"/>
              <w:ind w:right="1128"/>
              <w:spacing w:after="0"/>
              <w:rPr>
                <w:sz w:val="20"/>
                <w:szCs w:val="20"/>
                <w:color w:val="auto"/>
              </w:rPr>
            </w:pPr>
            <w:r>
              <w:rPr>
                <w:rFonts w:ascii="Arial" w:cs="Arial" w:eastAsia="Arial" w:hAnsi="Arial"/>
                <w:sz w:val="14"/>
                <w:szCs w:val="14"/>
                <w:b w:val="1"/>
                <w:bCs w:val="1"/>
                <w:color w:val="auto"/>
                <w:w w:val="94"/>
              </w:rPr>
              <w:t>Delaware</w:t>
            </w:r>
          </w:p>
        </w:tc>
        <w:tc>
          <w:tcPr>
            <w:tcW w:w="3260" w:type="dxa"/>
            <w:vAlign w:val="bottom"/>
          </w:tcPr>
          <w:p>
            <w:pPr>
              <w:jc w:val="right"/>
              <w:ind w:right="628"/>
              <w:spacing w:after="0"/>
              <w:rPr>
                <w:sz w:val="20"/>
                <w:szCs w:val="20"/>
                <w:color w:val="auto"/>
              </w:rPr>
            </w:pPr>
            <w:r>
              <w:rPr>
                <w:rFonts w:ascii="Arial" w:cs="Arial" w:eastAsia="Arial" w:hAnsi="Arial"/>
                <w:sz w:val="14"/>
                <w:szCs w:val="14"/>
                <w:b w:val="1"/>
                <w:bCs w:val="1"/>
                <w:color w:val="auto"/>
              </w:rPr>
              <w:t>95-2705790</w:t>
            </w:r>
          </w:p>
        </w:tc>
      </w:tr>
      <w:tr>
        <w:trPr>
          <w:trHeight w:val="182"/>
        </w:trPr>
        <w:tc>
          <w:tcPr>
            <w:tcW w:w="4620" w:type="dxa"/>
            <w:vAlign w:val="bottom"/>
          </w:tcPr>
          <w:p>
            <w:pPr>
              <w:jc w:val="center"/>
              <w:ind w:right="110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(I.R.S. Employer Identification No.)</w:t>
            </w:r>
          </w:p>
        </w:tc>
      </w:tr>
      <w:tr>
        <w:trPr>
          <w:trHeight w:val="286"/>
        </w:trPr>
        <w:tc>
          <w:tcPr>
            <w:tcW w:w="4620" w:type="dxa"/>
            <w:vAlign w:val="bottom"/>
          </w:tcPr>
          <w:p>
            <w:pPr>
              <w:jc w:val="center"/>
              <w:ind w:right="1128"/>
              <w:spacing w:after="0"/>
              <w:rPr>
                <w:sz w:val="20"/>
                <w:szCs w:val="20"/>
                <w:color w:val="auto"/>
              </w:rPr>
            </w:pPr>
            <w:r>
              <w:rPr>
                <w:rFonts w:ascii="Arial" w:cs="Arial" w:eastAsia="Arial" w:hAnsi="Arial"/>
                <w:sz w:val="14"/>
                <w:szCs w:val="14"/>
                <w:b w:val="1"/>
                <w:bCs w:val="1"/>
                <w:color w:val="auto"/>
                <w:w w:val="93"/>
              </w:rPr>
              <w:t>800 Royal Oaks Drive, Suite 210</w:t>
            </w:r>
          </w:p>
        </w:tc>
        <w:tc>
          <w:tcPr>
            <w:tcW w:w="3260" w:type="dxa"/>
            <w:vAlign w:val="bottom"/>
          </w:tcPr>
          <w:p>
            <w:pPr>
              <w:spacing w:after="0"/>
              <w:rPr>
                <w:sz w:val="24"/>
                <w:szCs w:val="24"/>
                <w:color w:val="auto"/>
              </w:rPr>
            </w:pPr>
          </w:p>
        </w:tc>
      </w:tr>
      <w:tr>
        <w:trPr>
          <w:trHeight w:val="166"/>
        </w:trPr>
        <w:tc>
          <w:tcPr>
            <w:tcW w:w="4620" w:type="dxa"/>
            <w:vAlign w:val="bottom"/>
          </w:tcPr>
          <w:p>
            <w:pPr>
              <w:jc w:val="center"/>
              <w:ind w:right="1128"/>
              <w:spacing w:after="0"/>
              <w:rPr>
                <w:sz w:val="20"/>
                <w:szCs w:val="20"/>
                <w:color w:val="auto"/>
              </w:rPr>
            </w:pPr>
            <w:r>
              <w:rPr>
                <w:rFonts w:ascii="Arial" w:cs="Arial" w:eastAsia="Arial" w:hAnsi="Arial"/>
                <w:sz w:val="14"/>
                <w:szCs w:val="14"/>
                <w:b w:val="1"/>
                <w:bCs w:val="1"/>
                <w:color w:val="auto"/>
                <w:w w:val="96"/>
              </w:rPr>
              <w:t>Monrovia, California</w:t>
            </w:r>
          </w:p>
        </w:tc>
        <w:tc>
          <w:tcPr>
            <w:tcW w:w="3260" w:type="dxa"/>
            <w:vAlign w:val="bottom"/>
          </w:tcPr>
          <w:p>
            <w:pPr>
              <w:jc w:val="right"/>
              <w:ind w:right="788"/>
              <w:spacing w:after="0"/>
              <w:rPr>
                <w:sz w:val="20"/>
                <w:szCs w:val="20"/>
                <w:color w:val="auto"/>
              </w:rPr>
            </w:pPr>
            <w:r>
              <w:rPr>
                <w:rFonts w:ascii="Arial" w:cs="Arial" w:eastAsia="Arial" w:hAnsi="Arial"/>
                <w:sz w:val="14"/>
                <w:szCs w:val="14"/>
                <w:b w:val="1"/>
                <w:bCs w:val="1"/>
                <w:color w:val="auto"/>
              </w:rPr>
              <w:t>91016</w:t>
            </w:r>
          </w:p>
        </w:tc>
      </w:tr>
      <w:tr>
        <w:trPr>
          <w:trHeight w:val="182"/>
        </w:trPr>
        <w:tc>
          <w:tcPr>
            <w:tcW w:w="4620" w:type="dxa"/>
            <w:vAlign w:val="bottom"/>
          </w:tcPr>
          <w:p>
            <w:pPr>
              <w:jc w:val="center"/>
              <w:ind w:right="1128"/>
              <w:spacing w:after="0"/>
              <w:rPr>
                <w:sz w:val="20"/>
                <w:szCs w:val="20"/>
                <w:color w:val="auto"/>
              </w:rPr>
            </w:pPr>
            <w:r>
              <w:rPr>
                <w:rFonts w:ascii="Arial" w:cs="Arial" w:eastAsia="Arial" w:hAnsi="Arial"/>
                <w:sz w:val="14"/>
                <w:szCs w:val="14"/>
                <w:color w:val="auto"/>
                <w:w w:val="95"/>
              </w:rPr>
              <w:t>(Address of principal executive offices)</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r>
    </w:tbl>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(626) 357-9983</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9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142240</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both"/>
        <w:ind w:right="300" w:firstLine="324"/>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220" w:firstLine="324"/>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jc w:val="both"/>
        <w:ind w:right="300" w:firstLine="324"/>
        <w:spacing w:after="0" w:line="22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180" w:type="dxa"/>
        <w:tblCellMar>
          <w:top w:w="0" w:type="dxa"/>
          <w:left w:w="0" w:type="dxa"/>
          <w:bottom w:w="0" w:type="dxa"/>
          <w:right w:w="0" w:type="dxa"/>
        </w:tblCellMar>
      </w:tblPr>
      <w:tr>
        <w:trPr>
          <w:trHeight w:val="226"/>
        </w:trPr>
        <w:tc>
          <w:tcPr>
            <w:tcW w:w="4060" w:type="dxa"/>
            <w:vAlign w:val="bottom"/>
          </w:tcPr>
          <w:p>
            <w:pPr>
              <w:jc w:val="center"/>
              <w:ind w:right="1408"/>
              <w:spacing w:after="0" w:line="161" w:lineRule="exact"/>
              <w:rPr>
                <w:sz w:val="20"/>
                <w:szCs w:val="20"/>
                <w:color w:val="auto"/>
              </w:rPr>
            </w:pPr>
            <w:r>
              <w:rPr>
                <w:rFonts w:ascii="Arial" w:cs="Arial" w:eastAsia="Arial" w:hAnsi="Arial"/>
                <w:sz w:val="14"/>
                <w:szCs w:val="14"/>
                <w:color w:val="auto"/>
                <w:w w:val="93"/>
              </w:rPr>
              <w:t xml:space="preserve">Large accelerated filer </w:t>
            </w:r>
            <w:r>
              <w:rPr>
                <w:rFonts w:ascii="MS PGothic" w:cs="MS PGothic" w:eastAsia="MS PGothic" w:hAnsi="MS PGothic"/>
                <w:sz w:val="14"/>
                <w:szCs w:val="14"/>
                <w:color w:val="auto"/>
                <w:w w:val="93"/>
              </w:rPr>
              <w:t>☐</w:t>
            </w:r>
          </w:p>
        </w:tc>
        <w:tc>
          <w:tcPr>
            <w:tcW w:w="3220" w:type="dxa"/>
            <w:vAlign w:val="bottom"/>
          </w:tcPr>
          <w:p>
            <w:pPr>
              <w:jc w:val="center"/>
              <w:ind w:left="1408"/>
              <w:spacing w:after="0" w:line="161" w:lineRule="exact"/>
              <w:rPr>
                <w:sz w:val="20"/>
                <w:szCs w:val="20"/>
                <w:color w:val="auto"/>
              </w:rPr>
            </w:pPr>
            <w:r>
              <w:rPr>
                <w:rFonts w:ascii="Arial" w:cs="Arial" w:eastAsia="Arial" w:hAnsi="Arial"/>
                <w:sz w:val="14"/>
                <w:szCs w:val="14"/>
                <w:color w:val="auto"/>
                <w:w w:val="96"/>
              </w:rPr>
              <w:t xml:space="preserve">Accelerated filer </w:t>
            </w:r>
            <w:r>
              <w:rPr>
                <w:rFonts w:ascii="MS PGothic" w:cs="MS PGothic" w:eastAsia="MS PGothic" w:hAnsi="MS PGothic"/>
                <w:sz w:val="14"/>
                <w:szCs w:val="14"/>
                <w:color w:val="auto"/>
                <w:w w:val="96"/>
              </w:rPr>
              <w:t>☒</w:t>
            </w:r>
          </w:p>
        </w:tc>
        <w:tc>
          <w:tcPr>
            <w:tcW w:w="0" w:type="dxa"/>
            <w:vAlign w:val="bottom"/>
          </w:tcPr>
          <w:p>
            <w:pPr>
              <w:spacing w:after="0"/>
              <w:rPr>
                <w:sz w:val="1"/>
                <w:szCs w:val="1"/>
                <w:color w:val="auto"/>
              </w:rPr>
            </w:pPr>
          </w:p>
        </w:tc>
      </w:tr>
      <w:tr>
        <w:trPr>
          <w:trHeight w:val="254"/>
        </w:trPr>
        <w:tc>
          <w:tcPr>
            <w:tcW w:w="4060" w:type="dxa"/>
            <w:vAlign w:val="bottom"/>
          </w:tcPr>
          <w:p>
            <w:pPr>
              <w:jc w:val="center"/>
              <w:ind w:right="1408"/>
              <w:spacing w:after="0" w:line="161" w:lineRule="exact"/>
              <w:rPr>
                <w:sz w:val="20"/>
                <w:szCs w:val="20"/>
                <w:color w:val="auto"/>
              </w:rPr>
            </w:pPr>
            <w:r>
              <w:rPr>
                <w:rFonts w:ascii="Arial" w:cs="Arial" w:eastAsia="Arial" w:hAnsi="Arial"/>
                <w:sz w:val="14"/>
                <w:szCs w:val="14"/>
                <w:color w:val="auto"/>
                <w:w w:val="93"/>
              </w:rPr>
              <w:t xml:space="preserve">Non-accelerated filer </w:t>
            </w:r>
            <w:r>
              <w:rPr>
                <w:rFonts w:ascii="MS PGothic" w:cs="MS PGothic" w:eastAsia="MS PGothic" w:hAnsi="MS PGothic"/>
                <w:sz w:val="14"/>
                <w:szCs w:val="14"/>
                <w:color w:val="auto"/>
                <w:w w:val="93"/>
              </w:rPr>
              <w:t>☐</w:t>
            </w:r>
          </w:p>
        </w:tc>
        <w:tc>
          <w:tcPr>
            <w:tcW w:w="3220" w:type="dxa"/>
            <w:vAlign w:val="bottom"/>
          </w:tcPr>
          <w:p>
            <w:pPr>
              <w:jc w:val="center"/>
              <w:ind w:left="1408"/>
              <w:spacing w:after="0" w:line="161" w:lineRule="exact"/>
              <w:rPr>
                <w:sz w:val="20"/>
                <w:szCs w:val="20"/>
                <w:color w:val="auto"/>
              </w:rPr>
            </w:pPr>
            <w:r>
              <w:rPr>
                <w:rFonts w:ascii="Arial" w:cs="Arial" w:eastAsia="Arial" w:hAnsi="Arial"/>
                <w:sz w:val="14"/>
                <w:szCs w:val="14"/>
                <w:color w:val="auto"/>
                <w:w w:val="93"/>
              </w:rPr>
              <w:t xml:space="preserve">Smaller reporting company </w:t>
            </w:r>
            <w:r>
              <w:rPr>
                <w:rFonts w:ascii="MS PGothic" w:cs="MS PGothic" w:eastAsia="MS PGothic" w:hAnsi="MS PGothic"/>
                <w:sz w:val="14"/>
                <w:szCs w:val="14"/>
                <w:color w:val="auto"/>
                <w:w w:val="93"/>
              </w:rPr>
              <w:t>☐</w:t>
            </w:r>
          </w:p>
        </w:tc>
        <w:tc>
          <w:tcPr>
            <w:tcW w:w="0" w:type="dxa"/>
            <w:vAlign w:val="bottom"/>
          </w:tcPr>
          <w:p>
            <w:pPr>
              <w:spacing w:after="0"/>
              <w:rPr>
                <w:sz w:val="1"/>
                <w:szCs w:val="1"/>
                <w:color w:val="auto"/>
              </w:rPr>
            </w:pPr>
          </w:p>
        </w:tc>
      </w:tr>
      <w:tr>
        <w:trPr>
          <w:trHeight w:val="182"/>
        </w:trPr>
        <w:tc>
          <w:tcPr>
            <w:tcW w:w="4060" w:type="dxa"/>
            <w:vAlign w:val="bottom"/>
          </w:tcPr>
          <w:p>
            <w:pPr>
              <w:jc w:val="center"/>
              <w:ind w:right="1408"/>
              <w:spacing w:after="0"/>
              <w:rPr>
                <w:sz w:val="20"/>
                <w:szCs w:val="20"/>
                <w:color w:val="auto"/>
              </w:rPr>
            </w:pPr>
            <w:r>
              <w:rPr>
                <w:rFonts w:ascii="Arial" w:cs="Arial" w:eastAsia="Arial" w:hAnsi="Arial"/>
                <w:sz w:val="14"/>
                <w:szCs w:val="14"/>
                <w:color w:val="auto"/>
                <w:w w:val="95"/>
              </w:rPr>
              <w:t>(Do not check if smaller reporting company)</w:t>
            </w:r>
          </w:p>
        </w:tc>
        <w:tc>
          <w:tcPr>
            <w:tcW w:w="3220" w:type="dxa"/>
            <w:vAlign w:val="bottom"/>
            <w:vMerge w:val="restart"/>
          </w:tcPr>
          <w:p>
            <w:pPr>
              <w:jc w:val="center"/>
              <w:ind w:left="1408"/>
              <w:spacing w:after="0" w:line="161" w:lineRule="exact"/>
              <w:rPr>
                <w:sz w:val="20"/>
                <w:szCs w:val="20"/>
                <w:color w:val="auto"/>
              </w:rPr>
            </w:pPr>
            <w:r>
              <w:rPr>
                <w:rFonts w:ascii="Arial" w:cs="Arial" w:eastAsia="Arial" w:hAnsi="Arial"/>
                <w:sz w:val="14"/>
                <w:szCs w:val="14"/>
                <w:color w:val="auto"/>
                <w:w w:val="94"/>
              </w:rPr>
              <w:t xml:space="preserve">Emerging growth company </w:t>
            </w:r>
            <w:r>
              <w:rPr>
                <w:rFonts w:ascii="MS PGothic" w:cs="MS PGothic" w:eastAsia="MS PGothic" w:hAnsi="MS PGothic"/>
                <w:sz w:val="14"/>
                <w:szCs w:val="14"/>
                <w:color w:val="auto"/>
                <w:w w:val="94"/>
              </w:rPr>
              <w:t>☐</w:t>
            </w: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3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22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20" w:right="2120"/>
        <w:spacing w:after="0" w:line="26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28, 2017, the number of shares outstanding of the registrant’s common stock, $0.0001 par value, was 23,870,182.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388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145415</wp:posOffset>
            </wp:positionV>
            <wp:extent cx="638873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522605</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233" w:right="9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360" w:type="dxa"/>
            <w:vAlign w:val="bottom"/>
            <w:gridSpan w:val="26"/>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6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92"/>
              </w:rPr>
              <w:t>AeroVironment, Inc.</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60" w:type="dxa"/>
            <w:vAlign w:val="bottom"/>
            <w:gridSpan w:val="11"/>
          </w:tcPr>
          <w:p>
            <w:pPr>
              <w:jc w:val="center"/>
              <w:ind w:right="2480"/>
              <w:spacing w:after="0"/>
              <w:rPr>
                <w:sz w:val="20"/>
                <w:szCs w:val="20"/>
                <w:color w:val="auto"/>
              </w:rPr>
            </w:pPr>
            <w:r>
              <w:rPr>
                <w:rFonts w:ascii="Arial" w:cs="Arial" w:eastAsia="Arial" w:hAnsi="Arial"/>
                <w:sz w:val="18"/>
                <w:szCs w:val="18"/>
                <w:b w:val="1"/>
                <w:bCs w:val="1"/>
                <w:color w:val="auto"/>
                <w:w w:val="89"/>
              </w:rPr>
              <w:t>Table of Contents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4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r>
              <w:rPr>
                <w:rFonts w:ascii="Arial" w:cs="Arial" w:eastAsia="Arial" w:hAnsi="Arial"/>
                <w:sz w:val="18"/>
                <w:szCs w:val="18"/>
                <w:color w:val="000000"/>
              </w:rPr>
              <w:t>:</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Balance Sheets as of October 28, 2017 (Unaudited) and April 30, 2017</w:t>
              </w:r>
            </w:hyperlink>
          </w:p>
        </w:tc>
        <w:tc>
          <w:tcPr>
            <w:tcW w:w="1200" w:type="dxa"/>
            <w:vAlign w:val="bottom"/>
            <w:gridSpan w:val="4"/>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00" w:type="dxa"/>
            <w:vAlign w:val="bottom"/>
            <w:gridSpan w:val="21"/>
          </w:tcPr>
          <w:p>
            <w:pPr>
              <w:spacing w:after="0" w:line="19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Consolidated Statements of Operations for the three and six months ended October 28, 2017</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4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(Unaudited) and October 29, 2016 (Unaudited)</w:t>
              </w:r>
            </w:hyperlink>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120" w:type="dxa"/>
            <w:vAlign w:val="bottom"/>
            <w:gridSpan w:val="20"/>
          </w:tcPr>
          <w:p>
            <w:pPr>
              <w:spacing w:after="0" w:line="182"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Statements of Comprehensive Income (Loss) for the three and six months ended</w:t>
              </w:r>
            </w:hyperlink>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6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October 28, 2017 (Unaudited) and October 29, 2016 (Unaudited)</w:t>
              </w:r>
            </w:hyperlink>
          </w:p>
        </w:tc>
        <w:tc>
          <w:tcPr>
            <w:tcW w:w="5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80" w:type="dxa"/>
            <w:vAlign w:val="bottom"/>
            <w:tcBorders>
              <w:top w:val="single" w:sz="8" w:color="0000EE"/>
            </w:tcBorders>
            <w:gridSpan w:val="14"/>
          </w:tcPr>
          <w:p>
            <w:pPr>
              <w:spacing w:after="0" w:line="182"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six months ended</w:t>
              </w:r>
            </w:hyperlink>
          </w:p>
        </w:tc>
        <w:tc>
          <w:tcPr>
            <w:tcW w:w="2440" w:type="dxa"/>
            <w:vAlign w:val="bottom"/>
            <w:gridSpan w:val="6"/>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October 28, 2017</w:t>
              </w:r>
            </w:hyperlink>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8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(Unaudited) and October 29, 2016 (Unaudited)</w:t>
              </w:r>
            </w:hyperlink>
          </w:p>
        </w:tc>
        <w:tc>
          <w:tcPr>
            <w:tcW w:w="280" w:type="dxa"/>
            <w:vAlign w:val="bottom"/>
            <w:gridSpan w:val="2"/>
          </w:tcPr>
          <w:p>
            <w:pPr>
              <w:spacing w:after="0"/>
              <w:rPr>
                <w:sz w:val="15"/>
                <w:szCs w:val="15"/>
                <w:color w:val="auto"/>
              </w:rPr>
            </w:pPr>
          </w:p>
        </w:tc>
        <w:tc>
          <w:tcPr>
            <w:tcW w:w="102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gridSpan w:val="2"/>
            <w:vMerge w:val="restart"/>
          </w:tcPr>
          <w:p>
            <w:pPr>
              <w:spacing w:after="0" w:line="202" w:lineRule="exact"/>
              <w:rPr>
                <w:rFonts w:ascii="Arial" w:cs="Arial" w:eastAsia="Arial" w:hAnsi="Arial"/>
                <w:sz w:val="18"/>
                <w:szCs w:val="18"/>
                <w:color w:val="0000EE"/>
                <w:w w:val="72"/>
              </w:rPr>
            </w:pPr>
            <w:hyperlink w:anchor="page7">
              <w:r>
                <w:rPr>
                  <w:rFonts w:ascii="Arial" w:cs="Arial" w:eastAsia="Arial" w:hAnsi="Arial"/>
                  <w:sz w:val="18"/>
                  <w:szCs w:val="18"/>
                  <w:color w:val="0000EE"/>
                  <w:w w:val="72"/>
                </w:rPr>
                <w:t>Notes</w:t>
              </w:r>
            </w:hyperlink>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7120" w:type="dxa"/>
            <w:vAlign w:val="bottom"/>
            <w:gridSpan w:val="20"/>
          </w:tcPr>
          <w:p>
            <w:pPr>
              <w:ind w:left="100"/>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to Consolidated Financial Statements (Unaudited)</w:t>
              </w:r>
            </w:hyperlink>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102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3120" w:type="dxa"/>
            <w:vAlign w:val="bottom"/>
            <w:gridSpan w:val="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5700" w:type="dxa"/>
            <w:vAlign w:val="bottom"/>
            <w:gridSpan w:val="1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99"/>
        </w:trPr>
        <w:tc>
          <w:tcPr>
            <w:tcW w:w="8360" w:type="dxa"/>
            <w:vAlign w:val="bottom"/>
            <w:gridSpan w:val="26"/>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1.</w:t>
              </w:r>
            </w:hyperlink>
          </w:p>
        </w:tc>
        <w:tc>
          <w:tcPr>
            <w:tcW w:w="240" w:type="dxa"/>
            <w:vAlign w:val="bottom"/>
            <w:tcBorders>
              <w:top w:val="single" w:sz="8" w:color="0000EE"/>
            </w:tcBorders>
            <w:gridSpan w:val="2"/>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5600" w:type="dxa"/>
            <w:vAlign w:val="bottom"/>
            <w:gridSpan w:val="1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7600" w:type="dxa"/>
            <w:vAlign w:val="bottom"/>
            <w:gridSpan w:val="23"/>
          </w:tcPr>
          <w:p>
            <w:pPr>
              <w:ind w:left="1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80" w:type="dxa"/>
            <w:vAlign w:val="bottom"/>
            <w:gridSpan w:val="2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3140" w:type="dxa"/>
            <w:vAlign w:val="bottom"/>
            <w:gridSpan w:val="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5160" w:type="dxa"/>
            <w:vAlign w:val="bottom"/>
            <w:gridSpan w:val="1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5.</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Other Information</w:t>
              </w:r>
            </w:hyperlink>
          </w:p>
        </w:tc>
        <w:tc>
          <w:tcPr>
            <w:tcW w:w="6160" w:type="dxa"/>
            <w:vAlign w:val="bottom"/>
            <w:gridSpan w:val="1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748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Signatures</w:t>
              </w:r>
            </w:hyperlink>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tbl>
      <w:tblPr>
        <w:tblLayout w:type="fixed"/>
        <w:tblInd w:w="0" w:type="dxa"/>
        <w:tblCellMar>
          <w:top w:w="0" w:type="dxa"/>
          <w:left w:w="0" w:type="dxa"/>
          <w:bottom w:w="0" w:type="dxa"/>
          <w:right w:w="0" w:type="dxa"/>
        </w:tblCellMar>
      </w:tblPr>
      <w:tr>
        <w:trPr>
          <w:trHeight w:val="148"/>
        </w:trPr>
        <w:tc>
          <w:tcPr>
            <w:tcW w:w="6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October 28,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April 30,</w:t>
            </w:r>
          </w:p>
        </w:tc>
      </w:tr>
      <w:tr>
        <w:trPr>
          <w:trHeight w:val="171"/>
        </w:trPr>
        <w:tc>
          <w:tcPr>
            <w:tcW w:w="6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r>
      <w:tr>
        <w:trPr>
          <w:trHeight w:val="142"/>
        </w:trPr>
        <w:tc>
          <w:tcPr>
            <w:tcW w:w="6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79,904</w:t>
            </w:r>
          </w:p>
        </w:tc>
        <w:tc>
          <w:tcPr>
            <w:tcW w:w="14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110,751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119,971</w:t>
            </w:r>
          </w:p>
        </w:tc>
        <w:tc>
          <w:tcPr>
            <w:tcW w:w="140" w:type="dxa"/>
            <w:vAlign w:val="bottom"/>
          </w:tcPr>
          <w:p>
            <w:pPr>
              <w:spacing w:after="0"/>
              <w:rPr>
                <w:sz w:val="17"/>
                <w:szCs w:val="17"/>
                <w:color w:val="auto"/>
              </w:rPr>
            </w:pPr>
          </w:p>
        </w:tc>
      </w:tr>
      <w:tr>
        <w:trPr>
          <w:trHeight w:val="19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5"/>
              </w:rPr>
              <w:t>Accounts receivable, net of allowance for doubtful accounts of $1,201 at October 28, 2017 and</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2"/>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$291 at April 30, 2017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74,361</w:t>
            </w:r>
          </w:p>
        </w:tc>
        <w:tc>
          <w:tcPr>
            <w:tcW w:w="140" w:type="dxa"/>
            <w:vAlign w:val="bottom"/>
            <w:shd w:val="clear" w:color="auto" w:fill="CCEEFF"/>
          </w:tcPr>
          <w:p>
            <w:pPr>
              <w:spacing w:after="0"/>
              <w:rPr>
                <w:sz w:val="18"/>
                <w:szCs w:val="18"/>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Unbilled receivables and retentions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13,494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14,120</w:t>
            </w:r>
          </w:p>
        </w:tc>
        <w:tc>
          <w:tcPr>
            <w:tcW w:w="14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 net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76,039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60,076</w:t>
            </w:r>
          </w:p>
        </w:tc>
        <w:tc>
          <w:tcPr>
            <w:tcW w:w="140" w:type="dxa"/>
            <w:vAlign w:val="bottom"/>
            <w:shd w:val="clear" w:color="auto" w:fill="CCEEFF"/>
          </w:tcPr>
          <w:p>
            <w:pPr>
              <w:spacing w:after="0"/>
              <w:rPr>
                <w:sz w:val="17"/>
                <w:szCs w:val="17"/>
                <w:color w:val="auto"/>
              </w:rPr>
            </w:pPr>
          </w:p>
        </w:tc>
      </w:tr>
      <w:tr>
        <w:trPr>
          <w:trHeight w:val="203"/>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5,175</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5,653</w:t>
            </w:r>
          </w:p>
        </w:tc>
        <w:tc>
          <w:tcPr>
            <w:tcW w:w="140" w:type="dxa"/>
            <w:vAlign w:val="bottom"/>
            <w:tcBorders>
              <w:bottom w:val="single" w:sz="8" w:color="CCEEFF"/>
            </w:tcBorders>
          </w:tcPr>
          <w:p>
            <w:pPr>
              <w:spacing w:after="0"/>
              <w:rPr>
                <w:sz w:val="17"/>
                <w:szCs w:val="17"/>
                <w:color w:val="auto"/>
              </w:rPr>
            </w:pP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357,674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354,085</w:t>
            </w:r>
          </w:p>
        </w:tc>
        <w:tc>
          <w:tcPr>
            <w:tcW w:w="14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Long-term investments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33,024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42,096</w:t>
            </w:r>
          </w:p>
        </w:tc>
        <w:tc>
          <w:tcPr>
            <w:tcW w:w="14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19,220</w:t>
            </w:r>
          </w:p>
        </w:tc>
        <w:tc>
          <w:tcPr>
            <w:tcW w:w="14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15,089</w:t>
            </w:r>
          </w:p>
        </w:tc>
        <w:tc>
          <w:tcPr>
            <w:tcW w:w="14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2,010</w:t>
            </w:r>
          </w:p>
        </w:tc>
        <w:tc>
          <w:tcPr>
            <w:tcW w:w="140" w:type="dxa"/>
            <w:vAlign w:val="bottom"/>
            <w:shd w:val="clear" w:color="auto" w:fill="CCEEFF"/>
          </w:tcPr>
          <w:p>
            <w:pPr>
              <w:spacing w:after="0"/>
              <w:rPr>
                <w:sz w:val="17"/>
                <w:szCs w:val="17"/>
                <w:color w:val="auto"/>
              </w:rPr>
            </w:pPr>
          </w:p>
        </w:tc>
      </w:tr>
      <w:tr>
        <w:trPr>
          <w:trHeight w:val="203"/>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429,263</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432,500</w:t>
            </w:r>
          </w:p>
        </w:tc>
        <w:tc>
          <w:tcPr>
            <w:tcW w:w="140" w:type="dxa"/>
            <w:vAlign w:val="bottom"/>
            <w:tcBorders>
              <w:bottom w:val="single" w:sz="8" w:color="CCEEFF"/>
            </w:tcBorders>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20,283</w:t>
            </w:r>
          </w:p>
        </w:tc>
        <w:tc>
          <w:tcPr>
            <w:tcW w:w="14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Wages and related accruals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10,415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12,966</w:t>
            </w:r>
          </w:p>
        </w:tc>
        <w:tc>
          <w:tcPr>
            <w:tcW w:w="14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14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Customer advances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3,921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3,317</w:t>
            </w:r>
          </w:p>
        </w:tc>
        <w:tc>
          <w:tcPr>
            <w:tcW w:w="14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7,441</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10,079</w:t>
            </w:r>
          </w:p>
        </w:tc>
        <w:tc>
          <w:tcPr>
            <w:tcW w:w="140" w:type="dxa"/>
            <w:vAlign w:val="bottom"/>
            <w:shd w:val="clear" w:color="auto" w:fill="CCEEFF"/>
          </w:tcPr>
          <w:p>
            <w:pPr>
              <w:spacing w:after="0"/>
              <w:rPr>
                <w:sz w:val="17"/>
                <w:szCs w:val="17"/>
                <w:color w:val="auto"/>
              </w:rPr>
            </w:pPr>
          </w:p>
        </w:tc>
      </w:tr>
      <w:tr>
        <w:trPr>
          <w:trHeight w:val="196"/>
        </w:trPr>
        <w:tc>
          <w:tcPr>
            <w:tcW w:w="66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37,851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48,063</w:t>
            </w:r>
          </w:p>
        </w:tc>
        <w:tc>
          <w:tcPr>
            <w:tcW w:w="14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Deferred rent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14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Capital lease obligations - net of current portion</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w:t>
            </w:r>
          </w:p>
        </w:tc>
        <w:tc>
          <w:tcPr>
            <w:tcW w:w="14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4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Deferred tax liability</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w:t>
            </w:r>
          </w:p>
        </w:tc>
        <w:tc>
          <w:tcPr>
            <w:tcW w:w="14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Liability for uncertain tax positions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4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Preferred stock, $0.0001 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3"/>
        </w:trPr>
        <w:tc>
          <w:tcPr>
            <w:tcW w:w="6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Authorized shares—10,000,000; none issued or outstanding at October 28, 2017 and</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2"/>
        </w:trPr>
        <w:tc>
          <w:tcPr>
            <w:tcW w:w="6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April 30, 2017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Common stock, $0.0001 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Authorized shares—100,000,000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3"/>
        </w:trPr>
        <w:tc>
          <w:tcPr>
            <w:tcW w:w="6660" w:type="dxa"/>
            <w:vAlign w:val="bottom"/>
          </w:tcPr>
          <w:p>
            <w:pPr>
              <w:ind w:left="320"/>
              <w:spacing w:after="0"/>
              <w:rPr>
                <w:sz w:val="20"/>
                <w:szCs w:val="20"/>
                <w:color w:val="auto"/>
              </w:rPr>
            </w:pPr>
            <w:r>
              <w:rPr>
                <w:rFonts w:ascii="Arial" w:cs="Arial" w:eastAsia="Arial" w:hAnsi="Arial"/>
                <w:sz w:val="16"/>
                <w:szCs w:val="16"/>
                <w:color w:val="auto"/>
                <w:w w:val="97"/>
              </w:rPr>
              <w:t>Issued and outstanding shares—23,865,335 shares at October 28, 2017 and 23,630,419 at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6660" w:type="dxa"/>
            <w:vAlign w:val="bottom"/>
          </w:tcPr>
          <w:p>
            <w:pPr>
              <w:ind w:left="320"/>
              <w:spacing w:after="0"/>
              <w:rPr>
                <w:sz w:val="20"/>
                <w:szCs w:val="20"/>
                <w:color w:val="auto"/>
              </w:rPr>
            </w:pPr>
            <w:r>
              <w:rPr>
                <w:rFonts w:ascii="Arial" w:cs="Arial" w:eastAsia="Arial" w:hAnsi="Arial"/>
                <w:sz w:val="16"/>
                <w:szCs w:val="16"/>
                <w:color w:val="auto"/>
              </w:rPr>
              <w:t>April 30, 2017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r>
      <w:tr>
        <w:trPr>
          <w:trHeight w:val="206"/>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166,993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162,150</w:t>
            </w:r>
          </w:p>
        </w:tc>
        <w:tc>
          <w:tcPr>
            <w:tcW w:w="14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w:t>
            </w:r>
          </w:p>
        </w:tc>
        <w:tc>
          <w:tcPr>
            <w:tcW w:w="14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222,504</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219,929</w:t>
            </w:r>
          </w:p>
        </w:tc>
        <w:tc>
          <w:tcPr>
            <w:tcW w:w="140" w:type="dxa"/>
            <w:vAlign w:val="bottom"/>
            <w:shd w:val="clear" w:color="auto" w:fill="CCEEFF"/>
          </w:tcPr>
          <w:p>
            <w:pPr>
              <w:spacing w:after="0"/>
              <w:rPr>
                <w:sz w:val="17"/>
                <w:szCs w:val="17"/>
                <w:color w:val="auto"/>
              </w:rPr>
            </w:pPr>
          </w:p>
        </w:tc>
      </w:tr>
      <w:tr>
        <w:trPr>
          <w:trHeight w:val="196"/>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AeroVironment stockholders' equity</w:t>
            </w:r>
          </w:p>
        </w:tc>
        <w:tc>
          <w:tcPr>
            <w:tcW w:w="2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389,401</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381,954</w:t>
            </w:r>
          </w:p>
        </w:tc>
        <w:tc>
          <w:tcPr>
            <w:tcW w:w="140" w:type="dxa"/>
            <w:vAlign w:val="bottom"/>
            <w:tcBorders>
              <w:bottom w:val="single" w:sz="8" w:color="CCEEFF"/>
            </w:tcBorders>
          </w:tcPr>
          <w:p>
            <w:pPr>
              <w:spacing w:after="0"/>
              <w:rPr>
                <w:sz w:val="17"/>
                <w:szCs w:val="17"/>
                <w:color w:val="auto"/>
              </w:rPr>
            </w:pPr>
          </w:p>
        </w:tc>
      </w:tr>
      <w:tr>
        <w:trPr>
          <w:trHeight w:val="196"/>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40" w:type="dxa"/>
            <w:vAlign w:val="bottom"/>
            <w:shd w:val="clear" w:color="auto" w:fill="CCEEFF"/>
          </w:tcPr>
          <w:p>
            <w:pPr>
              <w:spacing w:after="0"/>
              <w:rPr>
                <w:sz w:val="17"/>
                <w:szCs w:val="17"/>
                <w:color w:val="auto"/>
              </w:rPr>
            </w:pPr>
          </w:p>
        </w:tc>
      </w:tr>
      <w:tr>
        <w:trPr>
          <w:trHeight w:val="203"/>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equity</w:t>
            </w:r>
          </w:p>
        </w:tc>
        <w:tc>
          <w:tcPr>
            <w:tcW w:w="2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389,410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382,193</w:t>
            </w:r>
          </w:p>
        </w:tc>
        <w:tc>
          <w:tcPr>
            <w:tcW w:w="140" w:type="dxa"/>
            <w:vAlign w:val="bottom"/>
            <w:tcBorders>
              <w:bottom w:val="single" w:sz="8" w:color="CCEEFF"/>
            </w:tcBorders>
          </w:tcPr>
          <w:p>
            <w:pPr>
              <w:spacing w:after="0"/>
              <w:rPr>
                <w:sz w:val="17"/>
                <w:szCs w:val="17"/>
                <w:color w:val="auto"/>
              </w:rPr>
            </w:pPr>
          </w:p>
        </w:tc>
      </w:tr>
      <w:tr>
        <w:trPr>
          <w:trHeight w:val="203"/>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429,263</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432,500</w:t>
            </w:r>
          </w:p>
        </w:tc>
        <w:tc>
          <w:tcPr>
            <w:tcW w:w="140" w:type="dxa"/>
            <w:vAlign w:val="bottom"/>
            <w:tcBorders>
              <w:bottom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72"/>
              <w:spacing w:after="0" w:line="119" w:lineRule="exact"/>
              <w:rPr>
                <w:sz w:val="20"/>
                <w:szCs w:val="20"/>
                <w:color w:val="auto"/>
              </w:rPr>
            </w:pPr>
            <w:r>
              <w:rPr>
                <w:rFonts w:ascii="Arial" w:cs="Arial" w:eastAsia="Arial" w:hAnsi="Arial"/>
                <w:sz w:val="13"/>
                <w:szCs w:val="13"/>
                <w:b w:val="1"/>
                <w:bCs w:val="1"/>
                <w:color w:val="auto"/>
              </w:rPr>
              <w:t>October 28,</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72"/>
              <w:spacing w:after="0" w:line="119" w:lineRule="exact"/>
              <w:rPr>
                <w:sz w:val="20"/>
                <w:szCs w:val="20"/>
                <w:color w:val="auto"/>
              </w:rPr>
            </w:pPr>
            <w:r>
              <w:rPr>
                <w:rFonts w:ascii="Arial" w:cs="Arial" w:eastAsia="Arial" w:hAnsi="Arial"/>
                <w:sz w:val="13"/>
                <w:szCs w:val="13"/>
                <w:b w:val="1"/>
                <w:bCs w:val="1"/>
                <w:color w:val="auto"/>
              </w:rPr>
              <w:t>October 29,</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72"/>
              <w:spacing w:after="0" w:line="119" w:lineRule="exact"/>
              <w:rPr>
                <w:sz w:val="20"/>
                <w:szCs w:val="20"/>
                <w:color w:val="auto"/>
              </w:rPr>
            </w:pPr>
            <w:r>
              <w:rPr>
                <w:rFonts w:ascii="Arial" w:cs="Arial" w:eastAsia="Arial" w:hAnsi="Arial"/>
                <w:sz w:val="13"/>
                <w:szCs w:val="13"/>
                <w:b w:val="1"/>
                <w:bCs w:val="1"/>
                <w:color w:val="auto"/>
              </w:rPr>
              <w:t>October 28,</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92"/>
              <w:spacing w:after="0" w:line="119" w:lineRule="exact"/>
              <w:rPr>
                <w:sz w:val="20"/>
                <w:szCs w:val="20"/>
                <w:color w:val="auto"/>
              </w:rPr>
            </w:pPr>
            <w:r>
              <w:rPr>
                <w:rFonts w:ascii="Arial" w:cs="Arial" w:eastAsia="Arial" w:hAnsi="Arial"/>
                <w:sz w:val="13"/>
                <w:szCs w:val="13"/>
                <w:b w:val="1"/>
                <w:bCs w:val="1"/>
                <w:color w:val="auto"/>
              </w:rPr>
              <w:t>October 29,</w:t>
            </w:r>
          </w:p>
        </w:tc>
        <w:tc>
          <w:tcPr>
            <w:tcW w:w="40" w:type="dxa"/>
            <w:vAlign w:val="bottom"/>
          </w:tcPr>
          <w:p>
            <w:pPr>
              <w:spacing w:after="0"/>
              <w:rPr>
                <w:sz w:val="10"/>
                <w:szCs w:val="10"/>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52,933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29,350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84,024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45,087</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41,247</w:t>
            </w:r>
          </w:p>
        </w:tc>
        <w:tc>
          <w:tcPr>
            <w:tcW w:w="40" w:type="dxa"/>
            <w:vAlign w:val="bottom"/>
            <w:shd w:val="clear" w:color="auto" w:fill="CCEEFF"/>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73,827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50,116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117,591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86,334</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34,419</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27,815</w:t>
            </w:r>
          </w:p>
        </w:tc>
        <w:tc>
          <w:tcPr>
            <w:tcW w:w="40" w:type="dxa"/>
            <w:vAlign w:val="bottom"/>
            <w:shd w:val="clear" w:color="auto" w:fill="CCEEFF"/>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42,827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74,961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62,234</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10,668</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13,432</w:t>
            </w:r>
          </w:p>
        </w:tc>
        <w:tc>
          <w:tcPr>
            <w:tcW w:w="40" w:type="dxa"/>
            <w:vAlign w:val="bottom"/>
            <w:shd w:val="clear" w:color="auto" w:fill="CCEEFF"/>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24,100</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27,050</w:t>
            </w:r>
          </w:p>
        </w:tc>
        <w:tc>
          <w:tcPr>
            <w:tcW w:w="40" w:type="dxa"/>
            <w:vAlign w:val="bottom"/>
            <w:shd w:val="clear" w:color="auto" w:fill="CCEEFF"/>
          </w:tcPr>
          <w:p>
            <w:pPr>
              <w:spacing w:after="0"/>
              <w:rPr>
                <w:sz w:val="18"/>
                <w:szCs w:val="18"/>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17,117</w:t>
            </w:r>
          </w:p>
        </w:tc>
        <w:tc>
          <w:tcPr>
            <w:tcW w:w="40" w:type="dxa"/>
            <w:vAlign w:val="bottom"/>
            <w:tcBorders>
              <w:bottom w:val="single" w:sz="8" w:color="CCEEFF"/>
            </w:tcBorders>
          </w:tcPr>
          <w:p>
            <w:pPr>
              <w:spacing w:after="0"/>
              <w:rPr>
                <w:sz w:val="18"/>
                <w:szCs w:val="18"/>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(20,067)</w:t>
            </w: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income (expense):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Other expense, 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(3,911)</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AeroVironment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4340" w:type="dxa"/>
            <w:vAlign w:val="bottom"/>
          </w:tcPr>
          <w:p>
            <w:pPr>
              <w:spacing w:after="0" w:line="203" w:lineRule="exact"/>
              <w:rPr>
                <w:sz w:val="20"/>
                <w:szCs w:val="20"/>
                <w:color w:val="auto"/>
              </w:rPr>
            </w:pPr>
            <w:r>
              <w:rPr>
                <w:rFonts w:ascii="Arial" w:cs="Arial" w:eastAsia="Arial" w:hAnsi="Arial"/>
                <w:sz w:val="18"/>
                <w:szCs w:val="18"/>
                <w:color w:val="auto"/>
                <w:w w:val="92"/>
              </w:rPr>
              <w:t>Net income (loss) per share attributable to AeroVironment: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(0.69)</w:t>
            </w:r>
          </w:p>
        </w:tc>
      </w:tr>
      <w:tr>
        <w:trPr>
          <w:trHeight w:val="216"/>
        </w:trPr>
        <w:tc>
          <w:tcPr>
            <w:tcW w:w="4340" w:type="dxa"/>
            <w:vAlign w:val="bottom"/>
          </w:tcPr>
          <w:p>
            <w:pPr>
              <w:ind w:left="320"/>
              <w:spacing w:after="0"/>
              <w:rPr>
                <w:sz w:val="20"/>
                <w:szCs w:val="20"/>
                <w:color w:val="auto"/>
              </w:rPr>
            </w:pPr>
            <w:r>
              <w:rPr>
                <w:rFonts w:ascii="Arial" w:cs="Arial" w:eastAsia="Arial" w:hAnsi="Arial"/>
                <w:sz w:val="18"/>
                <w:szCs w:val="18"/>
                <w:color w:val="auto"/>
              </w:rPr>
              <w:t>Diluted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(0.69)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ind w:left="320"/>
              <w:spacing w:after="0"/>
              <w:rPr>
                <w:sz w:val="20"/>
                <w:szCs w:val="20"/>
                <w:color w:val="auto"/>
              </w:rPr>
            </w:pPr>
            <w:r>
              <w:rPr>
                <w:rFonts w:ascii="Arial" w:cs="Arial" w:eastAsia="Arial" w:hAnsi="Arial"/>
                <w:sz w:val="18"/>
                <w:szCs w:val="18"/>
                <w:color w:val="auto"/>
              </w:rPr>
              <w:t>Basic</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23,477,914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23,049,056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23,407,500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23,002,832</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23,832,959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23,049,056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23,715,997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23,002,832</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line="185" w:lineRule="auto"/>
        <w:framePr w:w="3540" w:h="160" w:wrap="auto" w:vAnchor="page" w:hAnchor="page" w:x="6920" w:y="4220"/>
        <w:rPr>
          <w:rFonts w:ascii="Arial" w:cs="Arial" w:eastAsia="Arial" w:hAnsi="Arial"/>
          <w:sz w:val="18"/>
          <w:szCs w:val="18"/>
          <w:u w:val="single" w:color="auto"/>
          <w:color w:val="auto"/>
        </w:rPr>
      </w:pPr>
      <w:r>
        <w:rPr>
          <w:rFonts w:ascii="Arial" w:cs="Arial" w:eastAsia="Arial" w:hAnsi="Arial"/>
          <w:sz w:val="18"/>
          <w:szCs w:val="18"/>
          <w:u w:val="single" w:color="auto"/>
          <w:color w:val="auto"/>
        </w:rPr>
        <w:t>$  7,044  $  (4,147)  $  2,604  $ (15,771)</w:t>
      </w:r>
    </w:p>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rFonts w:ascii="Arial" w:cs="Arial" w:eastAsia="Arial" w:hAnsi="Arial"/>
          <w:sz w:val="18"/>
          <w:szCs w:val="18"/>
          <w:u w:val="single" w:color="auto"/>
          <w:color w:val="auto"/>
        </w:rPr>
      </w:pPr>
    </w:p>
    <w:p>
      <w:pPr>
        <w:spacing w:after="0" w:line="345" w:lineRule="exact"/>
        <w:rPr>
          <w:rFonts w:ascii="Arial" w:cs="Arial" w:eastAsia="Arial" w:hAnsi="Arial"/>
          <w:sz w:val="18"/>
          <w:szCs w:val="18"/>
          <w:u w:val="single" w:color="auto"/>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rFonts w:ascii="Arial" w:cs="Arial" w:eastAsia="Arial" w:hAnsi="Arial"/>
          <w:sz w:val="18"/>
          <w:szCs w:val="18"/>
          <w:u w:val="single" w:color="auto"/>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9" w:lineRule="exact"/>
        <w:rPr>
          <w:rFonts w:ascii="Arial" w:cs="Arial" w:eastAsia="Arial" w:hAnsi="Arial"/>
          <w:sz w:val="18"/>
          <w:szCs w:val="18"/>
          <w:u w:val="single" w:color="auto"/>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rFonts w:ascii="Arial" w:cs="Arial" w:eastAsia="Arial" w:hAnsi="Arial"/>
          <w:sz w:val="18"/>
          <w:szCs w:val="18"/>
          <w:u w:val="single" w:color="auto"/>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6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October 28,</w:t>
            </w: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October 29,</w:t>
            </w:r>
          </w:p>
        </w:tc>
        <w:tc>
          <w:tcPr>
            <w:tcW w:w="140" w:type="dxa"/>
            <w:vAlign w:val="bottom"/>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October 28,</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October 29,</w:t>
            </w:r>
          </w:p>
        </w:tc>
        <w:tc>
          <w:tcPr>
            <w:tcW w:w="60" w:type="dxa"/>
            <w:vAlign w:val="bottom"/>
          </w:tcPr>
          <w:p>
            <w:pPr>
              <w:spacing w:after="0"/>
              <w:rPr>
                <w:sz w:val="10"/>
                <w:szCs w:val="10"/>
                <w:color w:val="auto"/>
              </w:rPr>
            </w:pPr>
          </w:p>
        </w:tc>
      </w:tr>
      <w:tr>
        <w:trPr>
          <w:trHeight w:val="171"/>
        </w:trPr>
        <w:tc>
          <w:tcPr>
            <w:tcW w:w="5440" w:type="dxa"/>
            <w:vAlign w:val="bottom"/>
          </w:tcPr>
          <w:p>
            <w:pPr>
              <w:spacing w:after="0"/>
              <w:rPr>
                <w:sz w:val="14"/>
                <w:szCs w:val="14"/>
                <w:color w:val="auto"/>
              </w:rPr>
            </w:pPr>
          </w:p>
        </w:tc>
        <w:tc>
          <w:tcPr>
            <w:tcW w:w="820" w:type="dxa"/>
            <w:vAlign w:val="bottom"/>
            <w:gridSpan w:val="2"/>
          </w:tcPr>
          <w:p>
            <w:pPr>
              <w:jc w:val="right"/>
              <w:ind w:right="13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880" w:type="dxa"/>
            <w:vAlign w:val="bottom"/>
            <w:gridSpan w:val="2"/>
          </w:tcPr>
          <w:p>
            <w:pPr>
              <w:jc w:val="right"/>
              <w:ind w:right="138"/>
              <w:spacing w:after="0"/>
              <w:rPr>
                <w:sz w:val="20"/>
                <w:szCs w:val="20"/>
                <w:color w:val="auto"/>
              </w:rPr>
            </w:pPr>
            <w:r>
              <w:rPr>
                <w:rFonts w:ascii="Arial" w:cs="Arial" w:eastAsia="Arial" w:hAnsi="Arial"/>
                <w:sz w:val="14"/>
                <w:szCs w:val="14"/>
                <w:b w:val="1"/>
                <w:bCs w:val="1"/>
                <w:color w:val="auto"/>
              </w:rPr>
              <w:t>2017</w:t>
            </w:r>
          </w:p>
        </w:tc>
        <w:tc>
          <w:tcPr>
            <w:tcW w:w="96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6,812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(4,172)</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2,346</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(15,814)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54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Unrealized gain on investments, net of deferred tax expense of $17 and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$17 for the three months ended October 28, 2017 and October 29,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2016, respectively; and net of deferred tax expense of $19 and $29 for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six months ended October 28, 2017 and October 29, 2016,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20"/>
                <w:szCs w:val="20"/>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(4,147)</w:t>
            </w:r>
          </w:p>
        </w:tc>
        <w:tc>
          <w:tcPr>
            <w:tcW w:w="1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(15,771)</w:t>
            </w:r>
          </w:p>
        </w:tc>
        <w:tc>
          <w:tcPr>
            <w:tcW w:w="6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Comprehensive income (loss) attributable to AeroVironment</w:t>
      </w:r>
    </w:p>
    <w:p>
      <w:pPr>
        <w:spacing w:after="0" w:line="238" w:lineRule="exact"/>
        <w:rPr>
          <w:rFonts w:ascii="Arial" w:cs="Arial" w:eastAsia="Arial" w:hAnsi="Arial"/>
          <w:sz w:val="18"/>
          <w:szCs w:val="18"/>
          <w:u w:val="single" w:color="auto"/>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rFonts w:ascii="Arial" w:cs="Arial" w:eastAsia="Arial" w:hAnsi="Arial"/>
          <w:sz w:val="18"/>
          <w:szCs w:val="18"/>
          <w:u w:val="single" w:color="auto"/>
          <w:color w:val="auto"/>
        </w:rPr>
      </w:pPr>
    </w:p>
    <w:p>
      <w:pPr>
        <w:spacing w:after="0" w:line="241" w:lineRule="exact"/>
        <w:rPr>
          <w:rFonts w:ascii="Arial" w:cs="Arial" w:eastAsia="Arial" w:hAnsi="Arial"/>
          <w:sz w:val="18"/>
          <w:szCs w:val="18"/>
          <w:u w:val="single" w:color="auto"/>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Six Months Ended</w:t>
            </w:r>
          </w:p>
        </w:tc>
      </w:tr>
      <w:tr>
        <w:trPr>
          <w:trHeight w:val="110"/>
        </w:trPr>
        <w:tc>
          <w:tcPr>
            <w:tcW w:w="6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ind w:right="109"/>
              <w:spacing w:after="0" w:line="110" w:lineRule="exact"/>
              <w:rPr>
                <w:sz w:val="20"/>
                <w:szCs w:val="20"/>
                <w:color w:val="auto"/>
              </w:rPr>
            </w:pPr>
            <w:r>
              <w:rPr>
                <w:rFonts w:ascii="Arial" w:cs="Arial" w:eastAsia="Arial" w:hAnsi="Arial"/>
                <w:sz w:val="12"/>
                <w:szCs w:val="12"/>
                <w:b w:val="1"/>
                <w:bCs w:val="1"/>
                <w:color w:val="auto"/>
                <w:w w:val="96"/>
              </w:rPr>
              <w:t>October 28,</w:t>
            </w: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right"/>
              <w:ind w:right="89"/>
              <w:spacing w:after="0" w:line="110" w:lineRule="exact"/>
              <w:rPr>
                <w:sz w:val="20"/>
                <w:szCs w:val="20"/>
                <w:color w:val="auto"/>
              </w:rPr>
            </w:pPr>
            <w:r>
              <w:rPr>
                <w:rFonts w:ascii="Arial" w:cs="Arial" w:eastAsia="Arial" w:hAnsi="Arial"/>
                <w:sz w:val="12"/>
                <w:szCs w:val="12"/>
                <w:b w:val="1"/>
                <w:bCs w:val="1"/>
                <w:color w:val="auto"/>
                <w:w w:val="96"/>
              </w:rPr>
              <w:t>October 29,</w:t>
            </w:r>
          </w:p>
        </w:tc>
        <w:tc>
          <w:tcPr>
            <w:tcW w:w="140" w:type="dxa"/>
            <w:vAlign w:val="bottom"/>
          </w:tcPr>
          <w:p>
            <w:pPr>
              <w:spacing w:after="0"/>
              <w:rPr>
                <w:sz w:val="9"/>
                <w:szCs w:val="9"/>
                <w:color w:val="auto"/>
              </w:rPr>
            </w:pPr>
          </w:p>
        </w:tc>
      </w:tr>
      <w:tr>
        <w:trPr>
          <w:trHeight w:val="153"/>
        </w:trPr>
        <w:tc>
          <w:tcPr>
            <w:tcW w:w="610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2016</w:t>
            </w:r>
          </w:p>
        </w:tc>
        <w:tc>
          <w:tcPr>
            <w:tcW w:w="140" w:type="dxa"/>
            <w:vAlign w:val="bottom"/>
            <w:tcBorders>
              <w:bottom w:val="single" w:sz="8" w:color="CCEEFF"/>
            </w:tcBorders>
          </w:tcPr>
          <w:p>
            <w:pPr>
              <w:spacing w:after="0"/>
              <w:rPr>
                <w:sz w:val="13"/>
                <w:szCs w:val="13"/>
                <w:color w:val="auto"/>
              </w:rPr>
            </w:pPr>
          </w:p>
        </w:tc>
      </w:tr>
      <w:tr>
        <w:trPr>
          <w:trHeight w:val="142"/>
        </w:trPr>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8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2,346</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(15,814)</w:t>
            </w: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cash provided by (used in) operating activities: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3,692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3,401</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from equity method investments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220"/>
              <w:spacing w:after="0" w:line="149" w:lineRule="exact"/>
              <w:rPr>
                <w:sz w:val="20"/>
                <w:szCs w:val="20"/>
                <w:color w:val="auto"/>
              </w:rPr>
            </w:pPr>
            <w:r>
              <w:rPr>
                <w:rFonts w:ascii="Arial" w:cs="Arial" w:eastAsia="Arial" w:hAnsi="Arial"/>
                <w:sz w:val="14"/>
                <w:szCs w:val="14"/>
                <w:color w:val="auto"/>
              </w:rPr>
              <w:t>Impairment of long-lived assets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6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Provision for doubtful accounts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220"/>
              <w:spacing w:after="0" w:line="149" w:lineRule="exact"/>
              <w:rPr>
                <w:sz w:val="20"/>
                <w:szCs w:val="20"/>
                <w:color w:val="auto"/>
              </w:rPr>
            </w:pPr>
            <w:r>
              <w:rPr>
                <w:rFonts w:ascii="Arial" w:cs="Arial" w:eastAsia="Arial" w:hAnsi="Arial"/>
                <w:sz w:val="14"/>
                <w:szCs w:val="14"/>
                <w:color w:val="auto"/>
              </w:rPr>
              <w:t>Impairment of intangible assets and goodwill</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6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(Gains) losses on foreign currency transactions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(1,093)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(329)</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1,813</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22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(Gain) on disposition of property and equipment</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held-to-maturity investments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897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1,259</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38,440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29,562</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Unbilled receivables and retentions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2,029</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(15,963)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(17,682)</w:t>
            </w:r>
          </w:p>
        </w:tc>
      </w:tr>
      <w:tr>
        <w:trPr>
          <w:trHeight w:val="149"/>
        </w:trPr>
        <w:tc>
          <w:tcPr>
            <w:tcW w:w="6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 receivable</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(3,957)</w:t>
            </w:r>
          </w:p>
        </w:tc>
      </w:tr>
      <w:tr>
        <w:trPr>
          <w:trHeight w:val="149"/>
        </w:trPr>
        <w:tc>
          <w:tcPr>
            <w:tcW w:w="6100" w:type="dxa"/>
            <w:vAlign w:val="bottom"/>
          </w:tcPr>
          <w:p>
            <w:pPr>
              <w:ind w:left="320"/>
              <w:spacing w:after="0" w:line="149" w:lineRule="exact"/>
              <w:rPr>
                <w:sz w:val="20"/>
                <w:szCs w:val="20"/>
                <w:color w:val="auto"/>
              </w:rPr>
            </w:pPr>
            <w:r>
              <w:rPr>
                <w:rFonts w:ascii="Arial" w:cs="Arial" w:eastAsia="Arial" w:hAnsi="Arial"/>
                <w:sz w:val="14"/>
                <w:szCs w:val="14"/>
                <w:color w:val="auto"/>
              </w:rPr>
              <w:t>Prepaid expenses and other assets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468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(555)</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1,413</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(5,289)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(7,933)</w:t>
            </w:r>
          </w:p>
        </w:tc>
      </w:tr>
      <w:tr>
        <w:trPr>
          <w:trHeight w:val="142"/>
        </w:trPr>
        <w:tc>
          <w:tcPr>
            <w:tcW w:w="6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24,119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(6,279)</w:t>
            </w:r>
          </w:p>
        </w:tc>
        <w:tc>
          <w:tcPr>
            <w:tcW w:w="140" w:type="dxa"/>
            <w:vAlign w:val="bottom"/>
            <w:tcBorders>
              <w:top w:val="single" w:sz="8" w:color="CCEEFF"/>
            </w:tcBorders>
            <w:shd w:val="clear" w:color="auto" w:fill="CCEEFF"/>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(4,514)</w:t>
            </w: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Redemptions of held-to-maturity investments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105,758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53,961</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(88,763)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(79,052)</w:t>
            </w: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Proceeds from the sale of property and equipment</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redemptions of available-for-sale investments</w:t>
            </w:r>
          </w:p>
        </w:tc>
        <w:tc>
          <w:tcPr>
            <w:tcW w:w="7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2"/>
                <w:szCs w:val="12"/>
                <w:color w:val="auto"/>
              </w:rPr>
            </w:pPr>
          </w:p>
        </w:tc>
      </w:tr>
      <w:tr>
        <w:trPr>
          <w:trHeight w:val="142"/>
        </w:trPr>
        <w:tc>
          <w:tcPr>
            <w:tcW w:w="6100" w:type="dxa"/>
            <w:vAlign w:val="bottom"/>
          </w:tcPr>
          <w:p>
            <w:pPr>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11,408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(29,198)</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Principal payments of capital lease obligations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61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Exercise of stock options</w:t>
            </w: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258</w:t>
            </w:r>
          </w:p>
        </w:tc>
        <w:tc>
          <w:tcPr>
            <w:tcW w:w="140" w:type="dxa"/>
            <w:vAlign w:val="bottom"/>
            <w:tcBorders>
              <w:bottom w:val="single" w:sz="8" w:color="CCEEFF"/>
            </w:tcBorders>
          </w:tcPr>
          <w:p>
            <w:pPr>
              <w:spacing w:after="0"/>
              <w:rPr>
                <w:sz w:val="12"/>
                <w:szCs w:val="12"/>
                <w:color w:val="auto"/>
              </w:rPr>
            </w:pPr>
          </w:p>
        </w:tc>
      </w:tr>
      <w:tr>
        <w:trPr>
          <w:trHeight w:val="142"/>
        </w:trPr>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financing activities</w:t>
            </w:r>
          </w:p>
        </w:tc>
        <w:tc>
          <w:tcPr>
            <w:tcW w:w="7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1,678</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w:t>
            </w:r>
          </w:p>
        </w:tc>
        <w:tc>
          <w:tcPr>
            <w:tcW w:w="140" w:type="dxa"/>
            <w:vAlign w:val="bottom"/>
            <w:shd w:val="clear" w:color="auto" w:fill="CCEEFF"/>
          </w:tcPr>
          <w:p>
            <w:pPr>
              <w:spacing w:after="0"/>
              <w:rPr>
                <w:sz w:val="12"/>
                <w:szCs w:val="12"/>
                <w:color w:val="auto"/>
              </w:rPr>
            </w:pPr>
          </w:p>
        </w:tc>
      </w:tr>
      <w:tr>
        <w:trPr>
          <w:trHeight w:val="142"/>
        </w:trPr>
        <w:tc>
          <w:tcPr>
            <w:tcW w:w="6100" w:type="dxa"/>
            <w:vAlign w:val="bottom"/>
          </w:tcPr>
          <w:p>
            <w:pPr>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37,205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(35,411)</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7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79,904</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124,287</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and cash equivalents at end of period</w:t>
            </w: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117,109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88,876</w:t>
            </w:r>
          </w:p>
        </w:tc>
        <w:tc>
          <w:tcPr>
            <w:tcW w:w="140" w:type="dxa"/>
            <w:vAlign w:val="bottom"/>
            <w:tcBorders>
              <w:bottom w:val="single" w:sz="8" w:color="CCEEFF"/>
            </w:tcBorders>
          </w:tcPr>
          <w:p>
            <w:pPr>
              <w:spacing w:after="0"/>
              <w:rPr>
                <w:sz w:val="12"/>
                <w:szCs w:val="12"/>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Cash paid during the period for:</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taxes</w:t>
            </w:r>
          </w:p>
        </w:tc>
        <w:tc>
          <w:tcPr>
            <w:tcW w:w="8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1,803</w:t>
            </w:r>
          </w:p>
        </w:tc>
        <w:tc>
          <w:tcPr>
            <w:tcW w:w="2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1,786</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investments, net of deferred tax expense of $19 and $29, respectively</w:t>
            </w:r>
          </w:p>
        </w:tc>
        <w:tc>
          <w:tcPr>
            <w:tcW w:w="8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Reclassification from share-based liability compensation to equity</w:t>
            </w:r>
          </w:p>
        </w:tc>
        <w:tc>
          <w:tcPr>
            <w:tcW w:w="8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384</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307</w:t>
            </w:r>
          </w:p>
        </w:tc>
        <w:tc>
          <w:tcPr>
            <w:tcW w:w="140" w:type="dxa"/>
            <w:vAlign w:val="bottom"/>
          </w:tcPr>
          <w:p>
            <w:pPr>
              <w:spacing w:after="0"/>
              <w:rPr>
                <w:sz w:val="12"/>
                <w:szCs w:val="12"/>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of property and equipment included in accounts payable</w:t>
            </w:r>
          </w:p>
        </w:tc>
        <w:tc>
          <w:tcPr>
            <w:tcW w:w="8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w:t>
            </w:r>
          </w:p>
        </w:tc>
        <w:tc>
          <w:tcPr>
            <w:tcW w:w="2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140" w:type="dxa"/>
            <w:vAlign w:val="bottom"/>
            <w:shd w:val="clear" w:color="auto" w:fill="CCEEFF"/>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AeroVironment, Inc., a Delaware corporation (the “Company”), is engaged in the design, development, production, support and operation of unmanned aircraft systems (“UAS”) and efficient energy systems (“EES”) for various industries and governmental agencies.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and six months ended October 28, 2017 are not necessarily indicative of the results for the full year ending April 30, 2018. For further information, refer to the consolidated financial statements and footnotes thereto for the year ended April 30, 2017, included in the Company’s Annual Report on Form 10-K.</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operating results of wholly-owned subsidiaries. All intercompany accounts and transactions have been eliminated.</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accompanying consolidated financial statements include the balance sheet and results of operations of Altoy Savunma Sanayi ve Havacilik Anonim Sirketi (“Altoy”), in which the Company increased its ownership to a controlling interest of 85% during the fourth quarter of the fiscal year ended April 30, 2017. Prior to the increase in ownership, the Company's investment in Altoy was accounted for under the equity method.</w:t>
      </w:r>
    </w:p>
    <w:p>
      <w:pPr>
        <w:spacing w:after="0" w:line="187"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In July 2016, the Company dissolved Charger Bicycles, LLC, the results of which were not material to the consolidated financial statements. During the three months ended October 29, 2016, the Company dissolved Skytower, LLC and Regenerative Fuel Cell Systems, LLC, the results of which were not material to the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July 2015, the Financial Accounting Standards Board (“FASB”) issued Accounting Standards Update (“ASU”) No. 2015-11, </w:t>
      </w:r>
      <w:r>
        <w:rPr>
          <w:rFonts w:ascii="Arial" w:cs="Arial" w:eastAsia="Arial" w:hAnsi="Arial"/>
          <w:sz w:val="18"/>
          <w:szCs w:val="18"/>
          <w:i w:val="1"/>
          <w:iCs w:val="1"/>
          <w:color w:val="auto"/>
        </w:rPr>
        <w:t>Inventory</w:t>
      </w:r>
      <w:r>
        <w:rPr>
          <w:rFonts w:ascii="Arial" w:cs="Arial" w:eastAsia="Arial" w:hAnsi="Arial"/>
          <w:sz w:val="18"/>
          <w:szCs w:val="18"/>
          <w:color w:val="auto"/>
        </w:rPr>
        <w:t xml:space="preserve"> (Topic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This ASU does not apply to inventory that is measured using last-in, first-out (LIFO) or the retail inventory method. The amendments apply to all other inventory, which includes inventory that is measured using first-in, first-out (FIFO) or average cost. This ASU eliminates from U.S. GAAP the requirement to measure inventory at the lower of cost or market. Market under the previous requirement could be replacement cost, net realizable value, or net realizable value less a normal profit margin. Entities within the scope of this update will now be required to measure inventory at the lower of cost and net realizable value. Net realizable value is the estimated selling price in the ordinary course of business, less reasonably predictable costs of completion, disposal, and transportation. Subsequent measurement is unchanged for inventory using LIFO or the retail inventory method. The Company’s adoption of ASU No. 2015-11 effective May 1, 2017 did not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(Topic 350): </w:t>
      </w:r>
      <w:r>
        <w:rPr>
          <w:rFonts w:ascii="Arial" w:cs="Arial" w:eastAsia="Arial" w:hAnsi="Arial"/>
          <w:sz w:val="17"/>
          <w:szCs w:val="17"/>
          <w:i w:val="1"/>
          <w:iCs w:val="1"/>
          <w:color w:val="auto"/>
        </w:rPr>
        <w:t>Simplifying the Test for</w:t>
      </w:r>
      <w:r>
        <w:rPr>
          <w:rFonts w:ascii="Arial" w:cs="Arial" w:eastAsia="Arial" w:hAnsi="Arial"/>
          <w:sz w:val="17"/>
          <w:szCs w:val="17"/>
          <w:color w:val="auto"/>
        </w:rPr>
        <w:t xml:space="preserve"> </w:t>
      </w:r>
      <w:r>
        <w:rPr>
          <w:rFonts w:ascii="Arial" w:cs="Arial" w:eastAsia="Arial" w:hAnsi="Arial"/>
          <w:sz w:val="17"/>
          <w:szCs w:val="17"/>
          <w:i w:val="1"/>
          <w:iCs w:val="1"/>
          <w:color w:val="auto"/>
        </w:rPr>
        <w:t>Goodwill Impairment</w:t>
      </w:r>
      <w:r>
        <w:rPr>
          <w:rFonts w:ascii="Arial" w:cs="Arial" w:eastAsia="Arial" w:hAnsi="Arial"/>
          <w:sz w:val="17"/>
          <w:szCs w:val="17"/>
          <w:color w:val="auto"/>
        </w:rPr>
        <w:t>, which simplifies the test for goodwill impairment by removing Step 2 from the goodwill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test. If goodwill impairment is realized, the amount recognized will be the amount by which the carrying amount exceeds the reporting unit’s fair value; however, the loss recognized cannot exceed the total amount of goodwill allocated to that reporting unit. ASU 2017-04 must be applied on a prospective basis and will become effective for public entities in the first quarter of the year ending September 30, 2021, with early adoption available. The Company elected to early adopt the standard during the three months ended October 28, 2017. The Company’s adoption of ASU 2017-04 did not have a material impact on its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Company’s products are sold and divided among two reportable segments to reflect the Company’s strategic goals. Operating segments are defined as components of an enterprise from which separate financial information is available that is evaluated regularly by the Chief Operating Decision Maker (“CODM”) in deciding how to allocate resources and in assessing performance. The Company’s CODM is the Chief Executive Officer, who reviews the revenue and gross margin results for each of these segments in order to make resource allocation decisions, including the focus of research and development (“R&amp;D”) activities and performance assessment. The Company’s reportable segments are business units that offer different products and services and are managed separately.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investments are accounted for as held-to-maturity and available-for-sale and reported at amortized cost and fair value,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retentions and accounts payable approximate cost due to the short period of time to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revenue recognition policy calls for revenue recognized on all cost reimbursable government contracts to be recorded at actual rates unless collectability is not reasonably assured. During the fiscal year ended April 30, 2017, the Company settled rates for its incurred cost claims with the DCAA for fiscal years 2011 through 2014 without payment of any consideration. At October 28, 2017 and April 30, 2017, the Company did not have any remaining reserves for incurred cost claim audits.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Basic earnings per share is computed using the weighted-average number of common shares outstanding, excluding shares of unvested restricted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basic to diluted shares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6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gridSpan w:val="4"/>
          </w:tcPr>
          <w:p>
            <w:pPr>
              <w:ind w:lef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October 28, 2017</w:t>
            </w: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October 29, 2016</w:t>
            </w:r>
          </w:p>
        </w:tc>
        <w:tc>
          <w:tcPr>
            <w:tcW w:w="140" w:type="dxa"/>
            <w:vAlign w:val="bottom"/>
          </w:tcPr>
          <w:p>
            <w:pPr>
              <w:spacing w:after="0"/>
              <w:rPr>
                <w:sz w:val="12"/>
                <w:szCs w:val="12"/>
                <w:color w:val="auto"/>
              </w:rPr>
            </w:pPr>
          </w:p>
        </w:tc>
        <w:tc>
          <w:tcPr>
            <w:tcW w:w="12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October 28, 2017</w:t>
            </w: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October 29, 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earnings per share: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ind w:left="200"/>
              <w:spacing w:after="0" w:line="201" w:lineRule="exact"/>
              <w:rPr>
                <w:sz w:val="20"/>
                <w:szCs w:val="20"/>
                <w:color w:val="auto"/>
              </w:rPr>
            </w:pPr>
            <w:r>
              <w:rPr>
                <w:rFonts w:ascii="Arial" w:cs="Arial" w:eastAsia="Arial" w:hAnsi="Arial"/>
                <w:sz w:val="18"/>
                <w:szCs w:val="18"/>
                <w:color w:val="auto"/>
              </w:rPr>
              <w:t>Weighted average common shares outstanding,</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excluding unvested restricted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23,477,914</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23,049,056</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23,407,500</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23,002,832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Dilutive effect of employee stock options and</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unvested restricted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355,045</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308,497</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Denominator for diluted earnings per share</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23,832,959</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23,049,056</w:t>
            </w: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23,715,997</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23,002,832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Potentially dilutive shares not included in the computation of diluted weighted average common shares because their effect would have been antidilutive were 0 and 14,820 for the three and six months ended October 28, 2017, respectively. Due to the net loss for the three and six months ended October 29, 2016,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 average common shares because their effect would have been anti-dilutive were 199,428 and 256,366 for the three and six months ended October 29, 2016,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 Clarifying the definition of a business</w:t>
      </w:r>
      <w:r>
        <w:rPr>
          <w:rFonts w:ascii="Arial" w:cs="Arial" w:eastAsia="Arial" w:hAnsi="Arial"/>
          <w:sz w:val="18"/>
          <w:szCs w:val="18"/>
          <w:color w:val="auto"/>
        </w:rPr>
        <w:t xml:space="preserve"> (Topic 805). This ASU clarifies the definition of a business with the objective of providing a more robust framework to evaluate whether transactions should be accounted for as acquisitions (or disposals) of assets or businesses. The guidance will be effective for fiscal years beginning after December 15, 2017, including interim periods within that fiscal year, with early adoption permitted. The amendments are to be applied prospectively to business combinations that occur after the effective date.</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 Classification of Certain Cash Receipts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Payments </w:t>
      </w:r>
      <w:r>
        <w:rPr>
          <w:rFonts w:ascii="Arial" w:cs="Arial" w:eastAsia="Arial" w:hAnsi="Arial"/>
          <w:sz w:val="18"/>
          <w:szCs w:val="18"/>
          <w:color w:val="auto"/>
        </w:rPr>
        <w:t>(Topic 230). This ASU adds and clarifies guidance on the classification of certain cash receipts and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statement of cash flows. The guidance is effective for fiscal years beginning after December 15, 2017 and interim periods therein, with early adoption permitted. The Company is evaluating the potential impact of this adoption on its consolidated financial statements.</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ASU requires the lessee to recognize the assets and liabilities for the rights and obligations created by leases with terms of 12 months or more. The guidance is effective for fiscal years beginning after December 15, 2018 and interim periods therein, with early adoption permitted. The Company is evaluating the potential impact of this adoption on its consolidated financial statements. The Company currently does not hold a large number of leases that are classified as operating leases under the existing lease standard, with the only significant leases being the Company’s various property leases.</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The new standard was originally effective for reporting periods beginning after December 15, 2016 and early adoption was not permitted. In August 2015, the FASB issued ASU No. 2015-14,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w:t>
      </w:r>
      <w:r>
        <w:rPr>
          <w:rFonts w:ascii="Arial" w:cs="Arial" w:eastAsia="Arial" w:hAnsi="Arial"/>
          <w:sz w:val="16"/>
          <w:szCs w:val="16"/>
          <w:i w:val="1"/>
          <w:iCs w:val="1"/>
          <w:color w:val="auto"/>
        </w:rPr>
        <w:t>Deferral of the</w:t>
      </w:r>
      <w:r>
        <w:rPr>
          <w:rFonts w:ascii="Arial" w:cs="Arial" w:eastAsia="Arial" w:hAnsi="Arial"/>
          <w:sz w:val="16"/>
          <w:szCs w:val="16"/>
          <w:color w:val="auto"/>
        </w:rPr>
        <w:t xml:space="preserve"> </w:t>
      </w:r>
      <w:r>
        <w:rPr>
          <w:rFonts w:ascii="Arial" w:cs="Arial" w:eastAsia="Arial" w:hAnsi="Arial"/>
          <w:sz w:val="16"/>
          <w:szCs w:val="16"/>
          <w:i w:val="1"/>
          <w:iCs w:val="1"/>
          <w:color w:val="auto"/>
        </w:rPr>
        <w:t>Effective Date</w:t>
      </w:r>
      <w:r>
        <w:rPr>
          <w:rFonts w:ascii="Arial" w:cs="Arial" w:eastAsia="Arial" w:hAnsi="Arial"/>
          <w:sz w:val="16"/>
          <w:szCs w:val="16"/>
          <w:color w:val="auto"/>
        </w:rPr>
        <w:t>. This update approved a one-year delay of the effective date to reporting periods beginning after December 15,</w:t>
      </w:r>
      <w:r>
        <w:rPr>
          <w:rFonts w:ascii="Arial" w:cs="Arial" w:eastAsia="Arial" w:hAnsi="Arial"/>
          <w:sz w:val="16"/>
          <w:szCs w:val="16"/>
          <w:i w:val="1"/>
          <w:iCs w:val="1"/>
          <w:color w:val="auto"/>
        </w:rPr>
        <w:t xml:space="preserve"> </w:t>
      </w:r>
      <w:r>
        <w:rPr>
          <w:rFonts w:ascii="Arial" w:cs="Arial" w:eastAsia="Arial" w:hAnsi="Arial"/>
          <w:sz w:val="16"/>
          <w:szCs w:val="16"/>
          <w:color w:val="auto"/>
        </w:rPr>
        <w:t>2017, while permitting companies to voluntarily adopt the new standard as of the original effective date. Since the issuance of ASU 2014-09, the FASB has issued several amendments to provide additional supplemental guidance on certain aspects of the original pronouncement. The core principle of ASU 2014-09 is to recognize revenue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upon the transfer of goods or services to customers at an amount that reflects the consideration expected to be received. In adopting the guidance, companies are permitted to select between two transition methods: (1) a full retrospective transition method with the application of the new guidance to each prior reporting period presented, or (2) a retrospective transition method that recognizes the cumulative effect on prior periods at the date of adoption together with additional footnote disclosures.</w:t>
      </w:r>
    </w:p>
    <w:p>
      <w:pPr>
        <w:spacing w:after="0" w:line="188"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Company currently expects to adopt ASU 2014-09 on May 1, 2018 using the full retrospective transition method. The Company is continuing to assess the potential impact of this guidance, including the impact on those areas currently subject to industry-specific guidance such as government contract accounting. As part of its assessment, the Company is reviewing representative samples of customer contracts to determine the impact on revenue recognition under the new guidance. The Company’s contracts with the U.S. government contain provisions that, among other things, allow the government to unilaterally terminate the contract for convenience (in whole or in part), pay the Company for costs incurred plus a reasonable profit and take control of any work in process. The Company is continuing to evaluate its contracts with the U.S. government to determine whether: (i) the Company’s performance creates or enhances an asset that the customer controls as the asset is created or enhanced, or (ii) the Company’s performance does not create an asset with an alternative use to</w:t>
      </w:r>
    </w:p>
    <w:p>
      <w:pPr>
        <w:spacing w:after="0" w:line="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the Company and the Company has an enforceable right to payment for performance completed to date. Revenues for contracts meeting either of these criteria will be recognized over the performance period using an acceptable measure of progress under the new standard, which the Company anticipates to be as costs are incurred.</w:t>
      </w:r>
    </w:p>
    <w:p>
      <w:pPr>
        <w:spacing w:after="0" w:line="1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contracts with international governments for the purchase of small UAS and related services generally contain provisions that, among other things, allow the government to unilaterally terminate the contract for convenience (in whole or in part), pay the Company for costs incurred plus a reasonable profit and take control of any work in process. The Company is continuing to evaluate its contracts with its international UAS customers to determine whether the Company’s performance does not create an asset with an alternative use to the Company and the Company has an enforceable right to payment for performance completed to date. Revenues for contracts meeting this criteria will be recognized over the performance period using an acceptable measure of progress under the new standard, which the Company anticipates to be as costs are incurred.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October 28,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4240" w:type="dxa"/>
            <w:vAlign w:val="bottom"/>
            <w:vMerge w:val="restart"/>
          </w:tcPr>
          <w:p>
            <w:pPr>
              <w:spacing w:after="0"/>
              <w:rPr>
                <w:sz w:val="20"/>
                <w:szCs w:val="20"/>
                <w:color w:val="auto"/>
              </w:rPr>
            </w:pPr>
            <w:r>
              <w:rPr>
                <w:rFonts w:ascii="Arial" w:cs="Arial" w:eastAsia="Arial" w:hAnsi="Arial"/>
                <w:sz w:val="18"/>
                <w:szCs w:val="18"/>
                <w:color w:val="auto"/>
              </w:rPr>
              <w:t>Short-term investments:</w:t>
            </w:r>
          </w:p>
        </w:tc>
        <w:tc>
          <w:tcPr>
            <w:tcW w:w="2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Held-to-maturity securities: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20"/>
              <w:spacing w:after="0"/>
              <w:rPr>
                <w:sz w:val="20"/>
                <w:szCs w:val="20"/>
                <w:color w:val="auto"/>
              </w:rPr>
            </w:pPr>
            <w:r>
              <w:rPr>
                <w:rFonts w:ascii="Arial" w:cs="Arial" w:eastAsia="Arial" w:hAnsi="Arial"/>
                <w:sz w:val="18"/>
                <w:szCs w:val="18"/>
                <w:color w:val="auto"/>
              </w:rPr>
              <w:t>Municipal securities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43,901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securities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20"/>
              <w:spacing w:after="0"/>
              <w:rPr>
                <w:sz w:val="20"/>
                <w:szCs w:val="20"/>
                <w:color w:val="auto"/>
              </w:rPr>
            </w:pPr>
            <w:r>
              <w:rPr>
                <w:rFonts w:ascii="Arial" w:cs="Arial" w:eastAsia="Arial" w:hAnsi="Arial"/>
                <w:sz w:val="18"/>
                <w:szCs w:val="18"/>
                <w:color w:val="auto"/>
              </w:rPr>
              <w:t>Corporate bonds</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Certificates of deposit</w:t>
            </w:r>
          </w:p>
        </w:tc>
        <w:tc>
          <w:tcPr>
            <w:tcW w:w="2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w w:val="96"/>
              </w:rPr>
              <w:t>Total held-to-maturity and short-term investments</w:t>
            </w:r>
          </w:p>
        </w:tc>
        <w:tc>
          <w:tcPr>
            <w:tcW w:w="2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110,751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119,971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Held-to-maturity securities:</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Municipal securities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20"/>
              <w:spacing w:after="0"/>
              <w:rPr>
                <w:sz w:val="20"/>
                <w:szCs w:val="20"/>
                <w:color w:val="auto"/>
              </w:rPr>
            </w:pPr>
            <w:r>
              <w:rPr>
                <w:rFonts w:ascii="Arial" w:cs="Arial" w:eastAsia="Arial" w:hAnsi="Arial"/>
                <w:sz w:val="18"/>
                <w:szCs w:val="18"/>
                <w:color w:val="auto"/>
              </w:rPr>
              <w:t>U.S. government securities</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440"/>
              <w:spacing w:after="0"/>
              <w:rPr>
                <w:sz w:val="20"/>
                <w:szCs w:val="20"/>
                <w:color w:val="auto"/>
              </w:rPr>
            </w:pPr>
            <w:r>
              <w:rPr>
                <w:rFonts w:ascii="Arial" w:cs="Arial" w:eastAsia="Arial" w:hAnsi="Arial"/>
                <w:sz w:val="18"/>
                <w:szCs w:val="18"/>
                <w:color w:val="auto"/>
              </w:rPr>
              <w:t>Total held-to-maturity investments</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Auction rate securities</w:t>
            </w:r>
          </w:p>
        </w:tc>
        <w:tc>
          <w:tcPr>
            <w:tcW w:w="2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available-for-sale investments</w:t>
            </w:r>
          </w:p>
        </w:tc>
        <w:tc>
          <w:tcPr>
            <w:tcW w:w="2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40" w:type="dxa"/>
            <w:vAlign w:val="bottom"/>
          </w:tcPr>
          <w:p>
            <w:pPr>
              <w:ind w:left="440"/>
              <w:spacing w:after="0"/>
              <w:rPr>
                <w:sz w:val="20"/>
                <w:szCs w:val="20"/>
                <w:color w:val="auto"/>
              </w:rPr>
            </w:pPr>
            <w:r>
              <w:rPr>
                <w:rFonts w:ascii="Arial" w:cs="Arial" w:eastAsia="Arial" w:hAnsi="Arial"/>
                <w:sz w:val="18"/>
                <w:szCs w:val="18"/>
                <w:color w:val="auto"/>
              </w:rPr>
              <w:t>Total long-term investments</w:t>
            </w:r>
          </w:p>
        </w:tc>
        <w:tc>
          <w:tcPr>
            <w:tcW w:w="28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33,024</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4240" w:type="dxa"/>
            <w:vAlign w:val="bottom"/>
          </w:tcPr>
          <w:p>
            <w:pPr>
              <w:spacing w:after="0"/>
              <w:rPr>
                <w:sz w:val="24"/>
                <w:szCs w:val="24"/>
                <w:color w:val="auto"/>
              </w:rPr>
            </w:pPr>
          </w:p>
        </w:tc>
        <w:tc>
          <w:tcPr>
            <w:tcW w:w="2820" w:type="dxa"/>
            <w:vAlign w:val="bottom"/>
          </w:tcPr>
          <w:p>
            <w:pPr>
              <w:jc w:val="right"/>
              <w:ind w:right="235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4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Held-To-Maturity Securities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October 28, 2017 and April 30, 2017, the balance of held-to-maturity securities consisted of state and local government municipal securities, U.S. treasury securities, U.S. government-guaranteed agency securities, U.S. government-sponsored agency debt securities, certificates of deposit and highly rated corporate bonds. Interest earned from these investments is recorded in interest income.</w:t>
      </w:r>
    </w:p>
    <w:p>
      <w:pPr>
        <w:spacing w:after="0" w:line="18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October 28, 2017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October 28, 2017</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96"/>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97"/>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47,630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141,679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141,519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April 30, 2017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Gross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Gross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Certificates of deposit</w:t>
            </w:r>
          </w:p>
        </w:tc>
        <w:tc>
          <w:tcPr>
            <w:tcW w:w="15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159,570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159,465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amortized cost and fair value of the held-to-maturity securities by contractual maturity at October 28, 2017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110,751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30,928</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30,859</w:t>
            </w:r>
          </w:p>
        </w:tc>
        <w:tc>
          <w:tcPr>
            <w:tcW w:w="100" w:type="dxa"/>
            <w:vAlign w:val="bottom"/>
            <w:tcBorders>
              <w:bottom w:val="single" w:sz="8" w:color="CCEEFF"/>
            </w:tcBorders>
          </w:tcPr>
          <w:p>
            <w:pPr>
              <w:spacing w:after="0"/>
              <w:rPr>
                <w:sz w:val="18"/>
                <w:szCs w:val="18"/>
                <w:color w:val="auto"/>
              </w:rPr>
            </w:pPr>
          </w:p>
        </w:tc>
      </w:tr>
      <w:tr>
        <w:trPr>
          <w:trHeight w:val="217"/>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141,679</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141,519</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Available-For-Sale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Auction Rate Securities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October 28, 2017 and April 30, 2017, the entire balance of available-for-sale auction rate securities, consisted of two investment grade auction rate municipal bonds, with maturities of approximately 2 and 17 years, respectively. These investments have characteristics similar to short-term investments, because at pre-determined intervals, generally ranging from 30 to 35 days, there is a new auction process at which the interest rates for these securities are reset to current interest rates. At the end of such period, the Company chooses to roll-over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6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During the fourth quarter of the fiscal year ended April 30, 2008, the Company began experiencing failed auctions on some of its auction rate securities. A failed auction occurs when a buyer for the securities cannot be obtained and the market maker does not buy the security for its own account. The Company continues to earn interest on the investments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that failed to settle at auction, at the maximum contractual rate until the next auction occurs. In the event the Company needs to access funds invested in these auction rate securities, the Company may not be able to liquidate these securities at the fair value recorded on October 28, 2017, until a future auction of these securities is successful or a buyer is found outside of the auction process.</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result of the failed auctions, the fair values of these securities are estimated utilizing a discounted cash flow analysis as of October 28, 2017. The analysis considers, among other items, the collateralization underlying the security investments, the creditworthiness of the counterparty, the timing of expected future cash flows, and the estimated date upon which the security is expected to have a successful auction. Based on the Company’s ability to access its cash and cash equivalents, expected operating cash flows, and other sources of cash, the Company does not anticipate that the current lack of liquidity of these investments will affect its ability to operate its business in the ordinary course. The Company believes the current lack of liquidity of these investments is temporary and expects that the securities will be redeemed or refinanced at some point in the future. The Company will continue to monitor the value of its auction rate securities at each reporting period for a possible impairment if a further decline in fair value occurs. The auction rate securities have been in an unrealized loss position for more than 12 months. The Company has the ability and the intent to hold these investments until a recovery of fair value, which may be at maturity. As of October 28, 2017, the Company did not consider these investments to be other-than-temporarily impaired.</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auction rate securities as of October 28, 2017,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7"/>
              </w:rPr>
              <w:t>2,250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40" w:type="dxa"/>
            <w:vAlign w:val="bottom"/>
            <w:tcBorders>
              <w:top w:val="single" w:sz="8" w:color="CCEEFF"/>
            </w:tcBorders>
            <w:shd w:val="clear" w:color="auto" w:fill="CCEEFF"/>
          </w:tcPr>
          <w:p>
            <w:pPr>
              <w:spacing w:after="0"/>
              <w:rPr>
                <w:sz w:val="18"/>
                <w:szCs w:val="18"/>
                <w:color w:val="auto"/>
              </w:rPr>
            </w:pPr>
          </w:p>
        </w:tc>
      </w:tr>
      <w:tr>
        <w:trPr>
          <w:trHeight w:val="217"/>
        </w:trPr>
        <w:tc>
          <w:tcPr>
            <w:tcW w:w="584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7"/>
              </w:rPr>
              <w:t>2,250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auction rate securities as of April 30, 2017,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7"/>
              </w:rPr>
              <w:t>2,700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40" w:type="dxa"/>
            <w:vAlign w:val="bottom"/>
            <w:tcBorders>
              <w:top w:val="single" w:sz="8" w:color="CCEEFF"/>
            </w:tcBorders>
            <w:shd w:val="clear" w:color="auto" w:fill="CCEEFF"/>
          </w:tcPr>
          <w:p>
            <w:pPr>
              <w:spacing w:after="0"/>
              <w:rPr>
                <w:sz w:val="18"/>
                <w:szCs w:val="18"/>
                <w:color w:val="auto"/>
              </w:rPr>
            </w:pPr>
          </w:p>
        </w:tc>
      </w:tr>
      <w:tr>
        <w:trPr>
          <w:trHeight w:val="217"/>
        </w:trPr>
        <w:tc>
          <w:tcPr>
            <w:tcW w:w="584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7"/>
              </w:rPr>
              <w:t>2,700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amortized cost and fair value of the auction rate securities by contractual maturity at October 28, 2017,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one through five years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10 years</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tcPr>
          <w:p>
            <w:pPr>
              <w:spacing w:after="0"/>
              <w:rPr>
                <w:sz w:val="18"/>
                <w:szCs w:val="18"/>
                <w:color w:val="auto"/>
              </w:rPr>
            </w:pPr>
          </w:p>
        </w:tc>
      </w:tr>
      <w:tr>
        <w:trPr>
          <w:trHeight w:val="217"/>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81" w:lineRule="exact"/>
        <w:rPr>
          <w:sz w:val="20"/>
          <w:szCs w:val="20"/>
          <w:color w:val="auto"/>
        </w:rPr>
      </w:pPr>
    </w:p>
    <w:p>
      <w:pPr>
        <w:ind w:left="320" w:right="540" w:hanging="317"/>
        <w:spacing w:after="0" w:line="277"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based upon quoted prices (unadjusted) for identical assets or liabilities in active markets that are accessible as of the measurement 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right="320" w:hanging="317"/>
        <w:spacing w:after="0" w:line="264"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81" w:lineRule="exact"/>
        <w:rPr>
          <w:rFonts w:ascii="Arial" w:cs="Arial" w:eastAsia="Arial" w:hAnsi="Arial"/>
          <w:sz w:val="18"/>
          <w:szCs w:val="18"/>
          <w:color w:val="auto"/>
        </w:rPr>
      </w:pPr>
    </w:p>
    <w:p>
      <w:pPr>
        <w:ind w:left="320" w:hanging="317"/>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to the valuation that are unobservable inputs for the asset or liability.</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October 28, 2017,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9"/>
          </w:tcPr>
          <w:p>
            <w:pPr>
              <w:ind w:left="840"/>
              <w:spacing w:after="0"/>
              <w:rPr>
                <w:sz w:val="20"/>
                <w:szCs w:val="20"/>
                <w:color w:val="auto"/>
              </w:rPr>
            </w:pPr>
            <w:r>
              <w:rPr>
                <w:rFonts w:ascii="Arial" w:cs="Arial" w:eastAsia="Arial" w:hAnsi="Arial"/>
                <w:sz w:val="14"/>
                <w:szCs w:val="14"/>
                <w:b w:val="1"/>
                <w:bCs w:val="1"/>
                <w:color w:val="auto"/>
              </w:rPr>
              <w:t>Fair Value Measurement Using</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60" w:type="dxa"/>
            <w:vAlign w:val="bottom"/>
          </w:tcPr>
          <w:p>
            <w:pPr>
              <w:spacing w:after="0"/>
              <w:rPr>
                <w:sz w:val="10"/>
                <w:szCs w:val="10"/>
                <w:color w:val="auto"/>
              </w:rPr>
            </w:pPr>
          </w:p>
        </w:tc>
        <w:tc>
          <w:tcPr>
            <w:tcW w:w="7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10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Significant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9"/>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1000" w:type="dxa"/>
            <w:vAlign w:val="bottom"/>
          </w:tcPr>
          <w:p>
            <w:pPr>
              <w:ind w:left="7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2,096</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table provides a reconciliation between the beginning and ending balances of items measured at fair value on a recurring basis in the table above that used significant unobservable inputs (Level 3)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r>
      <w:tr>
        <w:trPr>
          <w:trHeight w:val="162"/>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Measurements Using</w:t>
            </w:r>
          </w:p>
        </w:tc>
      </w:tr>
      <w:tr>
        <w:trPr>
          <w:trHeight w:val="162"/>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r>
      <w:tr>
        <w:trPr>
          <w:trHeight w:val="162"/>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Unobservable Inputs</w:t>
            </w:r>
          </w:p>
        </w:tc>
      </w:tr>
      <w:tr>
        <w:trPr>
          <w:trHeight w:val="185"/>
        </w:trPr>
        <w:tc>
          <w:tcPr>
            <w:tcW w:w="73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r>
      <w:tr>
        <w:trPr>
          <w:trHeight w:val="210"/>
        </w:trPr>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May 1, 2017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Transfers to Level 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gains (realized or unrealized)</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Included in earnings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r>
      <w:tr>
        <w:trPr>
          <w:trHeight w:val="216"/>
        </w:trPr>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Purchases, issuances and settlements, net</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60" w:type="dxa"/>
            <w:vAlign w:val="bottom"/>
            <w:tcBorders>
              <w:bottom w:val="single" w:sz="8" w:color="CCEEFF"/>
            </w:tcBorders>
          </w:tcPr>
          <w:p>
            <w:pPr>
              <w:spacing w:after="0"/>
              <w:rPr>
                <w:sz w:val="18"/>
                <w:szCs w:val="18"/>
                <w:color w:val="auto"/>
              </w:rPr>
            </w:pPr>
          </w:p>
        </w:tc>
      </w:tr>
      <w:tr>
        <w:trPr>
          <w:trHeight w:val="230"/>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28, 2017</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60" w:type="dxa"/>
            <w:vAlign w:val="bottom"/>
            <w:tcBorders>
              <w:bottom w:val="single" w:sz="8" w:color="CCEEFF"/>
            </w:tcBorders>
            <w:shd w:val="clear" w:color="auto" w:fill="CCEEFF"/>
          </w:tcPr>
          <w:p>
            <w:pPr>
              <w:spacing w:after="0"/>
              <w:rPr>
                <w:sz w:val="19"/>
                <w:szCs w:val="19"/>
                <w:color w:val="auto"/>
              </w:rPr>
            </w:pPr>
          </w:p>
        </w:tc>
      </w:tr>
      <w:tr>
        <w:trPr>
          <w:trHeight w:val="175"/>
        </w:trPr>
        <w:tc>
          <w:tcPr>
            <w:tcW w:w="7300" w:type="dxa"/>
            <w:vAlign w:val="bottom"/>
          </w:tcPr>
          <w:p>
            <w:pPr>
              <w:spacing w:after="0" w:line="176" w:lineRule="exact"/>
              <w:rPr>
                <w:sz w:val="20"/>
                <w:szCs w:val="20"/>
                <w:color w:val="auto"/>
              </w:rPr>
            </w:pPr>
            <w:r>
              <w:rPr>
                <w:rFonts w:ascii="Arial" w:cs="Arial" w:eastAsia="Arial" w:hAnsi="Arial"/>
                <w:sz w:val="18"/>
                <w:szCs w:val="18"/>
                <w:color w:val="auto"/>
                <w:w w:val="91"/>
              </w:rPr>
              <w:t>The amount of total gains or (losses) for the period included in earnings attributable to the change in</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7300" w:type="dxa"/>
            <w:vAlign w:val="bottom"/>
          </w:tcPr>
          <w:p>
            <w:pPr>
              <w:ind w:left="140"/>
              <w:spacing w:after="0"/>
              <w:rPr>
                <w:sz w:val="20"/>
                <w:szCs w:val="20"/>
                <w:color w:val="auto"/>
              </w:rPr>
            </w:pPr>
            <w:r>
              <w:rPr>
                <w:rFonts w:ascii="Arial" w:cs="Arial" w:eastAsia="Arial" w:hAnsi="Arial"/>
                <w:sz w:val="18"/>
                <w:szCs w:val="18"/>
                <w:color w:val="auto"/>
              </w:rPr>
              <w:t>unrealized gains or losses relating to assets still held at October 28, 2017</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auction rate securities are valued using a discounted cash flow model. The analysis considers, among other items, the collateralization underlying the security investments, the creditworthiness of the counterparty, the timing of expected future cash flows and the estimated date upon which the security is expected to have a successful auction. As of October 28, 2017, the inputs used in the Company’s discounted cash flow analysis included current coupon rates of 1.58% and 1.59%, estimated redemption periods of 2 and 17 years and discount rates of 2.55% and 10.13%. The discount rates were based on market rates for municipal bond securities, as adjusted for a risk premium to reflect the lack of liquidity of these investments.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October 28,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21,423</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Work in process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Inventories, gross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81,508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excess and obsolescence</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17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76,039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Warranty Reserves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and six months ended October 28, 2017 and October 29, 2016, respectively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October 28,</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October 29,</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October 28,</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October 29,</w:t>
            </w:r>
          </w:p>
        </w:tc>
        <w:tc>
          <w:tcPr>
            <w:tcW w:w="140" w:type="dxa"/>
            <w:vAlign w:val="bottom"/>
          </w:tcPr>
          <w:p>
            <w:pPr>
              <w:spacing w:after="0"/>
              <w:rPr>
                <w:sz w:val="10"/>
                <w:szCs w:val="10"/>
                <w:color w:val="auto"/>
              </w:rPr>
            </w:pPr>
          </w:p>
        </w:tc>
      </w:tr>
      <w:tr>
        <w:trPr>
          <w:trHeight w:val="171"/>
        </w:trPr>
        <w:tc>
          <w:tcPr>
            <w:tcW w:w="45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4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Warranty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 related to pre-existing warranties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40" w:type="dxa"/>
            <w:vAlign w:val="bottom"/>
            <w:shd w:val="clear" w:color="auto" w:fill="CCEEFF"/>
          </w:tcPr>
          <w:p>
            <w:pPr>
              <w:spacing w:after="0"/>
              <w:rPr>
                <w:sz w:val="18"/>
                <w:szCs w:val="18"/>
                <w:color w:val="auto"/>
              </w:rPr>
            </w:pPr>
          </w:p>
        </w:tc>
      </w:tr>
      <w:tr>
        <w:trPr>
          <w:trHeight w:val="216"/>
        </w:trPr>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Warranty costs settled</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40" w:type="dxa"/>
            <w:vAlign w:val="bottom"/>
            <w:tcBorders>
              <w:bottom w:val="single" w:sz="8" w:color="CCEEFF"/>
            </w:tcBorders>
          </w:tcPr>
          <w:p>
            <w:pPr>
              <w:spacing w:after="0"/>
              <w:rPr>
                <w:sz w:val="18"/>
                <w:szCs w:val="18"/>
                <w:color w:val="auto"/>
              </w:rPr>
            </w:pPr>
          </w:p>
        </w:tc>
      </w:tr>
      <w:tr>
        <w:trPr>
          <w:trHeight w:val="217"/>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six months ended October 29, 2016, the Company revised its estimates based on the results of additional engineering studies and recorded incremental warranty reserve charges totaling $1,407,000 related to the estimated costs to repair a component of certain small UAS that were delivered in prior periods. At October 28, 2017, there were no remaining estimated warranty costs related to the repair of the impacted UAS. As of October 28, 2017, a total of $2,198,000 of costs related to this warranty have been incurred.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Intangibles are included in other assets on the balance sheet. The components of intangibles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34"/>
              <w:spacing w:after="0"/>
              <w:rPr>
                <w:sz w:val="20"/>
                <w:szCs w:val="20"/>
                <w:color w:val="auto"/>
              </w:rPr>
            </w:pPr>
            <w:r>
              <w:rPr>
                <w:rFonts w:ascii="Arial" w:cs="Arial" w:eastAsia="Arial" w:hAnsi="Arial"/>
                <w:sz w:val="14"/>
                <w:szCs w:val="14"/>
                <w:b w:val="1"/>
                <w:bCs w:val="1"/>
                <w:color w:val="auto"/>
              </w:rPr>
              <w:t>April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15"/>
              <w:spacing w:after="0"/>
              <w:rPr>
                <w:sz w:val="20"/>
                <w:szCs w:val="20"/>
                <w:color w:val="auto"/>
              </w:rPr>
            </w:pPr>
            <w:r>
              <w:rPr>
                <w:rFonts w:ascii="Arial" w:cs="Arial" w:eastAsia="Arial" w:hAnsi="Arial"/>
                <w:sz w:val="14"/>
                <w:szCs w:val="14"/>
                <w:b w:val="1"/>
                <w:bCs w:val="1"/>
                <w:color w:val="auto"/>
                <w:w w:val="98"/>
              </w:rPr>
              <w:t>Impairment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October 28,</w:t>
            </w:r>
          </w:p>
        </w:tc>
      </w:tr>
      <w:tr>
        <w:trPr>
          <w:trHeight w:val="171"/>
        </w:trPr>
        <w:tc>
          <w:tcPr>
            <w:tcW w:w="3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Charges</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8"/>
                <w:szCs w:val="18"/>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Intangibles, gross</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2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80" w:type="dxa"/>
            <w:vAlign w:val="bottom"/>
            <w:tcBorders>
              <w:bottom w:val="single" w:sz="8" w:color="CCEEFF"/>
            </w:tcBorders>
          </w:tcPr>
          <w:p>
            <w:pPr>
              <w:spacing w:after="0"/>
              <w:rPr>
                <w:sz w:val="18"/>
                <w:szCs w:val="18"/>
                <w:color w:val="auto"/>
              </w:rPr>
            </w:pPr>
          </w:p>
        </w:tc>
      </w:tr>
      <w:tr>
        <w:trPr>
          <w:trHeight w:val="23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635"/>
        </w:trPr>
        <w:tc>
          <w:tcPr>
            <w:tcW w:w="3340" w:type="dxa"/>
            <w:vAlign w:val="bottom"/>
          </w:tcPr>
          <w:p>
            <w:pPr>
              <w:spacing w:after="0"/>
              <w:rPr>
                <w:sz w:val="24"/>
                <w:szCs w:val="24"/>
                <w:color w:val="auto"/>
              </w:rPr>
            </w:pPr>
          </w:p>
        </w:tc>
        <w:tc>
          <w:tcPr>
            <w:tcW w:w="2240" w:type="dxa"/>
            <w:vAlign w:val="bottom"/>
          </w:tcPr>
          <w:p>
            <w:pPr>
              <w:jc w:val="right"/>
              <w:ind w:right="87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334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customer relationships, trademarks and tradenames, and other intangible assets were recognized in conjunction with the Company’s acquisition of a controlling interest in Altoy on February 1, 2017.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tests identifiable intangible assets and goodwill for impairment in the fourth quarter of each fiscal year unless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there are interim indicators that suggest that it is more likely than not that either the identifiable intangible assets or goodwill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impaired. Due to the current political situation within Turkey and the increased uncertainty in the relations between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U.S. and Turkey, the Company significantly lowered its cash flow expectations for its Altoy operations. As a result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decline in the Company’s cash flow forecast, the Company performed an interim assessment of impairment of Altoy’s long-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lived assets, excluding goodwill during the three months ended October 28, 2017. Based on the analysis,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determined that the fair value of Altoy had declined below its carrying value, excluding goodwill. As a result,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performed additional analysis to determine the amount of the impairment loss and recorded an impairment loss totaling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$899,000 during the three and six months ended October 28, 2017, which is included in selling,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on the consolidated statements of operations. The fair value of the Altoy asset group was determined based on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discounted cash flow model reflective of the revised cash flow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Company’s goodwill balance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Additions to goodwill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(122)</w:t>
            </w:r>
          </w:p>
        </w:tc>
      </w:tr>
      <w:tr>
        <w:trPr>
          <w:trHeight w:val="217"/>
        </w:trPr>
        <w:tc>
          <w:tcPr>
            <w:tcW w:w="6640" w:type="dxa"/>
            <w:vAlign w:val="bottom"/>
          </w:tcPr>
          <w:p>
            <w:pPr>
              <w:spacing w:after="0"/>
              <w:rPr>
                <w:sz w:val="20"/>
                <w:szCs w:val="20"/>
                <w:color w:val="auto"/>
              </w:rPr>
            </w:pPr>
            <w:r>
              <w:rPr>
                <w:rFonts w:ascii="Arial" w:cs="Arial" w:eastAsia="Arial" w:hAnsi="Arial"/>
                <w:sz w:val="18"/>
                <w:szCs w:val="18"/>
                <w:color w:val="auto"/>
              </w:rPr>
              <w:t>Balance at October 28, 2017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Goodwill is attributable to the acquisition of a controlling interest in Altoy on February 1, 2017.</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tests goodwill for impairment in the fourth quarter of each fiscal year unless there are interim indicators that suggest that it is more likely than not that goodwill may be impaired. Due to the factors described in Note 6 above, the Company significantly lowered its cash flow expectations for its Altoy operations. As a result of the decline in the Company’s cash flow forecast, the Company performed an interim assessment of impairment of Altoy’s goodwill during the three months ended October 28, 2017. Based on the analysis, it was determined that Altoy’s fair value had declined significantly below its carrying value, including goodwill. As a result, the Company performed additional analysis to determine the amount of the impairment and recorded an impairment loss totaling $122,000 during the three and six months ended October 28, 2017, which is included in selling, general and administrative expense on the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 and Reclassifications Adjustments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and adjustments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Available-for-Sale</w:t>
            </w:r>
          </w:p>
        </w:tc>
        <w:tc>
          <w:tcPr>
            <w:tcW w:w="2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r>
      <w:tr>
        <w:trPr>
          <w:trHeight w:val="17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Comprehensive Loss</w:t>
            </w: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net of $76 of taxes, as of April 30,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w w:val="97"/>
              </w:rPr>
              <w:t>Reclassifications out of accumulated other comprehensive loss, net of taxes</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gains, net of $19 of taxes</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r>
      <w:tr>
        <w:trPr>
          <w:trHeight w:val="217"/>
        </w:trPr>
        <w:tc>
          <w:tcPr>
            <w:tcW w:w="6140" w:type="dxa"/>
            <w:vAlign w:val="bottom"/>
          </w:tcPr>
          <w:p>
            <w:pPr>
              <w:spacing w:after="0"/>
              <w:rPr>
                <w:sz w:val="20"/>
                <w:szCs w:val="20"/>
                <w:color w:val="auto"/>
              </w:rPr>
            </w:pPr>
            <w:r>
              <w:rPr>
                <w:rFonts w:ascii="Arial" w:cs="Arial" w:eastAsia="Arial" w:hAnsi="Arial"/>
                <w:sz w:val="18"/>
                <w:szCs w:val="18"/>
                <w:color w:val="auto"/>
              </w:rPr>
              <w:t>Balance, net of $57 of taxes, as of October 28, 2017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Customer-Funded Research &amp; Development</w:t>
      </w:r>
    </w:p>
    <w:p>
      <w:pPr>
        <w:spacing w:after="0" w:line="21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Customer-funded R&amp;D costs are incurred pursuant to contracts (revenue arrangements) to perform R&amp;D activities according to customer specifications. These costs are direct contract costs and are expensed to cost of sales when the corresponding revenue is recognized, which is generally as the R&amp;D services are performed. Revenue from customer-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funded R&amp;D was approximately $13,873,000 and $20,108,000 for the three and six months ended October 28, 2017, respectively. Revenue from customer-funded R&amp;D was approximately $14,541,000 and $29,278,000 for the three and six months ended October 29, 2016,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Incentive Awards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the three months ended July 29, 2017, the Company granted awards under its amended and restated 2006 Equity Incentive Plan (the “Restated 2006 Plan”) to key employees (“Fiscal 2018 LTIP”). Awards under the Fiscal 2018 LTIP consist of: (i) time-based restricted stock awards which vest in equal tranches in July 2018, July 2019 and July 2020, and (ii) performance-based restricted stock units (“PRSUs”) which vest based on the Company’s achievement of revenue and operating income targets for the three-year period ending April 30, 2020.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As of October 28, 2017, no compensation cost has been recognized for the performance-based portion of the Fiscal 2018 LTIP, as the Company concluded that it was not probable that the performance conditions will be achieved. At October 28, 2017, the maximum compensation expense that may be recorded for the performance-based portion of the Fiscal 2018 LTIP is $2,850,000.</w:t>
      </w:r>
    </w:p>
    <w:p>
      <w:pPr>
        <w:spacing w:after="0" w:line="18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During the three months ended July 29, 2017, the Company also granted awards under the Restated 2006 Plan to key employees (“Fiscal 2017 LTIP”). Awards under the Fiscal 2017 LTIP consist of: (i) time-based restricted stock awards which vest in equal tranches in July 2017, July 2018 and July 2019, and (ii) PRSUs which vest based on the Company’s achievement of revenue and operating income targets for the three-year period ending April 30, 2019.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As of October 28, 2017, no compensation cost has been recognized for the performance-based portion of the Fiscal 2017 LTIP, as the Company concluded that it was not probable that the performance conditions will be achieved. At October 28, 2017, the maximum compensation expense that may be recorded for the performance-based portion of the Fiscal 2017 LTIP is $2,630,000.</w:t>
      </w:r>
    </w:p>
    <w:p>
      <w:pPr>
        <w:spacing w:after="0" w:line="1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year ended April 30, 2016, the Company granted a three-year performance award under the Restated 2006 Plan to key employees (“Fiscal 2016 LTIP”). The performance period for each three-year award is the three-year period ending April 30, 2018. A target payout was established at the award date. The actual payout at the end of the performance period will be calculated based upon the Company’s achievement of revenue and gross margin for the performance period. Payouts will be made in cash and restricted stock units. Upon vesting of the restricted stock units, the Company has the discretion to settle the restricted stock units in cash or stock. As of October 28, 2017, no compensation cost has been recognized for this award as the Company has concluded that it was not probable that the performance conditions will be achieved. At October 28, 2017, the maximum compensation expense that may be recorded for the Fiscal 2016 LTIP is $2,690,000.</w:t>
      </w:r>
    </w:p>
    <w:p>
      <w:pPr>
        <w:spacing w:after="0" w:line="16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October 28, 2017, the Company recorded a provision (benefit) for income taxes of</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$2,829,000 and $(351,000), respectively, yielding an effective tax rate of 29.3% and (17.6)%, respectively. For the three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six months ended October 29, 2016, the Company recorded a (benefit) for income taxes of $(48,000) and $(3,911,000),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yielding an effective tax rate of 1.1% and 19.8%, respectively. The variance from statutory rates for the three and six months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October 28, 2017 was primarily due to federal R&amp;D credits and the recording of discrete excess tax benefits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$376,000 and $1,401,000, respectively, resulting from the vesting of restricted stock awards and exercises of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variance from statutory rates for the three and six months ended October 29, 2016, was primarily due to federal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legislation reinstating the federal research and development tax credit during the third quarter of fiscal 2016 and the reversal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 $968,000 reserve, including the related interest, for uncertain tax positions due to the settlement of prior fiscal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audits recorded during the first quarter of fiscal 2017.</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Repurchase</w:t>
      </w:r>
    </w:p>
    <w:p>
      <w:pPr>
        <w:spacing w:after="0" w:line="202" w:lineRule="exact"/>
        <w:rPr>
          <w:sz w:val="20"/>
          <w:szCs w:val="20"/>
          <w:color w:val="auto"/>
        </w:rPr>
      </w:pPr>
    </w:p>
    <w:p>
      <w:pPr>
        <w:ind w:right="600"/>
        <w:spacing w:after="0" w:line="266" w:lineRule="auto"/>
        <w:rPr>
          <w:sz w:val="20"/>
          <w:szCs w:val="20"/>
          <w:color w:val="auto"/>
        </w:rPr>
      </w:pPr>
      <w:r>
        <w:rPr>
          <w:rFonts w:ascii="Arial" w:cs="Arial" w:eastAsia="Arial" w:hAnsi="Arial"/>
          <w:sz w:val="16"/>
          <w:szCs w:val="16"/>
          <w:color w:val="auto"/>
        </w:rPr>
        <w:t>In September 2015, the Company’s Board of Directors authorized a program to repurchase up to $25,000,000 of the Company’s common stock with no specified termination date for the program. No shares were repurchased under the program during the three and six months ended October 28, 2017. As of October 28, 2017 and April 30, 2017, approximately $21.2 million remained authorized for future repurchases under this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Data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product segments are as follows:</w:t>
      </w:r>
    </w:p>
    <w:p>
      <w:pPr>
        <w:spacing w:after="0" w:line="212" w:lineRule="exact"/>
        <w:rPr>
          <w:sz w:val="20"/>
          <w:szCs w:val="20"/>
          <w:color w:val="auto"/>
        </w:rPr>
      </w:pPr>
    </w:p>
    <w:p>
      <w:pPr>
        <w:ind w:left="660" w:hanging="333"/>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Unmanned Aircraft Systems — The UAS segment focuses primarily on the design, development, production, support and operation of innovative UAS and tactical missile systems that provide situational awareness, multi-band communications, force protection and other mission effects to increase the security and effectiveness of the operations of the Company’s customers.</w:t>
      </w:r>
    </w:p>
    <w:p>
      <w:pPr>
        <w:spacing w:after="0" w:line="186" w:lineRule="exact"/>
        <w:rPr>
          <w:rFonts w:ascii="Arial" w:cs="Arial" w:eastAsia="Arial" w:hAnsi="Arial"/>
          <w:sz w:val="18"/>
          <w:szCs w:val="18"/>
          <w:color w:val="auto"/>
        </w:rPr>
      </w:pPr>
    </w:p>
    <w:p>
      <w:pPr>
        <w:ind w:left="660" w:right="220" w:hanging="333"/>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Efficient Energy Systems — The EES segment focuses primarily on the design, development, production, marketing, support and operation of innovative efficient electric energy systems that address the growing demand for electric transportation solutions.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accounting policies of the segments are the same as those described in Note 1, “Organization and Significant Accounting Policies.” The operating segments do not make sales to each other. Depreciation and amortization related to the manufacturing of goods is included in gross margin for the segments. The Company does not discretely allocate assets to its operating segments, nor does the CODM evaluate operating segments using discrete asset information. Consequently, the Company operates its financial systems as a single segment for accounting and control purposes, maintains a single indirect rate structure across all segments, has no inter-segment sales or corporate elimination transactions, and maintains limited financial statement information by segment. The segment results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34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October 28,</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October 29,</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October 28,</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October 29,</w:t>
            </w:r>
          </w:p>
        </w:tc>
        <w:tc>
          <w:tcPr>
            <w:tcW w:w="40" w:type="dxa"/>
            <w:vAlign w:val="bottom"/>
          </w:tcPr>
          <w:p>
            <w:pPr>
              <w:spacing w:after="0"/>
              <w:rPr>
                <w:sz w:val="10"/>
                <w:szCs w:val="10"/>
                <w:color w:val="auto"/>
              </w:rPr>
            </w:pPr>
          </w:p>
        </w:tc>
      </w:tr>
      <w:tr>
        <w:trPr>
          <w:trHeight w:val="171"/>
        </w:trPr>
        <w:tc>
          <w:tcPr>
            <w:tcW w:w="348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rPr>
              <w:t>UAS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63,988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40,829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100,238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71,326</w:t>
            </w:r>
          </w:p>
        </w:tc>
        <w:tc>
          <w:tcPr>
            <w:tcW w:w="40" w:type="dxa"/>
            <w:vAlign w:val="bottom"/>
          </w:tcPr>
          <w:p>
            <w:pPr>
              <w:spacing w:after="0"/>
              <w:rPr>
                <w:sz w:val="18"/>
                <w:szCs w:val="18"/>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15,008</w:t>
            </w:r>
          </w:p>
        </w:tc>
        <w:tc>
          <w:tcPr>
            <w:tcW w:w="40" w:type="dxa"/>
            <w:vAlign w:val="bottom"/>
            <w:shd w:val="clear" w:color="auto" w:fill="CCEEFF"/>
          </w:tcPr>
          <w:p>
            <w:pPr>
              <w:spacing w:after="0"/>
              <w:rPr>
                <w:sz w:val="18"/>
                <w:szCs w:val="18"/>
                <w:color w:val="auto"/>
              </w:rPr>
            </w:pPr>
          </w:p>
        </w:tc>
      </w:tr>
      <w:tr>
        <w:trPr>
          <w:trHeight w:val="210"/>
        </w:trPr>
        <w:tc>
          <w:tcPr>
            <w:tcW w:w="3480" w:type="dxa"/>
            <w:vAlign w:val="bottom"/>
          </w:tcPr>
          <w:p>
            <w:pPr>
              <w:ind w:left="320"/>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73,827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50,116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117,591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86,334</w:t>
            </w:r>
          </w:p>
        </w:tc>
        <w:tc>
          <w:tcPr>
            <w:tcW w:w="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rPr>
              <w:t>UAS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62,225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51,019</w:t>
            </w:r>
          </w:p>
        </w:tc>
        <w:tc>
          <w:tcPr>
            <w:tcW w:w="40" w:type="dxa"/>
            <w:vAlign w:val="bottom"/>
          </w:tcPr>
          <w:p>
            <w:pPr>
              <w:spacing w:after="0"/>
              <w:rPr>
                <w:sz w:val="18"/>
                <w:szCs w:val="18"/>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40" w:type="dxa"/>
            <w:vAlign w:val="bottom"/>
            <w:shd w:val="clear" w:color="auto" w:fill="CCEEFF"/>
          </w:tcPr>
          <w:p>
            <w:pPr>
              <w:spacing w:after="0"/>
              <w:rPr>
                <w:sz w:val="18"/>
                <w:szCs w:val="18"/>
                <w:color w:val="auto"/>
              </w:rPr>
            </w:pPr>
          </w:p>
        </w:tc>
      </w:tr>
      <w:tr>
        <w:trPr>
          <w:trHeight w:val="210"/>
        </w:trPr>
        <w:tc>
          <w:tcPr>
            <w:tcW w:w="34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74,961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62,234</w:t>
            </w:r>
          </w:p>
        </w:tc>
        <w:tc>
          <w:tcPr>
            <w:tcW w:w="40" w:type="dxa"/>
            <w:vAlign w:val="bottom"/>
            <w:tcBorders>
              <w:bottom w:val="single" w:sz="8" w:color="CCEEFF"/>
            </w:tcBorders>
          </w:tcPr>
          <w:p>
            <w:pPr>
              <w:spacing w:after="0"/>
              <w:rPr>
                <w:sz w:val="18"/>
                <w:szCs w:val="18"/>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rPr>
              <w:t>UAS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20,307</w:t>
            </w:r>
          </w:p>
        </w:tc>
        <w:tc>
          <w:tcPr>
            <w:tcW w:w="40" w:type="dxa"/>
            <w:vAlign w:val="bottom"/>
          </w:tcPr>
          <w:p>
            <w:pPr>
              <w:spacing w:after="0"/>
              <w:rPr>
                <w:sz w:val="18"/>
                <w:szCs w:val="18"/>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40" w:type="dxa"/>
            <w:vAlign w:val="bottom"/>
            <w:shd w:val="clear" w:color="auto" w:fill="CCEEFF"/>
          </w:tcPr>
          <w:p>
            <w:pPr>
              <w:spacing w:after="0"/>
              <w:rPr>
                <w:sz w:val="18"/>
                <w:szCs w:val="18"/>
                <w:color w:val="auto"/>
              </w:rPr>
            </w:pPr>
          </w:p>
        </w:tc>
      </w:tr>
      <w:tr>
        <w:trPr>
          <w:trHeight w:val="210"/>
        </w:trPr>
        <w:tc>
          <w:tcPr>
            <w:tcW w:w="34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24,100</w:t>
            </w:r>
          </w:p>
        </w:tc>
        <w:tc>
          <w:tcPr>
            <w:tcW w:w="40" w:type="dxa"/>
            <w:vAlign w:val="bottom"/>
            <w:tcBorders>
              <w:bottom w:val="single" w:sz="8" w:color="CCEEFF"/>
            </w:tcBorders>
          </w:tcPr>
          <w:p>
            <w:pPr>
              <w:spacing w:after="0"/>
              <w:rPr>
                <w:sz w:val="18"/>
                <w:szCs w:val="18"/>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27,050</w:t>
            </w:r>
          </w:p>
        </w:tc>
        <w:tc>
          <w:tcPr>
            <w:tcW w:w="40" w:type="dxa"/>
            <w:vAlign w:val="bottom"/>
            <w:shd w:val="clear" w:color="auto" w:fill="CCEEFF"/>
          </w:tcPr>
          <w:p>
            <w:pPr>
              <w:spacing w:after="0"/>
              <w:rPr>
                <w:sz w:val="18"/>
                <w:szCs w:val="18"/>
                <w:color w:val="auto"/>
              </w:rPr>
            </w:pPr>
          </w:p>
        </w:tc>
      </w:tr>
      <w:tr>
        <w:trPr>
          <w:trHeight w:val="216"/>
        </w:trPr>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17,117</w:t>
            </w:r>
          </w:p>
        </w:tc>
        <w:tc>
          <w:tcPr>
            <w:tcW w:w="40" w:type="dxa"/>
            <w:vAlign w:val="bottom"/>
            <w:tcBorders>
              <w:bottom w:val="single" w:sz="8" w:color="CCEEFF"/>
            </w:tcBorders>
          </w:tcPr>
          <w:p>
            <w:pPr>
              <w:spacing w:after="0"/>
              <w:rPr>
                <w:sz w:val="18"/>
                <w:szCs w:val="18"/>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(20,067)</w:t>
            </w:r>
          </w:p>
        </w:tc>
        <w:tc>
          <w:tcPr>
            <w:tcW w:w="4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Other income (expense):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4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Other expense, net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r>
      <w:tr>
        <w:trPr>
          <w:trHeight w:val="230"/>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649"/>
        </w:trPr>
        <w:tc>
          <w:tcPr>
            <w:tcW w:w="3480" w:type="dxa"/>
            <w:vAlign w:val="bottom"/>
          </w:tcPr>
          <w:p>
            <w:pPr>
              <w:spacing w:after="0"/>
              <w:rPr>
                <w:sz w:val="24"/>
                <w:szCs w:val="24"/>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34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left="880" w:right="120" w:hanging="868"/>
        <w:spacing w:after="0" w:line="282" w:lineRule="auto"/>
        <w:tabs>
          <w:tab w:leader="none" w:pos="8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following is a discussion and analysis of our financial condition and the results of operations as of and for the periods presented below. The following discussion and analysis should be read in conjunction with the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2017, as updated by our subsequent filings under the Securities and Exchange Act of 1934, as amended (“the Exchange Act”).</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warranty liabilities,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have been no material changes made to the critical accounting estimates during the periods presented in the consolidated financial statements from those disclosed in our Annual Report on Form 10-K for the fiscal year ended April 30, 2017.</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review cost performance and estimates-to-complete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profit estimates for all types of contracts are recognized on a cumulative catch-up basis in the period in which the revisions are made. During the three and six months ended October 28, 2017 and October 29, 2016, changes in accounting estimates on fixed-price contracts recognized using the percentage of completion method of accounting are presented below.</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the three months ended October 28, 2017 and October 29, 2016, favorable and unfavorable cumulative catch-up adjustments included in cost of sales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59"/>
              <w:spacing w:after="0" w:line="133" w:lineRule="exact"/>
              <w:rPr>
                <w:sz w:val="20"/>
                <w:szCs w:val="20"/>
                <w:color w:val="auto"/>
              </w:rPr>
            </w:pPr>
            <w:r>
              <w:rPr>
                <w:rFonts w:ascii="Arial" w:cs="Arial" w:eastAsia="Arial" w:hAnsi="Arial"/>
                <w:sz w:val="14"/>
                <w:szCs w:val="14"/>
                <w:b w:val="1"/>
                <w:bCs w:val="1"/>
                <w:color w:val="auto"/>
                <w:w w:val="90"/>
              </w:rPr>
              <w:t>October 28,</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7"/>
              <w:spacing w:after="0" w:line="133" w:lineRule="exact"/>
              <w:rPr>
                <w:sz w:val="20"/>
                <w:szCs w:val="20"/>
                <w:color w:val="auto"/>
              </w:rPr>
            </w:pPr>
            <w:r>
              <w:rPr>
                <w:rFonts w:ascii="Arial" w:cs="Arial" w:eastAsia="Arial" w:hAnsi="Arial"/>
                <w:sz w:val="14"/>
                <w:szCs w:val="14"/>
                <w:b w:val="1"/>
                <w:bCs w:val="1"/>
                <w:color w:val="auto"/>
                <w:w w:val="90"/>
              </w:rPr>
              <w:t>October 29,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unfavorable adjustments</w:t>
            </w:r>
          </w:p>
        </w:tc>
        <w:tc>
          <w:tcPr>
            <w:tcW w:w="2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favorable adjustments</w:t>
            </w:r>
          </w:p>
        </w:tc>
        <w:tc>
          <w:tcPr>
            <w:tcW w:w="2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For the three months ended October 28, 2017, favorable cumulative catch-up adjustments of $0.6 million were primarily due to final cost adjustments on 15 contracts, which individually were not material. For the same period, unfavorable cumulative catch-up adjustments of $0.2 million were primarily related to higher than expected costs on 8 contracts, which individually were not material.</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 the three months ended October 29, 2016, favorable cumulative catch-up adjustments of $2.2 million were primarily due to final cost adjustments on 53 contracts, which individually were not material. For the same period, unfavorable cumulative catch-up adjustments were not material.</w:t>
      </w:r>
    </w:p>
    <w:p>
      <w:pPr>
        <w:spacing w:after="0" w:line="18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For the six months ended October 28, 2017 and October 29, 2016, favorable and unfavorable cumulative catch-up adjustments included in cost of sales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40"/>
              <w:spacing w:after="0" w:line="119" w:lineRule="exact"/>
              <w:rPr>
                <w:sz w:val="20"/>
                <w:szCs w:val="20"/>
                <w:color w:val="auto"/>
              </w:rPr>
            </w:pPr>
            <w:r>
              <w:rPr>
                <w:rFonts w:ascii="Arial" w:cs="Arial" w:eastAsia="Arial" w:hAnsi="Arial"/>
                <w:sz w:val="13"/>
                <w:szCs w:val="13"/>
                <w:b w:val="1"/>
                <w:bCs w:val="1"/>
                <w:color w:val="auto"/>
              </w:rPr>
              <w:t>October 28,</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w w:val="97"/>
              </w:rPr>
              <w:t>October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unfavorable adjustments</w:t>
            </w:r>
          </w:p>
        </w:tc>
        <w:tc>
          <w:tcPr>
            <w:tcW w:w="2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favorable adjustments</w:t>
            </w:r>
          </w:p>
        </w:tc>
        <w:tc>
          <w:tcPr>
            <w:tcW w:w="2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six months ended October 28, 2017, favorable cumulative catch-up adjustments of $1.0 million were primarily due to final cost adjustments on 12 contracts, which individually were not material. For the same period, unfavorable cumulative catch-up adjustments of $0.5 million were primarily related to higher than expected costs on 7 contracts, which individually were not material.</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six months ended October 29, 2016, favorable cumulative catch-up adjustments of $2.3 million were primarily due to final cost adjustments on 49 contracts, which individually were not material. For the same period, unfavorable cumulative catch-up adjustments of $0.2 million were primarily related to higher than expected costs on 9 contracts, which individually were not material.</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Due to our fixed year end date of April 30, our first and fourth quarters each consist of approximately 13 weeks. The second and third quarters each consist of exactly 13 weeks. Our first three quarters end on a Saturday. Our 2018 fiscal year ends on April 30, 2018 and our fiscal quarters end on July 29, 2017, October 28, 2017 and January 27,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operating segments are Unmanned Aircraft Systems, or UAS, and Efficient Energy Systems, or EES. Our accounting policies for each of these segments are the same. In addition, a significant portion of our research and development, or R&amp;D, selling, general and administrative, or SG&amp;A, and general overhead resources are shared across our segments.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sets forth our revenue and gross margin generated by each operating segment for the periods indicated (in thousands):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Three Months Ended October 28, 2017 Compared to Three Months Ended October 29,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6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3"/>
              <w:spacing w:after="0" w:line="119" w:lineRule="exact"/>
              <w:rPr>
                <w:sz w:val="20"/>
                <w:szCs w:val="20"/>
                <w:color w:val="auto"/>
              </w:rPr>
            </w:pPr>
            <w:r>
              <w:rPr>
                <w:rFonts w:ascii="Arial" w:cs="Arial" w:eastAsia="Arial" w:hAnsi="Arial"/>
                <w:sz w:val="13"/>
                <w:szCs w:val="13"/>
                <w:b w:val="1"/>
                <w:bCs w:val="1"/>
                <w:color w:val="auto"/>
              </w:rPr>
              <w:t>October 28,</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2"/>
              <w:spacing w:after="0" w:line="119" w:lineRule="exact"/>
              <w:rPr>
                <w:sz w:val="20"/>
                <w:szCs w:val="20"/>
                <w:color w:val="auto"/>
              </w:rPr>
            </w:pPr>
            <w:r>
              <w:rPr>
                <w:rFonts w:ascii="Arial" w:cs="Arial" w:eastAsia="Arial" w:hAnsi="Arial"/>
                <w:sz w:val="13"/>
                <w:szCs w:val="13"/>
                <w:b w:val="1"/>
                <w:bCs w:val="1"/>
                <w:color w:val="auto"/>
                <w:w w:val="97"/>
              </w:rPr>
              <w:t>October 29,</w:t>
            </w:r>
          </w:p>
        </w:tc>
        <w:tc>
          <w:tcPr>
            <w:tcW w:w="100" w:type="dxa"/>
            <w:vAlign w:val="bottom"/>
          </w:tcPr>
          <w:p>
            <w:pPr>
              <w:spacing w:after="0"/>
              <w:rPr>
                <w:sz w:val="10"/>
                <w:szCs w:val="10"/>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UAS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63,988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40,829</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9,287</w:t>
            </w:r>
          </w:p>
        </w:tc>
        <w:tc>
          <w:tcPr>
            <w:tcW w:w="100" w:type="dxa"/>
            <w:vAlign w:val="bottom"/>
            <w:shd w:val="clear" w:color="auto" w:fill="CCEEFF"/>
          </w:tcPr>
          <w:p>
            <w:pPr>
              <w:spacing w:after="0"/>
              <w:rPr>
                <w:sz w:val="18"/>
                <w:szCs w:val="18"/>
                <w:color w:val="auto"/>
              </w:rPr>
            </w:pPr>
          </w:p>
        </w:tc>
      </w:tr>
      <w:tr>
        <w:trPr>
          <w:trHeight w:val="210"/>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73,827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50,116</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UAS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25,936</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100" w:type="dxa"/>
            <w:vAlign w:val="bottom"/>
            <w:shd w:val="clear" w:color="auto" w:fill="CCEEFF"/>
          </w:tcPr>
          <w:p>
            <w:pPr>
              <w:spacing w:after="0"/>
              <w:rPr>
                <w:sz w:val="18"/>
                <w:szCs w:val="18"/>
                <w:color w:val="auto"/>
              </w:rPr>
            </w:pPr>
          </w:p>
        </w:tc>
      </w:tr>
      <w:tr>
        <w:trPr>
          <w:trHeight w:val="210"/>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32,699</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UAS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14,893</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00" w:type="dxa"/>
            <w:vAlign w:val="bottom"/>
            <w:shd w:val="clear" w:color="auto" w:fill="CCEEFF"/>
          </w:tcPr>
          <w:p>
            <w:pPr>
              <w:spacing w:after="0"/>
              <w:rPr>
                <w:sz w:val="18"/>
                <w:szCs w:val="18"/>
                <w:color w:val="auto"/>
              </w:rPr>
            </w:pPr>
          </w:p>
        </w:tc>
      </w:tr>
      <w:tr>
        <w:trPr>
          <w:trHeight w:val="210"/>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17,417</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13,387</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8,517</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 income (expense):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net</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8"/>
                <w:szCs w:val="18"/>
                <w:color w:val="auto"/>
              </w:rPr>
            </w:pPr>
          </w:p>
        </w:tc>
      </w:tr>
      <w:tr>
        <w:trPr>
          <w:trHeight w:val="217"/>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9,641</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three months ended October 28, 2017 was $73.8 million, as compared to $50.1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October 29, 2016, representing an increase of $23.7 million, or 47%. The increase in revenue was due to an increase in product deliveries of $23.6 million and an increase in service revenue of $0.1 million. UAS revenue increased $23.2 million, or 57%, to $64.0 million for the three months ended October 28, 2017, due to an increase in product deliveries of $23.1 million and an increase in service revenue of $0.8 million, partially offset by a decrease in customer-funded R&amp;D work of $0.7 million. The increase in product deliveries was primarily due to an increase in product deliveries of small UAS. During the three months ended October 28, 2017, we continued to experience expansion in small UAS product deliveries and related services to international customers. The increase in service revenue was primarily due to an increase in sustainment activities in support of small UAS for our international customers. The decrease in customer-funded R&amp;D was primarily associated with tactical missile systems and tactical missile system variant programs. EES revenue increased $0.6 million, or 6%, to $9.8 million for the three months ended October 28, 2017, primarily due to an increase in product deliveries of our PosiCharge industrial electric vehicle charging systems.</w:t>
      </w:r>
    </w:p>
    <w:p>
      <w:pPr>
        <w:spacing w:after="0" w:line="16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three months ended October 28, 2017 was $42.8 million, as compared to $32.7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October 29, 2016, representing an increase of $10.1 million, or 31%. As a percentage of revenue, cost of sales decreased from 65% to 58%. The increase in cost of sales was primarily due to an increase in product costs of $10.8 million, partially offset by a decrease in cost of services of $0.7 million. The increase in product costs was primarily due to the increase in product deliveries. The decrease in cost of services was primarily due to mix. UAS cost of sales increased $9.9 million, or 38%, to $35.8 million for the three months ended October 28, 2017, primarily due to an increase in product deliveries. As a percentage of revenue, cost of sales for UAS decreased from 64% to 56%, primarily due to an increase in sales volume and an increase in the proportion of product sales to total revenue. EES cost of sales increased $0.2 million, or 4%, to $7.0 million for the three months ended October 28, 2017, primarily due to the increased sales volume. As a percentage of revenue, cost of sales for EES decreased from 73% to 71%.</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October 28, 2017 was $31.0 million, as compared to $17.4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October 29, 2016, representing an increase of $13.6 million, or 78%. The increase in gross margin was primarily due to an increase in product margins of $12.8 million and an increase in service margins of $0.8 million. As a percentage of revenue, gross margin increased from 35% to 42%, primarily due to an increase in sales volume and an increase in the proportion of product sales to total revenue. UAS gross margin increased $13.3 million, or 89%, to</w:t>
      </w:r>
    </w:p>
    <w:p>
      <w:pPr>
        <w:spacing w:after="0" w:line="2"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$28.2 million for the three months ended October 28, 2017, primarily due to the increase in product sales volume. As a percentage of revenue, gross margin for UAS increased from 36% to 44%, primarily due to an increase in sales volume and an increase in the proportion of product sales to total revenue. EES gross margin increased $0.3 million, or 12%, to</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$2.8 million for the three months ended October 28, 2017, primarily due to the increased sales volume. As a percentage of revenue, EES gross margin increased from 27% to 29%.</w:t>
      </w:r>
    </w:p>
    <w:p>
      <w:pPr>
        <w:spacing w:after="0" w:line="18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for the three months ended October 28, 2017 was $14.5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 of revenue, compared to SG&amp;A expense of $13.4 million, or 27% of revenue, for the three months ended October 29, 2016. The increase in SG&amp;A expense was primarily due to the recording of impairment charges totaling $1.0 million related to the identifiable intangible assets and goodwill of Altoy, our Turkish majority-owned subsidiary, during the three months ended October 28, 2017.</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October 28, 2017 was $7.3 million, or 10%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compared to R&amp;D expense of $8.5 million, or 17% of revenue, for the three months ended October 29, 2016. R&amp;D expense decreased by $1.2 million, or 15%, for the three months ended October 28, 2017, primarily due to a planned decrease in development activities for certain strategic initiatives.</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three months ended October 28, 2017 was $0.4 million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net of $0.4 million for the three months ended October 29, 2016.</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expense, net for the three months ended October 28, 2017 was $0.1 million compared to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net of $0.1 million for the three months ended October 29, 2016.</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Benefit for Income Taxes. </w:t>
      </w:r>
      <w:r>
        <w:rPr>
          <w:rFonts w:ascii="Arial" w:cs="Arial" w:eastAsia="Arial" w:hAnsi="Arial"/>
          <w:sz w:val="18"/>
          <w:szCs w:val="18"/>
          <w:color w:val="auto"/>
        </w:rPr>
        <w:t>Our effective income tax rate was 29.3% for the three months ended October 28, 2017,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1.1% for the three months ended October 29, 2016. The increase in the effective income tax rate was primarily due to an increase in income before income taxes and an increase in the estimated full year effective income tax rate driven by an increase in full year projected income before income taxes. The effective income tax rate for the three months ended October 28, 2017 included a discrete excess tax benefit of $0.4 million resulting from the vesting of restricted stock awards and exercises of stock options.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80"/>
        <w:spacing w:after="0"/>
        <w:rPr>
          <w:sz w:val="20"/>
          <w:szCs w:val="20"/>
          <w:color w:val="auto"/>
        </w:rPr>
      </w:pPr>
      <w:r>
        <w:rPr>
          <w:rFonts w:ascii="Arial" w:cs="Arial" w:eastAsia="Arial" w:hAnsi="Arial"/>
          <w:sz w:val="18"/>
          <w:szCs w:val="18"/>
          <w:b w:val="1"/>
          <w:bCs w:val="1"/>
          <w:i w:val="1"/>
          <w:iCs w:val="1"/>
          <w:color w:val="auto"/>
        </w:rPr>
        <w:t>Six Months Ended October 28, 2017 Compared to Three Months Ended October 29,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6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3"/>
              <w:spacing w:after="0" w:line="119" w:lineRule="exact"/>
              <w:rPr>
                <w:sz w:val="20"/>
                <w:szCs w:val="20"/>
                <w:color w:val="auto"/>
              </w:rPr>
            </w:pPr>
            <w:r>
              <w:rPr>
                <w:rFonts w:ascii="Arial" w:cs="Arial" w:eastAsia="Arial" w:hAnsi="Arial"/>
                <w:sz w:val="13"/>
                <w:szCs w:val="13"/>
                <w:b w:val="1"/>
                <w:bCs w:val="1"/>
                <w:color w:val="auto"/>
              </w:rPr>
              <w:t>October 28,</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2"/>
              <w:spacing w:after="0" w:line="119" w:lineRule="exact"/>
              <w:rPr>
                <w:sz w:val="20"/>
                <w:szCs w:val="20"/>
                <w:color w:val="auto"/>
              </w:rPr>
            </w:pPr>
            <w:r>
              <w:rPr>
                <w:rFonts w:ascii="Arial" w:cs="Arial" w:eastAsia="Arial" w:hAnsi="Arial"/>
                <w:sz w:val="13"/>
                <w:szCs w:val="13"/>
                <w:b w:val="1"/>
                <w:bCs w:val="1"/>
                <w:color w:val="auto"/>
                <w:w w:val="97"/>
              </w:rPr>
              <w:t>October 29,</w:t>
            </w:r>
          </w:p>
        </w:tc>
        <w:tc>
          <w:tcPr>
            <w:tcW w:w="100" w:type="dxa"/>
            <w:vAlign w:val="bottom"/>
          </w:tcPr>
          <w:p>
            <w:pPr>
              <w:spacing w:after="0"/>
              <w:rPr>
                <w:sz w:val="10"/>
                <w:szCs w:val="10"/>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UAS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100,238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71,326</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15,008</w:t>
            </w:r>
          </w:p>
        </w:tc>
        <w:tc>
          <w:tcPr>
            <w:tcW w:w="100" w:type="dxa"/>
            <w:vAlign w:val="bottom"/>
            <w:shd w:val="clear" w:color="auto" w:fill="CCEEFF"/>
          </w:tcPr>
          <w:p>
            <w:pPr>
              <w:spacing w:after="0"/>
              <w:rPr>
                <w:sz w:val="18"/>
                <w:szCs w:val="18"/>
                <w:color w:val="auto"/>
              </w:rPr>
            </w:pPr>
          </w:p>
        </w:tc>
      </w:tr>
      <w:tr>
        <w:trPr>
          <w:trHeight w:val="210"/>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117,591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86,334</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UAS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62,225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51,019</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100" w:type="dxa"/>
            <w:vAlign w:val="bottom"/>
            <w:shd w:val="clear" w:color="auto" w:fill="CCEEFF"/>
          </w:tcPr>
          <w:p>
            <w:pPr>
              <w:spacing w:after="0"/>
              <w:rPr>
                <w:sz w:val="18"/>
                <w:szCs w:val="18"/>
                <w:color w:val="auto"/>
              </w:rPr>
            </w:pPr>
          </w:p>
        </w:tc>
      </w:tr>
      <w:tr>
        <w:trPr>
          <w:trHeight w:val="210"/>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74,961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62,234</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UAS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20,307</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00" w:type="dxa"/>
            <w:vAlign w:val="bottom"/>
            <w:shd w:val="clear" w:color="auto" w:fill="CCEEFF"/>
          </w:tcPr>
          <w:p>
            <w:pPr>
              <w:spacing w:after="0"/>
              <w:rPr>
                <w:sz w:val="18"/>
                <w:szCs w:val="18"/>
                <w:color w:val="auto"/>
              </w:rPr>
            </w:pPr>
          </w:p>
        </w:tc>
      </w:tr>
      <w:tr>
        <w:trPr>
          <w:trHeight w:val="210"/>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24,100</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27,050</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17,117</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(20,067)</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 income (expense):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net</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18"/>
                <w:szCs w:val="18"/>
                <w:color w:val="auto"/>
              </w:rPr>
            </w:pPr>
          </w:p>
        </w:tc>
      </w:tr>
      <w:tr>
        <w:trPr>
          <w:trHeight w:val="217"/>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six months ended October 28, 2017 was $117.6 million, as compared to $86.3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October 29, 2016, representing an increase of $31.3 million, or 36%. The increase in revenue was due to an increase in product deliveries of $38.9 million, partially offset by a decrease in service revenue of $7.7 million. UAS revenue increased $28.9 million, or 41%, to $100.2 million for the six months ended October 28, 2017, due to an increase in product deliveries of $36.6 million and an increase in service revenue of $1.5 million, partially offset by a decrease in customer-funded R&amp;D work of $9.2 million. The increase in product deliveries was primarily due to an increase in product deliveries of small UAS and an increase in product deliveries of tactical missile systems. During the six months ended October 28, 2017, we continued to experience expansion in small UAS product deliveries and related services to international customers and in tactical missile system product deliveries and related services to customers within the U.S. government. The increase in service revenue was primarily due to an increase in sustainment activities in support of small UAS for our international customers. The decrease in customer-funded R&amp;D was primarily associated with tactical missile systems and tactical missile system variant programs. EES revenue increased $2.3 million, or 16%, to $17.4 million for the six months ended October 28, 2017, primarily due to an increase in product deliveries of passenger electric vehicle charging systems and our PosiCharge industrial electric vehicle charging systems.</w:t>
      </w:r>
    </w:p>
    <w:p>
      <w:pPr>
        <w:spacing w:after="0" w:line="17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 xml:space="preserve">Cost of Sales. </w:t>
      </w:r>
      <w:r>
        <w:rPr>
          <w:rFonts w:ascii="Arial" w:cs="Arial" w:eastAsia="Arial" w:hAnsi="Arial"/>
          <w:sz w:val="17"/>
          <w:szCs w:val="17"/>
          <w:color w:val="auto"/>
        </w:rPr>
        <w:t>Cost of sales for the six months ended October 28, 2017 was $75.0 million, as compared to $62.2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six months ended October 29, 2016, representing an increase of $12.7 million, or 20%. As a percentage of revenue, cost of sales decreased from 72% to 64%. The increase in cost of sales was primarily due to an increase in product costs of $19.8 million, partially offset by a decrease in cost of services of $7.1 million. The increase in product costs was primarily due to the increase in product deliveries. The decrease in cost of services was primarily due to the decrease in service revenue. UAS cost of sales increased $11.2 million, or 22%, to $62.2 million for the six months ended October 28, 2017, primarily due to an increase in product deliveries. As a percentage of revenue, cost of sales for UAS decreased from 72% to 62%, primarily due to an increase in sales volume and an increase in the proportion of product sales to total revenue. EES cost of sales increased $1.5 million, or 14%, to $12.7 million for the six months ended October 28, 2017, primarily due to the increased sales volume. As a percentage of revenue, cost of sales for EES decreased from 75% to 73%, primarily due to the increased sales volume.</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the six months ended October 28, 2017 was $42.6 million, as compared to $24.1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October 29, 2016, representing an increase of $18.5 million, or 77%.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increase in gross margin was primarily due to an increase in product margins of $19.1 million, partially offset by a decrease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service margins of $0.6 million. As a percentage of revenue, gross margin increased from 28% to 36%, primarily due 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sales volume and an increase in the proportion of product sales to total revenue. UAS gross margin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$17.7 million, or 87%, to $38.0 million for the six months ended October 28, 2017, primarily due to the increase in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deliveries. As a percentage of revenue, gross margin for UAS increased from 28% to 38%, primarily due to an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volume and an increase in the proportion of product sales to total revenue. EES gross margin increased $0.8 million,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22%, to $4.6 million for the six months ended October 28, 2017, primarily due to the increased sales volume. As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percentage of revenue, EES gross margin increased from 25% to 27%, primarily due to the increased sales volume.</w:t>
      </w:r>
    </w:p>
    <w:p>
      <w:pPr>
        <w:spacing w:after="0" w:line="218"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SG&amp;A expense for the six months ended October 28, 2017 was $27.8 million, or 24%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revenue, compared to SG&amp;A expense of $27.0 million, or 31% of revenue, for the six months ended October 29, 2016. The increase in SG&amp;A expense was primarily due to the recording of impairment charges totaling $1.0 million related to the identifiable intangible assets and goodwill of Altoy during the three months ended October 28, 2017.</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six months ended October 28, 2017 was $13.7 million, or 12%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compared to R&amp;D expense of $17.1 million, or 20% of revenue, for the six months ended October 29, 2016. R&amp;D expense decreased by $3.4 million, or 20%, for the six months ended October 28, 2017, primarily due to a planned decrease in development activities for certain strategic initiatives.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six months ended October 28, 2017 was $0.9 million compared to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net of $0.8 million for the six months ended October 29, 2016.</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expense, net for the six months ended October 28, 2017 was $0.1 million compared to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net of $0.4 million for the six months ended October 29, 2016.</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auto"/>
        </w:rPr>
        <w:t xml:space="preserve">Benefit for Income Taxes. </w:t>
      </w:r>
      <w:r>
        <w:rPr>
          <w:rFonts w:ascii="Arial" w:cs="Arial" w:eastAsia="Arial" w:hAnsi="Arial"/>
          <w:sz w:val="17"/>
          <w:szCs w:val="17"/>
          <w:color w:val="auto"/>
        </w:rPr>
        <w:t>Our effective income tax rate was (17.6)% for the six months ended October 28, 2017,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19.8% for the six months ended October 29, 2016. The year over year change in the effective income tax rate was primarily due to R&amp;D tax credits and discrete excess tax benefits resulting from the vesting of restricted stock awards and exercises of stock options, partially offset by an increase in income before income taxes and an increase in the estimated full year effective income tax rate driven by an increase in full year projected income before income taxes. The effective income tax rate for the six months ended October 28, 2017 included a discrete excess tax benefit of $1.4 million resulting from the vesting of restricted stock awards and exercises of stock options. The effective income tax rate for the six months ended October 29, 2016 included a reversal of a reserve for uncertain tax positions of $1.0 million due to the settlement of prior fiscal year audits.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define funded backlog as unfilled firm orders for products and services for which funding currently is appropriated to us under the contract by the customer. As of October 28, 2017 and April 30, 2017, our funded backlog was approximately $127.1 million and $78.0 million, respectively.</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to our funded backlog, we also had unfunded backlog of $21.2 million and $24.6 million as of October 28, 2017 and April 30, 2017, respectively. We define unfunded backlog as the total remaining potential order amounts under cost reimbursable and fixed price contracts with multiple one-year options, and indefinite delivery, indefinite quantity, or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does not include the remaining potential value associated with a U.S. Army IDIQ-type contract for small UAS because the contract was awarded to five companies in 2012, including AeroVironment, and we cannot be certain that we will receive task orders issued against the contract.</w:t>
      </w:r>
    </w:p>
    <w:p>
      <w:pPr>
        <w:spacing w:after="0" w:line="18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currently have no material cash commitments, except for normal recurring trade payables, accrued expenses and ongoing R&amp;D costs, all of which we anticipate funding through our existing working capital and funds provided by operating activities. The majority of our purchase obligations are pursuant to funded contractual arrangements with our customers. In addition, we believe that our existing cash, cash equivalents, cash provided by operating activities and other financing sources will be sufficient to meet our anticipated working capital and capital expenditure requirements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financing. We anticipate that existing sources of liquidity and cash flows from operations will be sufficient to satisfy our cash needs for the foreseeable future.</w:t>
      </w:r>
    </w:p>
    <w:p>
      <w:pPr>
        <w:spacing w:after="0" w:line="1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primary liquidity needs are for financing working capital, investing in capital expenditures, supporting product development efforts, introducing new products, enhancing existing products and marketing to stimulate acceptance and adoption of our products and services. Our future capital requirements, to a certain extent, are also subject to general conditions in or affecting the defense, commercial and electric vehicle industries and are subject to general economic, political, financial, competitive, legislative and regulatory factors that are beyond our control. To the extent that existing cash, cash equivalents, and cash from operations are insufficient to fund our future activities, we may need to raise additional funds through public or private equity or debt financing. We may also need to seek additional equity funding or debt financing if we become a party to any agreement or letter of intent for potential investments in, or acquisitions of, businesses, services or technologies.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other expenses incurred during the lead time from contract award until contract deliveries begin.</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provides our cash flow data for the six months ended October 28, 2017 and October 29, 2016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tcPr>
          <w:p>
            <w:pPr>
              <w:ind w:left="4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6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41"/>
              <w:spacing w:after="0" w:line="119" w:lineRule="exact"/>
              <w:rPr>
                <w:sz w:val="20"/>
                <w:szCs w:val="20"/>
                <w:color w:val="auto"/>
              </w:rPr>
            </w:pPr>
            <w:r>
              <w:rPr>
                <w:rFonts w:ascii="Arial" w:cs="Arial" w:eastAsia="Arial" w:hAnsi="Arial"/>
                <w:sz w:val="13"/>
                <w:szCs w:val="13"/>
                <w:b w:val="1"/>
                <w:bCs w:val="1"/>
                <w:color w:val="auto"/>
              </w:rPr>
              <w:t>October 28,</w:t>
            </w: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October 29,</w:t>
            </w:r>
          </w:p>
        </w:tc>
        <w:tc>
          <w:tcPr>
            <w:tcW w:w="80" w:type="dxa"/>
            <w:vAlign w:val="bottom"/>
          </w:tcPr>
          <w:p>
            <w:pPr>
              <w:spacing w:after="0"/>
              <w:rPr>
                <w:sz w:val="10"/>
                <w:szCs w:val="10"/>
                <w:color w:val="auto"/>
              </w:rPr>
            </w:pPr>
          </w:p>
        </w:tc>
      </w:tr>
      <w:tr>
        <w:trPr>
          <w:trHeight w:val="171"/>
        </w:trPr>
        <w:tc>
          <w:tcPr>
            <w:tcW w:w="6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3"/>
          </w:tcPr>
          <w:p>
            <w:pPr>
              <w:jc w:val="right"/>
              <w:ind w:right="698"/>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24,119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8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11,408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(29,198)</w:t>
            </w: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1,678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Cash Provided by (Used in) Operating Activities. </w:t>
      </w:r>
      <w:r>
        <w:rPr>
          <w:rFonts w:ascii="Arial" w:cs="Arial" w:eastAsia="Arial" w:hAnsi="Arial"/>
          <w:sz w:val="18"/>
          <w:szCs w:val="18"/>
          <w:color w:val="auto"/>
        </w:rPr>
        <w:t>Net cash provided by operating activities for the six months ended October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28, 2017 increased by $30.4 million to $24.1 million, compared to net cash used in operating activities of $6.3 million for the six months ended October 29, 2016. The increase in net cash provided by operating activities was primarily due to an increase in net income of $18.2 million, an increase in cash as a result of changes in operating assets and liabilities of $10.7 million, largely resulting from decreases in accounts receivable due to the year over year timing of revenue and related cash collections, and non-cash expenses of $1.6 million, primarily associated with the impairment of the identifiable intangible assets and goodwill of Altoy.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Cash Provided by (Used in) Investing Activities. </w:t>
      </w:r>
      <w:r>
        <w:rPr>
          <w:rFonts w:ascii="Arial" w:cs="Arial" w:eastAsia="Arial" w:hAnsi="Arial"/>
          <w:sz w:val="16"/>
          <w:szCs w:val="16"/>
          <w:color w:val="auto"/>
        </w:rPr>
        <w:t>Net cash provided by investing activities increased by $40.6 million to</w:t>
      </w:r>
    </w:p>
    <w:p>
      <w:pPr>
        <w:spacing w:after="0" w:line="4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$11.4 million for the six months ended October 28, 2017, compared to net cash used in investing activities of $29.2 million for the six months ended October 29, 2016. The increase in net cash provided by investing activities was primarily due to an increase in net redemptions and purchases of investments of $42.1 million, partially offset by an increase in cash paid for purchases of property and equipment of $1.5 million.</w:t>
      </w:r>
    </w:p>
    <w:p>
      <w:pPr>
        <w:spacing w:after="0" w:line="1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Cash Provided by Financing Activities. </w:t>
      </w:r>
      <w:r>
        <w:rPr>
          <w:rFonts w:ascii="Arial" w:cs="Arial" w:eastAsia="Arial" w:hAnsi="Arial"/>
          <w:sz w:val="18"/>
          <w:szCs w:val="18"/>
          <w:color w:val="auto"/>
        </w:rPr>
        <w:t>Net cash provided by financing activities increased by $1.6 million to $1.7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six months ended October 28, 2017, compared to net cash provided by financing activities of $0.1 million for the six months ended October 29, 2016. The increase in cash provided by financing activities was primarily due an increase in cash provided from the exercise of employee stock options of $1.9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During the three and six months ended October 28, 2017, there were no material changes in our contractual obligations and commercial commitments from those disclosed in our Annual Report on Form 10-K for the fiscal year ended April 30,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40"/>
        <w:spacing w:after="0" w:line="223" w:lineRule="exact"/>
        <w:rPr>
          <w:sz w:val="20"/>
          <w:szCs w:val="20"/>
          <w:color w:val="auto"/>
        </w:rPr>
      </w:pPr>
      <w:r>
        <w:rPr>
          <w:rFonts w:ascii="Arial" w:cs="Arial" w:eastAsia="Arial" w:hAnsi="Arial"/>
          <w:sz w:val="18"/>
          <w:szCs w:val="18"/>
          <w:color w:val="auto"/>
        </w:rPr>
        <w:t>As of October 28, 2017, we had no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in Item 303(a)(4) of the SEC’s Regulation S</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Please refer to Note 1 “Organization and Significant Accounting Policies” to our unaudited consolidated financial statements in Part I, Item 1 of this Quarterly Report on Form 10-Q for a discussion of new accounting pronouncements and accounting pronouncements adopted during the three and six months ended October 28,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our policy not to enter into interest rate derivative financial instruments. We do not currently have any significant interest rate exposure.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Since a significant part of our sales and expenses are denominated in U.S. dollars, we have not experienced significant foreign exchange gains or losses to date, and do not expect to incur significant foreign exchange gains or losses in the future.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October 28, 2017, the end of the period covered by this Quarterly Report on Form 10-Q.</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October 28, 2017, the end of the period covered by this Quarterly Report on Form 10-Q, our disclosure controls and procedures were effective and were operating at a reasonable assurance level.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There were no changes in our internal control over financial reporting or in other factors identified in connection with the evaluation required by paragraph (d) of Rules 13a-15 or 15d-15 under the Exchange Act that occurred during the quarter ended October 28, 2017 that have materially affected, or are reasonably likely to materially affect, our internal control over financial reporting (as defined in Rules 13a-15(f) and 15d-15(f) under the Exchange Act).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are not currently a party to any material legal proceedings. We are, however, subject to lawsuits, government investigations, audits and other legal proceedings from time to time in the ordinary course of our business. It is not possible to predict the outcome of any legal proceeding with certainty. The outcome or costs we incur in connection with a legal proceeding could adversely impact our operating results and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have been no material changes to the risk factors disclosed under Part I, Item 1A, “Risk Factors,” of our Annual Report on Form 10-K for the fiscal year ended April 30, 2017. Please refer to that section for disclosures regarding the risks and uncertainties related to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September 24, 2015, we announced that on September 23, 2015 our Board of Directors authorized a share repurchase program (the “Share Repurchase Program”), pursuant to which we may repurchase up to $25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program. The Share Repurchase Program does not obligate us to acquire any particular amount of common stock and may be suspended at any time by our Board of Directors. No shares were repurchased in the three and six months ended October 28, 2017. As of October 28, 2017, approximately $21.2 million remained authorized for future repurchases under this program.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500" w:type="dxa"/>
            <w:vAlign w:val="bottom"/>
            <w:gridSpan w:val="7"/>
          </w:tcPr>
          <w:p>
            <w:pPr>
              <w:ind w:left="10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3.1(1)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20" w:type="dxa"/>
            <w:vAlign w:val="bottom"/>
            <w:tcBorders>
              <w:top w:val="single" w:sz="8" w:color="auto"/>
            </w:tcBorders>
            <w:gridSpan w:val="8"/>
          </w:tcPr>
          <w:p>
            <w:pPr>
              <w:spacing w:after="0" w:line="170" w:lineRule="exact"/>
              <w:rPr>
                <w:rFonts w:ascii="Arial" w:cs="Arial" w:eastAsia="Arial" w:hAnsi="Arial"/>
                <w:sz w:val="18"/>
                <w:szCs w:val="18"/>
                <w:color w:val="0000EE"/>
              </w:rPr>
            </w:pPr>
            <w:hyperlink r:id="rId41">
              <w:r>
                <w:rPr>
                  <w:rFonts w:ascii="Arial" w:cs="Arial" w:eastAsia="Arial" w:hAnsi="Arial"/>
                  <w:sz w:val="18"/>
                  <w:szCs w:val="18"/>
                  <w:color w:val="0000EE"/>
                </w:rPr>
                <w:t>Amended and Restated Certificate of Incorporation of AeroVironment, Inc.</w:t>
              </w:r>
            </w:hyperlink>
          </w:p>
        </w:tc>
        <w:tc>
          <w:tcPr>
            <w:tcW w:w="0" w:type="dxa"/>
            <w:vAlign w:val="bottom"/>
          </w:tcPr>
          <w:p>
            <w:pPr>
              <w:spacing w:after="0"/>
              <w:rPr>
                <w:sz w:val="1"/>
                <w:szCs w:val="1"/>
                <w:color w:val="auto"/>
              </w:rPr>
            </w:pPr>
          </w:p>
        </w:tc>
      </w:tr>
      <w:tr>
        <w:trPr>
          <w:trHeight w:val="183"/>
        </w:trPr>
        <w:tc>
          <w:tcPr>
            <w:tcW w:w="82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3"/>
              </w:rPr>
              <w:t>3.2(2)</w:t>
            </w:r>
          </w:p>
        </w:tc>
        <w:tc>
          <w:tcPr>
            <w:tcW w:w="200" w:type="dxa"/>
            <w:vAlign w:val="bottom"/>
          </w:tcPr>
          <w:p>
            <w:pPr>
              <w:spacing w:after="0"/>
              <w:rPr>
                <w:sz w:val="15"/>
                <w:szCs w:val="15"/>
                <w:color w:val="auto"/>
              </w:rPr>
            </w:pPr>
          </w:p>
        </w:tc>
        <w:tc>
          <w:tcPr>
            <w:tcW w:w="54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42">
              <w:r>
                <w:rPr>
                  <w:rFonts w:ascii="Arial" w:cs="Arial" w:eastAsia="Arial" w:hAnsi="Arial"/>
                  <w:sz w:val="18"/>
                  <w:szCs w:val="18"/>
                  <w:color w:val="0000EE"/>
                </w:rPr>
                <w:t>Third Amended and Restated Bylaws of AeroVironment, Inc.</w:t>
              </w:r>
            </w:hyperlink>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restart"/>
          </w:tcPr>
          <w:p>
            <w:pPr>
              <w:jc w:val="center"/>
              <w:spacing w:after="0" w:line="202" w:lineRule="exact"/>
              <w:rPr>
                <w:sz w:val="20"/>
                <w:szCs w:val="20"/>
                <w:color w:val="auto"/>
              </w:rPr>
            </w:pPr>
            <w:r>
              <w:rPr>
                <w:rFonts w:ascii="Arial" w:cs="Arial" w:eastAsia="Arial" w:hAnsi="Arial"/>
                <w:sz w:val="18"/>
                <w:szCs w:val="18"/>
                <w:color w:val="auto"/>
                <w:w w:val="91"/>
              </w:rPr>
              <w:t>31.1</w:t>
            </w: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9"/>
          </w:tcPr>
          <w:p>
            <w:pPr>
              <w:spacing w:after="0" w:line="182" w:lineRule="exact"/>
              <w:rPr>
                <w:rFonts w:ascii="Arial" w:cs="Arial" w:eastAsia="Arial" w:hAnsi="Arial"/>
                <w:sz w:val="18"/>
                <w:szCs w:val="18"/>
                <w:color w:val="0000EE"/>
                <w:w w:val="98"/>
              </w:rPr>
            </w:pPr>
            <w:hyperlink w:anchor="page31">
              <w:r>
                <w:rPr>
                  <w:rFonts w:ascii="Arial" w:cs="Arial" w:eastAsia="Arial" w:hAnsi="Arial"/>
                  <w:sz w:val="18"/>
                  <w:szCs w:val="18"/>
                  <w:color w:val="0000EE"/>
                  <w:w w:val="98"/>
                </w:rPr>
                <w:t>Certification of Chief Executive Officer pursuant to Rule 13a-14(a) and Rule 15d-14(a) of the Securities</w:t>
              </w:r>
            </w:hyperlink>
          </w:p>
        </w:tc>
        <w:tc>
          <w:tcPr>
            <w:tcW w:w="0" w:type="dxa"/>
            <w:vAlign w:val="bottom"/>
          </w:tcPr>
          <w:p>
            <w:pPr>
              <w:spacing w:after="0"/>
              <w:rPr>
                <w:sz w:val="1"/>
                <w:szCs w:val="1"/>
                <w:color w:val="auto"/>
              </w:rPr>
            </w:pPr>
          </w:p>
        </w:tc>
      </w:tr>
      <w:tr>
        <w:trPr>
          <w:trHeight w:val="183"/>
        </w:trPr>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31.2</w:t>
            </w:r>
          </w:p>
        </w:tc>
        <w:tc>
          <w:tcPr>
            <w:tcW w:w="200" w:type="dxa"/>
            <w:vAlign w:val="bottom"/>
          </w:tcPr>
          <w:p>
            <w:pPr>
              <w:spacing w:after="0"/>
              <w:rPr>
                <w:sz w:val="15"/>
                <w:szCs w:val="15"/>
                <w:color w:val="auto"/>
              </w:rPr>
            </w:pPr>
          </w:p>
        </w:tc>
        <w:tc>
          <w:tcPr>
            <w:tcW w:w="75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9"/>
          </w:tcPr>
          <w:p>
            <w:pPr>
              <w:spacing w:after="0" w:line="182"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Certification of Chief Financial Officer pursuant to Rule 13a-14(a) and Rule 15d-14(a) of the Securities</w:t>
              </w:r>
            </w:hyperlink>
          </w:p>
        </w:tc>
        <w:tc>
          <w:tcPr>
            <w:tcW w:w="0" w:type="dxa"/>
            <w:vAlign w:val="bottom"/>
          </w:tcPr>
          <w:p>
            <w:pPr>
              <w:spacing w:after="0"/>
              <w:rPr>
                <w:sz w:val="1"/>
                <w:szCs w:val="1"/>
                <w:color w:val="auto"/>
              </w:rPr>
            </w:pPr>
          </w:p>
        </w:tc>
      </w:tr>
      <w:tr>
        <w:trPr>
          <w:trHeight w:val="183"/>
        </w:trPr>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6"/>
              </w:rPr>
              <w:t>32#</w:t>
            </w:r>
          </w:p>
        </w:tc>
        <w:tc>
          <w:tcPr>
            <w:tcW w:w="200" w:type="dxa"/>
            <w:vAlign w:val="bottom"/>
          </w:tcPr>
          <w:p>
            <w:pPr>
              <w:spacing w:after="0"/>
              <w:rPr>
                <w:sz w:val="15"/>
                <w:szCs w:val="15"/>
                <w:color w:val="auto"/>
              </w:rPr>
            </w:pPr>
          </w:p>
        </w:tc>
        <w:tc>
          <w:tcPr>
            <w:tcW w:w="746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c>
          <w:tcPr>
            <w:tcW w:w="28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9"/>
          </w:tcPr>
          <w:p>
            <w:pPr>
              <w:spacing w:after="0" w:line="182"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Certification of Chief Executive Officer and Chief Financial Officer Pursuant to 18 U.S.C. Section 1350, as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2"/>
              </w:rPr>
              <w:t>101.INS</w:t>
            </w:r>
          </w:p>
        </w:tc>
        <w:tc>
          <w:tcPr>
            <w:tcW w:w="200" w:type="dxa"/>
            <w:vAlign w:val="bottom"/>
          </w:tcPr>
          <w:p>
            <w:pPr>
              <w:spacing w:after="0"/>
              <w:rPr>
                <w:sz w:val="15"/>
                <w:szCs w:val="15"/>
                <w:color w:val="auto"/>
              </w:rPr>
            </w:pPr>
          </w:p>
        </w:tc>
        <w:tc>
          <w:tcPr>
            <w:tcW w:w="77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adopted pursuant to Section 906 of the Sarbanes-Oxley Act of 2002</w:t>
              </w:r>
              <w:r>
                <w:rPr>
                  <w:rFonts w:ascii="Arial" w:cs="Arial" w:eastAsia="Arial" w:hAnsi="Arial"/>
                  <w:sz w:val="18"/>
                  <w:szCs w:val="18"/>
                  <w:color w:val="000000"/>
                </w:rPr>
                <w:t>.</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80" w:type="dxa"/>
            <w:vAlign w:val="bottom"/>
            <w:tcBorders>
              <w:top w:val="single" w:sz="8" w:color="0000EE"/>
            </w:tcBorders>
            <w:gridSpan w:val="4"/>
          </w:tcPr>
          <w:p>
            <w:pPr>
              <w:spacing w:after="0" w:line="195" w:lineRule="exact"/>
              <w:rPr>
                <w:sz w:val="20"/>
                <w:szCs w:val="20"/>
                <w:color w:val="auto"/>
              </w:rPr>
            </w:pPr>
            <w:r>
              <w:rPr>
                <w:rFonts w:ascii="Arial" w:cs="Arial" w:eastAsia="Arial" w:hAnsi="Arial"/>
                <w:sz w:val="18"/>
                <w:szCs w:val="18"/>
                <w:color w:val="auto"/>
              </w:rPr>
              <w:t>XBRL Instance Document.</w:t>
            </w:r>
          </w:p>
        </w:tc>
        <w:tc>
          <w:tcPr>
            <w:tcW w:w="316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0"/>
              </w:rPr>
              <w:t>101.SCH</w:t>
            </w:r>
          </w:p>
        </w:tc>
        <w:tc>
          <w:tcPr>
            <w:tcW w:w="200" w:type="dxa"/>
            <w:vAlign w:val="bottom"/>
          </w:tcPr>
          <w:p>
            <w:pPr>
              <w:spacing w:after="0"/>
              <w:rPr>
                <w:sz w:val="17"/>
                <w:szCs w:val="17"/>
                <w:color w:val="auto"/>
              </w:rPr>
            </w:pPr>
          </w:p>
        </w:tc>
        <w:tc>
          <w:tcPr>
            <w:tcW w:w="8040" w:type="dxa"/>
            <w:vAlign w:val="bottom"/>
            <w:gridSpan w:val="9"/>
          </w:tcPr>
          <w:p>
            <w:pPr>
              <w:spacing w:after="0" w:line="202"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7"/>
              </w:rPr>
              <w:t>101.CAL</w:t>
            </w:r>
          </w:p>
        </w:tc>
        <w:tc>
          <w:tcPr>
            <w:tcW w:w="200" w:type="dxa"/>
            <w:vAlign w:val="bottom"/>
          </w:tcPr>
          <w:p>
            <w:pPr>
              <w:spacing w:after="0"/>
              <w:rPr>
                <w:sz w:val="17"/>
                <w:szCs w:val="17"/>
                <w:color w:val="auto"/>
              </w:rPr>
            </w:pPr>
          </w:p>
        </w:tc>
        <w:tc>
          <w:tcPr>
            <w:tcW w:w="8040" w:type="dxa"/>
            <w:vAlign w:val="bottom"/>
            <w:gridSpan w:val="9"/>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2"/>
              </w:rPr>
              <w:t>101.DEF</w:t>
            </w:r>
          </w:p>
        </w:tc>
        <w:tc>
          <w:tcPr>
            <w:tcW w:w="200" w:type="dxa"/>
            <w:vAlign w:val="bottom"/>
          </w:tcPr>
          <w:p>
            <w:pPr>
              <w:spacing w:after="0"/>
              <w:rPr>
                <w:sz w:val="17"/>
                <w:szCs w:val="17"/>
                <w:color w:val="auto"/>
              </w:rPr>
            </w:pPr>
          </w:p>
        </w:tc>
        <w:tc>
          <w:tcPr>
            <w:tcW w:w="8040" w:type="dxa"/>
            <w:vAlign w:val="bottom"/>
            <w:gridSpan w:val="9"/>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8"/>
              </w:rPr>
              <w:t>101.LAB</w:t>
            </w:r>
          </w:p>
        </w:tc>
        <w:tc>
          <w:tcPr>
            <w:tcW w:w="200" w:type="dxa"/>
            <w:vAlign w:val="bottom"/>
          </w:tcPr>
          <w:p>
            <w:pPr>
              <w:spacing w:after="0"/>
              <w:rPr>
                <w:sz w:val="17"/>
                <w:szCs w:val="17"/>
                <w:color w:val="auto"/>
              </w:rPr>
            </w:pPr>
          </w:p>
        </w:tc>
        <w:tc>
          <w:tcPr>
            <w:tcW w:w="8040" w:type="dxa"/>
            <w:vAlign w:val="bottom"/>
            <w:gridSpan w:val="9"/>
          </w:tcPr>
          <w:p>
            <w:pPr>
              <w:spacing w:after="0" w:line="202"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200" w:type="dxa"/>
            <w:vAlign w:val="bottom"/>
          </w:tcPr>
          <w:p>
            <w:pPr>
              <w:spacing w:after="0"/>
              <w:rPr>
                <w:sz w:val="20"/>
                <w:szCs w:val="20"/>
                <w:color w:val="auto"/>
              </w:rPr>
            </w:pPr>
          </w:p>
        </w:tc>
        <w:tc>
          <w:tcPr>
            <w:tcW w:w="80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20" w:right="220" w:hanging="317"/>
        <w:spacing w:after="0" w:line="223" w:lineRule="exact"/>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March 9, 2007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203" w:lineRule="exact"/>
        <w:rPr>
          <w:rFonts w:ascii="Arial" w:cs="Arial" w:eastAsia="Arial" w:hAnsi="Arial"/>
          <w:sz w:val="18"/>
          <w:szCs w:val="18"/>
          <w:color w:val="auto"/>
        </w:rPr>
      </w:pPr>
    </w:p>
    <w:p>
      <w:pPr>
        <w:ind w:left="320" w:right="160" w:hanging="317"/>
        <w:spacing w:after="0" w:line="277"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herein to Exhibit 3.3 to the Company’s Annual Report on Form 10-K filed July 1, 2015 (File No. 001-33261).</w:t>
      </w:r>
    </w:p>
    <w:p>
      <w:pPr>
        <w:spacing w:after="0" w:line="170" w:lineRule="exact"/>
        <w:rPr>
          <w:sz w:val="20"/>
          <w:szCs w:val="20"/>
          <w:color w:val="auto"/>
        </w:rPr>
      </w:pPr>
    </w:p>
    <w:p>
      <w:pPr>
        <w:ind w:left="320" w:right="120" w:hanging="317"/>
        <w:spacing w:after="0" w:line="302" w:lineRule="auto"/>
        <w:tabs>
          <w:tab w:leader="none" w:pos="30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December 5, 2017</w:t>
      </w:r>
      <w:r>
        <w:rPr>
          <w:sz w:val="20"/>
          <w:szCs w:val="20"/>
          <w:color w:val="auto"/>
        </w:rPr>
        <w:tab/>
      </w:r>
      <w:r>
        <w:rPr>
          <w:rFonts w:ascii="Arial" w:cs="Arial" w:eastAsia="Arial" w:hAnsi="Arial"/>
          <w:sz w:val="17"/>
          <w:szCs w:val="17"/>
          <w:color w:val="auto"/>
        </w:rPr>
        <w:t>AEROVIRONMENT, INC.</w:t>
      </w:r>
    </w:p>
    <w:p>
      <w:pPr>
        <w:spacing w:after="0" w:line="19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6350</wp:posOffset>
            </wp:positionV>
            <wp:extent cx="26327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Wahid Nawabi</w:t>
      </w:r>
    </w:p>
    <w:p>
      <w:pPr>
        <w:ind w:left="492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6350</wp:posOffset>
            </wp:positionV>
            <wp:extent cx="26327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Teresa P. Covington</w:t>
      </w:r>
    </w:p>
    <w:p>
      <w:pPr>
        <w:ind w:left="492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Wahid Nawabi, certify that:</w:t>
      </w:r>
    </w:p>
    <w:p>
      <w:pPr>
        <w:spacing w:after="0" w:line="144" w:lineRule="exact"/>
        <w:rPr>
          <w:sz w:val="20"/>
          <w:szCs w:val="20"/>
          <w:color w:val="auto"/>
        </w:rPr>
      </w:pPr>
    </w:p>
    <w:p>
      <w:pPr>
        <w:ind w:left="360" w:hanging="357"/>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44" w:lineRule="exact"/>
        <w:rPr>
          <w:rFonts w:ascii="Arial" w:cs="Arial" w:eastAsia="Arial" w:hAnsi="Arial"/>
          <w:sz w:val="18"/>
          <w:szCs w:val="18"/>
          <w:color w:val="auto"/>
        </w:rPr>
      </w:pPr>
    </w:p>
    <w:p>
      <w:pPr>
        <w:jc w:val="both"/>
        <w:ind w:left="320" w:right="180" w:hanging="315"/>
        <w:spacing w:after="0" w:line="224" w:lineRule="auto"/>
        <w:tabs>
          <w:tab w:leader="none" w:pos="347"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40" w:hanging="315"/>
        <w:spacing w:after="0" w:line="224" w:lineRule="auto"/>
        <w:tabs>
          <w:tab w:leader="none" w:pos="347"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5"/>
        <w:spacing w:after="0" w:line="238" w:lineRule="auto"/>
        <w:tabs>
          <w:tab w:leader="none" w:pos="34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hanging="333"/>
        <w:spacing w:after="0" w:line="219" w:lineRule="auto"/>
        <w:tabs>
          <w:tab w:leader="none" w:pos="69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160" w:hanging="333"/>
        <w:spacing w:after="0" w:line="219" w:lineRule="auto"/>
        <w:tabs>
          <w:tab w:leader="none" w:pos="70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92"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33"/>
        <w:spacing w:after="0" w:line="219" w:lineRule="auto"/>
        <w:tabs>
          <w:tab w:leader="none" w:pos="702"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hanging="317"/>
        <w:spacing w:after="0" w:line="224" w:lineRule="auto"/>
        <w:tabs>
          <w:tab w:leader="none" w:pos="34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92"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33"/>
        <w:spacing w:after="0" w:line="235" w:lineRule="auto"/>
        <w:tabs>
          <w:tab w:leader="none" w:pos="702"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2017</w:t>
      </w:r>
    </w:p>
    <w:p>
      <w:pPr>
        <w:spacing w:after="0" w:line="1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Wahid Nawabi</w:t>
      </w: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Teresa P. Covington, certify that:</w:t>
      </w:r>
    </w:p>
    <w:p>
      <w:pPr>
        <w:spacing w:after="0" w:line="144" w:lineRule="exact"/>
        <w:rPr>
          <w:sz w:val="20"/>
          <w:szCs w:val="20"/>
          <w:color w:val="auto"/>
        </w:rPr>
      </w:pPr>
    </w:p>
    <w:p>
      <w:pPr>
        <w:ind w:left="360" w:hanging="355"/>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44" w:lineRule="exact"/>
        <w:rPr>
          <w:rFonts w:ascii="Arial" w:cs="Arial" w:eastAsia="Arial" w:hAnsi="Arial"/>
          <w:sz w:val="18"/>
          <w:szCs w:val="18"/>
          <w:color w:val="auto"/>
        </w:rPr>
      </w:pPr>
    </w:p>
    <w:p>
      <w:pPr>
        <w:jc w:val="both"/>
        <w:ind w:left="320" w:right="180" w:hanging="315"/>
        <w:spacing w:after="0" w:line="224" w:lineRule="auto"/>
        <w:tabs>
          <w:tab w:leader="none" w:pos="347"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40" w:hanging="315"/>
        <w:spacing w:after="0" w:line="224" w:lineRule="auto"/>
        <w:tabs>
          <w:tab w:leader="none" w:pos="347"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5"/>
        <w:spacing w:after="0" w:line="238" w:lineRule="auto"/>
        <w:tabs>
          <w:tab w:leader="none" w:pos="34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hanging="333"/>
        <w:spacing w:after="0" w:line="219" w:lineRule="auto"/>
        <w:tabs>
          <w:tab w:leader="none" w:pos="69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160" w:hanging="333"/>
        <w:spacing w:after="0" w:line="219" w:lineRule="auto"/>
        <w:tabs>
          <w:tab w:leader="none" w:pos="70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92"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33"/>
        <w:spacing w:after="0" w:line="219" w:lineRule="auto"/>
        <w:tabs>
          <w:tab w:leader="none" w:pos="702"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hanging="315"/>
        <w:spacing w:after="0" w:line="224" w:lineRule="auto"/>
        <w:tabs>
          <w:tab w:leader="none" w:pos="34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92"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33"/>
        <w:spacing w:after="0" w:line="235" w:lineRule="auto"/>
        <w:tabs>
          <w:tab w:leader="none" w:pos="702"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2017</w:t>
      </w:r>
    </w:p>
    <w:p>
      <w:pPr>
        <w:spacing w:after="0" w:line="1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Teresa P. Covington</w:t>
      </w: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Pursuant to Section 906 of the Sarbanes-Oxley Act of 2002</w:t>
      </w: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28" w:lineRule="exact"/>
        <w:rPr>
          <w:sz w:val="20"/>
          <w:szCs w:val="20"/>
          <w:color w:val="auto"/>
        </w:rPr>
      </w:pPr>
    </w:p>
    <w:p>
      <w:pPr>
        <w:jc w:val="both"/>
        <w:ind w:right="200" w:firstLine="486"/>
        <w:spacing w:after="0" w:line="22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23" w:lineRule="exact"/>
        <w:rPr>
          <w:sz w:val="20"/>
          <w:szCs w:val="20"/>
          <w:color w:val="auto"/>
        </w:rPr>
      </w:pPr>
    </w:p>
    <w:p>
      <w:pPr>
        <w:ind w:right="140" w:firstLine="486"/>
        <w:spacing w:after="0" w:line="219" w:lineRule="auto"/>
        <w:rPr>
          <w:sz w:val="20"/>
          <w:szCs w:val="20"/>
          <w:color w:val="auto"/>
        </w:rPr>
      </w:pPr>
      <w:r>
        <w:rPr>
          <w:rFonts w:ascii="Arial" w:cs="Arial" w:eastAsia="Arial" w:hAnsi="Arial"/>
          <w:sz w:val="18"/>
          <w:szCs w:val="18"/>
          <w:color w:val="auto"/>
        </w:rPr>
        <w:t>The Quarterly Report on Form 10-Q for the quarter ended October 28, 2017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13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Wahid Nawabi</w:t>
      </w: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12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Teresa P. Covington</w:t>
      </w: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5, 2017</w:t>
      </w:r>
    </w:p>
    <w:p>
      <w:pPr>
        <w:spacing w:after="0" w:line="144" w:lineRule="exact"/>
        <w:rPr>
          <w:sz w:val="20"/>
          <w:szCs w:val="20"/>
          <w:color w:val="auto"/>
        </w:rPr>
      </w:pPr>
    </w:p>
    <w:p>
      <w:pPr>
        <w:ind w:right="360" w:firstLine="486"/>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41" Type="http://schemas.openxmlformats.org/officeDocument/2006/relationships/hyperlink" Target="http://www.sec.gov/Archives/edgar/data/1368622/000095015007000008/a28119exv3w1.htm" TargetMode="External"/><Relationship Id="rId42" Type="http://schemas.openxmlformats.org/officeDocument/2006/relationships/hyperlink" Target="http://www.sec.gov/Archives/edgar/data/1368622/000104746915005880/a2225241zex-3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2019-12-29T02:16:43Z</dcterms:created>
  <dcterms:modified xsi:type="dcterms:W3CDTF">2019-12-29T02:16:43Z</dcterms:modified>
</cp:coreProperties>
</file>