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0" w:lineRule="exact"/>
        <w:rPr>
          <w:sz w:val="24"/>
          <w:szCs w:val="24"/>
          <w:color w:val="auto"/>
        </w:rPr>
      </w:pPr>
    </w:p>
    <w:p>
      <w:pPr>
        <w:ind w:left="1360" w:hanging="765"/>
        <w:spacing w:after="0"/>
        <w:tabs>
          <w:tab w:leader="none" w:pos="1360" w:val="left"/>
        </w:tabs>
        <w:numPr>
          <w:ilvl w:val="0"/>
          <w:numId w:val="1"/>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jc w:val="center"/>
        <w:spacing w:after="0" w:line="215" w:lineRule="auto"/>
        <w:rPr>
          <w:sz w:val="20"/>
          <w:szCs w:val="20"/>
          <w:color w:val="auto"/>
        </w:rPr>
      </w:pPr>
      <w:r>
        <w:rPr>
          <w:rFonts w:ascii="Times New Roman" w:cs="Times New Roman" w:eastAsia="Times New Roman" w:hAnsi="Times New Roman"/>
          <w:sz w:val="13"/>
          <w:szCs w:val="13"/>
          <w:b w:val="1"/>
          <w:bCs w:val="1"/>
          <w:color w:val="auto"/>
        </w:rPr>
        <w:t>For the fiscal year ended April 30, 2026</w:t>
      </w:r>
    </w:p>
    <w:p>
      <w:pPr>
        <w:ind w:left="1360" w:hanging="765"/>
        <w:spacing w:after="0" w:line="216" w:lineRule="auto"/>
        <w:tabs>
          <w:tab w:leader="none" w:pos="1360" w:val="left"/>
        </w:tabs>
        <w:numPr>
          <w:ilvl w:val="0"/>
          <w:numId w:val="2"/>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57"/>
        </w:trPr>
        <w:tc>
          <w:tcPr>
            <w:tcW w:w="2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720" w:type="dxa"/>
            <w:vAlign w:val="bottom"/>
            <w:gridSpan w:val="2"/>
          </w:tcPr>
          <w:p>
            <w:pPr>
              <w:jc w:val="center"/>
              <w:ind w:right="3458"/>
              <w:spacing w:after="0"/>
              <w:rPr>
                <w:sz w:val="20"/>
                <w:szCs w:val="20"/>
                <w:color w:val="auto"/>
              </w:rPr>
            </w:pPr>
            <w:r>
              <w:rPr>
                <w:rFonts w:ascii="Times New Roman" w:cs="Times New Roman" w:eastAsia="Times New Roman" w:hAnsi="Times New Roman"/>
                <w:sz w:val="18"/>
                <w:szCs w:val="18"/>
                <w:b w:val="1"/>
                <w:bCs w:val="1"/>
                <w:color w:val="auto"/>
              </w:rPr>
              <w:t>Commission file number 001-33261</w:t>
            </w:r>
          </w:p>
        </w:tc>
      </w:tr>
      <w:tr>
        <w:trPr>
          <w:trHeight w:val="346"/>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2"/>
          </w:tcPr>
          <w:p>
            <w:pPr>
              <w:jc w:val="center"/>
              <w:ind w:right="3458"/>
              <w:spacing w:after="0"/>
              <w:rPr>
                <w:sz w:val="20"/>
                <w:szCs w:val="20"/>
                <w:color w:val="auto"/>
              </w:rPr>
            </w:pPr>
            <w:r>
              <w:rPr>
                <w:rFonts w:ascii="Times New Roman" w:cs="Times New Roman" w:eastAsia="Times New Roman" w:hAnsi="Times New Roman"/>
                <w:sz w:val="25"/>
                <w:szCs w:val="25"/>
                <w:b w:val="1"/>
                <w:bCs w:val="1"/>
                <w:color w:val="auto"/>
              </w:rPr>
              <w:t>AEROVIRONMENT, INC.</w:t>
            </w:r>
          </w:p>
        </w:tc>
      </w:tr>
      <w:tr>
        <w:trPr>
          <w:trHeight w:val="234"/>
        </w:trPr>
        <w:tc>
          <w:tcPr>
            <w:tcW w:w="2880" w:type="dxa"/>
            <w:vAlign w:val="bottom"/>
          </w:tcPr>
          <w:p>
            <w:pPr>
              <w:spacing w:after="0"/>
              <w:rPr>
                <w:sz w:val="20"/>
                <w:szCs w:val="20"/>
                <w:color w:val="auto"/>
              </w:rPr>
            </w:pPr>
          </w:p>
        </w:tc>
        <w:tc>
          <w:tcPr>
            <w:tcW w:w="7340" w:type="dxa"/>
            <w:vAlign w:val="bottom"/>
            <w:gridSpan w:val="4"/>
          </w:tcPr>
          <w:p>
            <w:pPr>
              <w:jc w:val="center"/>
              <w:ind w:right="283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11"/>
        </w:trPr>
        <w:tc>
          <w:tcPr>
            <w:tcW w:w="2880" w:type="dxa"/>
            <w:vAlign w:val="bottom"/>
          </w:tcPr>
          <w:p>
            <w:pPr>
              <w:jc w:val="center"/>
              <w:ind w:left="2158"/>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jc w:val="right"/>
              <w:ind w:right="2198"/>
              <w:spacing w:after="0"/>
              <w:rPr>
                <w:sz w:val="20"/>
                <w:szCs w:val="20"/>
                <w:color w:val="auto"/>
              </w:rPr>
            </w:pPr>
            <w:r>
              <w:rPr>
                <w:rFonts w:ascii="Times New Roman" w:cs="Times New Roman" w:eastAsia="Times New Roman" w:hAnsi="Times New Roman"/>
                <w:sz w:val="13"/>
                <w:szCs w:val="13"/>
                <w:b w:val="1"/>
                <w:bCs w:val="1"/>
                <w:color w:val="auto"/>
              </w:rPr>
              <w:t>95-2705790</w:t>
            </w:r>
          </w:p>
        </w:tc>
      </w:tr>
      <w:tr>
        <w:trPr>
          <w:trHeight w:val="133"/>
        </w:trPr>
        <w:tc>
          <w:tcPr>
            <w:tcW w:w="5740" w:type="dxa"/>
            <w:vAlign w:val="bottom"/>
            <w:gridSpan w:val="4"/>
          </w:tcPr>
          <w:p>
            <w:pPr>
              <w:jc w:val="center"/>
              <w:ind w:right="561"/>
              <w:spacing w:after="0" w:line="133" w:lineRule="exact"/>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4480" w:type="dxa"/>
            <w:vAlign w:val="bottom"/>
          </w:tcPr>
          <w:p>
            <w:pPr>
              <w:jc w:val="center"/>
              <w:ind w:right="578"/>
              <w:spacing w:after="0" w:line="133" w:lineRule="exact"/>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135"/>
        </w:trPr>
        <w:tc>
          <w:tcPr>
            <w:tcW w:w="5740" w:type="dxa"/>
            <w:vAlign w:val="bottom"/>
            <w:gridSpan w:val="4"/>
          </w:tcPr>
          <w:p>
            <w:pPr>
              <w:jc w:val="center"/>
              <w:ind w:right="561"/>
              <w:spacing w:after="0" w:line="135" w:lineRule="exact"/>
              <w:rPr>
                <w:sz w:val="20"/>
                <w:szCs w:val="20"/>
                <w:color w:val="auto"/>
              </w:rPr>
            </w:pPr>
            <w:r>
              <w:rPr>
                <w:rFonts w:ascii="Times New Roman" w:cs="Times New Roman" w:eastAsia="Times New Roman" w:hAnsi="Times New Roman"/>
                <w:sz w:val="13"/>
                <w:szCs w:val="13"/>
                <w:b w:val="1"/>
                <w:bCs w:val="1"/>
                <w:color w:val="auto"/>
                <w:w w:val="96"/>
              </w:rPr>
              <w:t>241 18th Street South, Suite 650</w:t>
            </w:r>
          </w:p>
        </w:tc>
        <w:tc>
          <w:tcPr>
            <w:tcW w:w="4480" w:type="dxa"/>
            <w:vAlign w:val="bottom"/>
          </w:tcPr>
          <w:p>
            <w:pPr>
              <w:spacing w:after="0"/>
              <w:rPr>
                <w:sz w:val="11"/>
                <w:szCs w:val="11"/>
                <w:color w:val="auto"/>
              </w:rPr>
            </w:pPr>
          </w:p>
        </w:tc>
      </w:tr>
      <w:tr>
        <w:trPr>
          <w:trHeight w:val="137"/>
        </w:trPr>
        <w:tc>
          <w:tcPr>
            <w:tcW w:w="5740" w:type="dxa"/>
            <w:vAlign w:val="bottom"/>
            <w:gridSpan w:val="4"/>
          </w:tcPr>
          <w:p>
            <w:pPr>
              <w:jc w:val="center"/>
              <w:ind w:right="561"/>
              <w:spacing w:after="0" w:line="137" w:lineRule="exact"/>
              <w:rPr>
                <w:sz w:val="20"/>
                <w:szCs w:val="20"/>
                <w:color w:val="auto"/>
              </w:rPr>
            </w:pPr>
            <w:r>
              <w:rPr>
                <w:rFonts w:ascii="Times New Roman" w:cs="Times New Roman" w:eastAsia="Times New Roman" w:hAnsi="Times New Roman"/>
                <w:sz w:val="13"/>
                <w:szCs w:val="13"/>
                <w:b w:val="1"/>
                <w:bCs w:val="1"/>
                <w:color w:val="auto"/>
                <w:w w:val="93"/>
              </w:rPr>
              <w:t>Arlington, VA</w:t>
            </w:r>
          </w:p>
        </w:tc>
        <w:tc>
          <w:tcPr>
            <w:tcW w:w="4480" w:type="dxa"/>
            <w:vAlign w:val="bottom"/>
          </w:tcPr>
          <w:p>
            <w:pPr>
              <w:jc w:val="right"/>
              <w:ind w:right="2338"/>
              <w:spacing w:after="0" w:line="137" w:lineRule="exact"/>
              <w:rPr>
                <w:sz w:val="20"/>
                <w:szCs w:val="20"/>
                <w:color w:val="auto"/>
              </w:rPr>
            </w:pPr>
            <w:r>
              <w:rPr>
                <w:rFonts w:ascii="Times New Roman" w:cs="Times New Roman" w:eastAsia="Times New Roman" w:hAnsi="Times New Roman"/>
                <w:sz w:val="13"/>
                <w:szCs w:val="13"/>
                <w:b w:val="1"/>
                <w:bCs w:val="1"/>
                <w:color w:val="auto"/>
              </w:rPr>
              <w:t>22202</w:t>
            </w:r>
          </w:p>
        </w:tc>
      </w:tr>
      <w:tr>
        <w:trPr>
          <w:trHeight w:val="133"/>
        </w:trPr>
        <w:tc>
          <w:tcPr>
            <w:tcW w:w="5740" w:type="dxa"/>
            <w:vAlign w:val="bottom"/>
            <w:gridSpan w:val="4"/>
          </w:tcPr>
          <w:p>
            <w:pPr>
              <w:jc w:val="center"/>
              <w:ind w:right="561"/>
              <w:spacing w:after="0" w:line="133" w:lineRule="exact"/>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4480" w:type="dxa"/>
            <w:vAlign w:val="bottom"/>
          </w:tcPr>
          <w:p>
            <w:pPr>
              <w:jc w:val="center"/>
              <w:ind w:right="578"/>
              <w:spacing w:after="0" w:line="133" w:lineRule="exact"/>
              <w:rPr>
                <w:sz w:val="20"/>
                <w:szCs w:val="20"/>
                <w:color w:val="auto"/>
              </w:rPr>
            </w:pPr>
            <w:r>
              <w:rPr>
                <w:rFonts w:ascii="Times New Roman" w:cs="Times New Roman" w:eastAsia="Times New Roman" w:hAnsi="Times New Roman"/>
                <w:sz w:val="13"/>
                <w:szCs w:val="13"/>
                <w:color w:val="auto"/>
                <w:w w:val="97"/>
              </w:rPr>
              <w:t>(Zip Code)</w:t>
            </w:r>
          </w:p>
        </w:tc>
      </w:tr>
      <w:tr>
        <w:trPr>
          <w:trHeight w:val="166"/>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60" w:type="dxa"/>
            <w:vAlign w:val="bottom"/>
            <w:gridSpan w:val="3"/>
          </w:tcPr>
          <w:p>
            <w:pPr>
              <w:jc w:val="center"/>
              <w:ind w:right="3318"/>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(703) 418-2828</w:t>
            </w:r>
          </w:p>
        </w:tc>
      </w:tr>
      <w:tr>
        <w:trPr>
          <w:trHeight w:val="286"/>
        </w:trPr>
        <w:tc>
          <w:tcPr>
            <w:tcW w:w="2880" w:type="dxa"/>
            <w:vAlign w:val="bottom"/>
          </w:tcPr>
          <w:p>
            <w:pPr>
              <w:spacing w:after="0"/>
              <w:rPr>
                <w:sz w:val="24"/>
                <w:szCs w:val="24"/>
                <w:color w:val="auto"/>
              </w:rPr>
            </w:pPr>
          </w:p>
        </w:tc>
        <w:tc>
          <w:tcPr>
            <w:tcW w:w="7340" w:type="dxa"/>
            <w:vAlign w:val="bottom"/>
            <w:gridSpan w:val="4"/>
          </w:tcPr>
          <w:p>
            <w:pPr>
              <w:jc w:val="center"/>
              <w:ind w:right="283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03"/>
        </w:trPr>
        <w:tc>
          <w:tcPr>
            <w:tcW w:w="288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1"/>
                <w:szCs w:val="11"/>
                <w:b w:val="1"/>
                <w:bCs w:val="1"/>
                <w:color w:val="auto"/>
                <w:w w:val="97"/>
              </w:rPr>
              <w:t>Title of Class</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jc w:val="center"/>
              <w:ind w:left="1021"/>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448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44"/>
        </w:trPr>
        <w:tc>
          <w:tcPr>
            <w:tcW w:w="2880" w:type="dxa"/>
            <w:vAlign w:val="bottom"/>
          </w:tcPr>
          <w:p>
            <w:pPr>
              <w:jc w:val="center"/>
              <w:ind w:left="398"/>
              <w:spacing w:after="0" w:line="144" w:lineRule="exact"/>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jc w:val="center"/>
              <w:ind w:left="1021"/>
              <w:spacing w:after="0" w:line="144" w:lineRule="exact"/>
              <w:rPr>
                <w:sz w:val="20"/>
                <w:szCs w:val="20"/>
                <w:color w:val="auto"/>
              </w:rPr>
            </w:pPr>
            <w:r>
              <w:rPr>
                <w:rFonts w:ascii="Times New Roman" w:cs="Times New Roman" w:eastAsia="Times New Roman" w:hAnsi="Times New Roman"/>
                <w:sz w:val="13"/>
                <w:szCs w:val="13"/>
                <w:b w:val="1"/>
                <w:bCs w:val="1"/>
                <w:color w:val="auto"/>
                <w:w w:val="79"/>
              </w:rPr>
              <w:t>AVAV</w:t>
            </w:r>
          </w:p>
        </w:tc>
        <w:tc>
          <w:tcPr>
            <w:tcW w:w="4480" w:type="dxa"/>
            <w:vAlign w:val="bottom"/>
          </w:tcPr>
          <w:p>
            <w:pPr>
              <w:jc w:val="center"/>
              <w:ind w:left="1038"/>
              <w:spacing w:after="0" w:line="144" w:lineRule="exact"/>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40" w:lineRule="exact"/>
        <w:rPr>
          <w:sz w:val="24"/>
          <w:szCs w:val="24"/>
          <w:color w:val="auto"/>
        </w:rPr>
      </w:pPr>
    </w:p>
    <w:p>
      <w:pPr>
        <w:ind w:left="640" w:right="6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 w:lineRule="exact"/>
        <w:rPr>
          <w:sz w:val="24"/>
          <w:szCs w:val="24"/>
          <w:color w:val="auto"/>
        </w:rPr>
      </w:pPr>
    </w:p>
    <w:p>
      <w:pPr>
        <w:ind w:right="280" w:firstLine="64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9" w:lineRule="exact"/>
        <w:rPr>
          <w:sz w:val="24"/>
          <w:szCs w:val="24"/>
          <w:color w:val="auto"/>
        </w:rPr>
      </w:pPr>
    </w:p>
    <w:p>
      <w:pPr>
        <w:ind w:right="4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ind w:left="6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sectPr>
          <w:pgSz w:w="11900" w:h="16838" w:orient="portrait"/>
          <w:cols w:equalWidth="0" w:num="3">
            <w:col w:w="3160" w:space="720"/>
            <w:col w:w="2520" w:space="720"/>
            <w:col w:w="3100"/>
          </w:cols>
          <w:pgMar w:left="840" w:top="661" w:right="839" w:bottom="1440" w:gutter="0" w:footer="0" w:header="0"/>
          <w:type w:val="continuous"/>
        </w:sectPr>
      </w:pPr>
    </w:p>
    <w:p>
      <w:pPr>
        <w:spacing w:after="0" w:line="2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200" w:lineRule="exact"/>
        <w:rPr>
          <w:sz w:val="24"/>
          <w:szCs w:val="24"/>
          <w:color w:val="auto"/>
        </w:rPr>
      </w:pPr>
    </w:p>
    <w:p>
      <w:pPr>
        <w:sectPr>
          <w:pgSz w:w="11900" w:h="16838" w:orient="portrait"/>
          <w:cols w:equalWidth="0" w:num="3">
            <w:col w:w="2160" w:space="140"/>
            <w:col w:w="860" w:space="720"/>
            <w:col w:w="6340"/>
          </w:cols>
          <w:pgMar w:left="840" w:top="661" w:right="839" w:bottom="1440" w:gutter="0" w:footer="0" w:header="0"/>
          <w:type w:val="continuous"/>
        </w:sectPr>
      </w:pPr>
    </w:p>
    <w:p>
      <w:pPr>
        <w:spacing w:after="0" w:line="79" w:lineRule="exact"/>
        <w:rPr>
          <w:sz w:val="24"/>
          <w:szCs w:val="24"/>
          <w:color w:val="auto"/>
        </w:rPr>
      </w:pPr>
    </w:p>
    <w:p>
      <w:pPr>
        <w:ind w:right="340"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35" w:lineRule="exact"/>
        <w:rPr>
          <w:sz w:val="24"/>
          <w:szCs w:val="24"/>
          <w:color w:val="auto"/>
        </w:rPr>
      </w:pPr>
    </w:p>
    <w:p>
      <w:pPr>
        <w:ind w:right="48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right="20"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8"/>
          <w:szCs w:val="18"/>
          <w:color w:val="auto"/>
        </w:rPr>
        <w:t>☐</w:t>
      </w:r>
    </w:p>
    <w:p>
      <w:pPr>
        <w:ind w:left="64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based on the closing price on the NASDAQ Global Select Market on November 1, 2025 was approximately $18,333.5 million.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June 24, 2026, the issuer had 50,608,030 shares of common stock, par value $0.0001 per share, issued and outstanding.</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1" w:lineRule="exact"/>
        <w:rPr>
          <w:sz w:val="24"/>
          <w:szCs w:val="24"/>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Securities and Exchange Commission pursuant to Regulation 14A not later than 120 days after the conclusion of the registrant’s fiscal year ended April 30, 2026,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440690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63500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gridSpan w:val="11"/>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11"/>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220" w:type="dxa"/>
            <w:vAlign w:val="bottom"/>
            <w:gridSpan w:val="7"/>
            <w:vMerge w:val="restart"/>
          </w:tcPr>
          <w:p>
            <w:pPr>
              <w:spacing w:after="0"/>
              <w:rPr>
                <w:sz w:val="24"/>
                <w:szCs w:val="24"/>
                <w:color w:val="auto"/>
              </w:rPr>
            </w:pPr>
          </w:p>
        </w:tc>
        <w:tc>
          <w:tcPr>
            <w:tcW w:w="7000" w:type="dxa"/>
            <w:vAlign w:val="bottom"/>
            <w:gridSpan w:val="24"/>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4"/>
                <w:szCs w:val="14"/>
                <w:b w:val="1"/>
                <w:bCs w:val="1"/>
                <w:color w:val="auto"/>
              </w:rPr>
              <w:t xml:space="preserve"> Page</w:t>
            </w:r>
          </w:p>
        </w:tc>
        <w:tc>
          <w:tcPr>
            <w:tcW w:w="0" w:type="dxa"/>
            <w:vAlign w:val="bottom"/>
          </w:tcPr>
          <w:p>
            <w:pPr>
              <w:spacing w:after="0"/>
              <w:rPr>
                <w:sz w:val="1"/>
                <w:szCs w:val="1"/>
                <w:color w:val="auto"/>
              </w:rPr>
            </w:pPr>
          </w:p>
        </w:tc>
      </w:tr>
      <w:tr>
        <w:trPr>
          <w:trHeight w:val="160"/>
        </w:trPr>
        <w:tc>
          <w:tcPr>
            <w:tcW w:w="580" w:type="dxa"/>
            <w:vAlign w:val="bottom"/>
            <w:tcBorders>
              <w:bottom w:val="single" w:sz="8" w:color="0000EE"/>
            </w:tcBorders>
            <w:gridSpan w:val="2"/>
            <w:vMerge w:val="continue"/>
          </w:tcPr>
          <w:p>
            <w:pPr>
              <w:spacing w:after="0"/>
              <w:rPr>
                <w:sz w:val="13"/>
                <w:szCs w:val="13"/>
                <w:color w:val="auto"/>
              </w:rPr>
            </w:pPr>
          </w:p>
        </w:tc>
        <w:tc>
          <w:tcPr>
            <w:tcW w:w="220" w:type="dxa"/>
            <w:vAlign w:val="bottom"/>
            <w:gridSpan w:val="7"/>
            <w:vMerge w:val="continue"/>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30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5960" w:type="dxa"/>
            <w:vAlign w:val="bottom"/>
            <w:gridSpan w:val="22"/>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1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1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560" w:type="dxa"/>
            <w:vAlign w:val="bottom"/>
            <w:gridSpan w:val="11"/>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20" w:type="dxa"/>
            <w:vAlign w:val="bottom"/>
            <w:tcBorders>
              <w:top w:val="single" w:sz="8" w:color="0000EE"/>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5600" w:type="dxa"/>
            <w:vAlign w:val="bottom"/>
            <w:gridSpan w:val="19"/>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0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260" w:type="dxa"/>
            <w:vAlign w:val="bottom"/>
            <w:gridSpan w:val="17"/>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12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0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180" w:type="dxa"/>
            <w:vAlign w:val="bottom"/>
            <w:gridSpan w:val="16"/>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30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40" w:type="dxa"/>
            <w:vAlign w:val="bottom"/>
            <w:gridSpan w:val="2"/>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1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240" w:type="dxa"/>
            <w:vAlign w:val="bottom"/>
            <w:gridSpan w:val="6"/>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8.</w:t>
            </w:r>
          </w:p>
        </w:tc>
        <w:tc>
          <w:tcPr>
            <w:tcW w:w="30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30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6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2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1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1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5"/>
          </w:tcPr>
          <w:p>
            <w:pPr>
              <w:spacing w:after="0"/>
              <w:rPr>
                <w:sz w:val="17"/>
                <w:szCs w:val="17"/>
                <w:color w:val="auto"/>
              </w:rPr>
            </w:pPr>
          </w:p>
        </w:tc>
        <w:tc>
          <w:tcPr>
            <w:tcW w:w="4840" w:type="dxa"/>
            <w:vAlign w:val="bottom"/>
            <w:gridSpan w:val="13"/>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1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9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1640" w:type="dxa"/>
            <w:vAlign w:val="bottom"/>
            <w:gridSpan w:val="5"/>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10.</w:t>
            </w:r>
          </w:p>
        </w:tc>
        <w:tc>
          <w:tcPr>
            <w:tcW w:w="20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500" w:type="dxa"/>
            <w:vAlign w:val="bottom"/>
            <w:gridSpan w:val="7"/>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20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5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w:t>
            </w:r>
          </w:p>
        </w:tc>
        <w:tc>
          <w:tcPr>
            <w:tcW w:w="82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20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6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20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160" w:type="dxa"/>
            <w:vAlign w:val="bottom"/>
            <w:gridSpan w:val="4"/>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20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3700" w:type="dxa"/>
            <w:vAlign w:val="bottom"/>
            <w:gridSpan w:val="9"/>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(the “Securities Act”) and Section 21E of the Securities Exchange Act of 1934, as amended (the “Exchange Act”)). Forward-looking statements include our views on future financial results, financing sources, product development, capital requirements, market growth and the like, and are generally identified by terms including, but not limited to, “may,” “will,” “should,” “could,” “targets,” “projects,” “predicts,” “contemplates,” “anticipates,” “believes,” “estimates,” “expects,” “intends,” “plans,” “forecasts,” “seeks”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194"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technical and marketing difficulties inherent in major research and product development efforts;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U.S. government and allied government funding for defense procurement and research and development (“R&amp;D”) programs and the changes in the timing and/or amount of government spending and our ability to win such programs;</w:t>
      </w:r>
    </w:p>
    <w:p>
      <w:pPr>
        <w:spacing w:after="0" w:line="175"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customers, including the U.S. government and allied foreign governments, for a significant portion of our revenues;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regulatory requirements governing our contracts with the U.S. government and international customers and the results of any audit or investigation of our compliance therewith;</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 market innovator, to create new market opportunities and/or to expand into new markets;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for changes in our long-term strategy in response to future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employees, including retention of employees of acquired companies;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significant operating expenses, including components and raw materials;</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or threatened disruptions to our relationships with our distributors, suppliers, customers and employees, including shortages of components for our products, whether due to restrictions and sanctions imposed by foreign governments or otherwise;</w:t>
      </w:r>
    </w:p>
    <w:p>
      <w:pPr>
        <w:spacing w:after="0" w:line="175" w:lineRule="exact"/>
        <w:rPr>
          <w:rFonts w:ascii="Times New Roman" w:cs="Times New Roman" w:eastAsia="Times New Roman" w:hAnsi="Times New Roman"/>
          <w:sz w:val="18"/>
          <w:szCs w:val="18"/>
          <w:color w:val="auto"/>
        </w:rPr>
      </w:pPr>
    </w:p>
    <w:p>
      <w:pPr>
        <w:ind w:left="1040" w:right="299" w:hanging="315"/>
        <w:spacing w:after="0" w:line="312" w:lineRule="auto"/>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supply, demand and/or prices for our products and services and our ability to perform under existing contracts and obtain new contracts and our ability to comply with the terms of such contracts;</w:t>
      </w:r>
    </w:p>
    <w:p>
      <w:pPr>
        <w:spacing w:after="0" w:line="139" w:lineRule="exact"/>
        <w:rPr>
          <w:rFonts w:ascii="Times New Roman" w:cs="Times New Roman" w:eastAsia="Times New Roman" w:hAnsi="Times New Roman"/>
          <w:sz w:val="17"/>
          <w:szCs w:val="17"/>
          <w:color w:val="auto"/>
        </w:rPr>
      </w:pPr>
    </w:p>
    <w:p>
      <w:pPr>
        <w:jc w:val="both"/>
        <w:ind w:left="1040" w:right="55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from firms that have substantially greater resources than we have and lower-cost manufacturers and service providers, including commercial manufacturers who may seek to enhance their systems’ capabilities over time;</w:t>
      </w:r>
    </w:p>
    <w:p>
      <w:pPr>
        <w:spacing w:after="0" w:line="17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and uncertainty of obtaining and conducting international business, including export compliance and other reporting and compliance requirements;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security and cyber threats or the risk of unauthorized access to our, our customers’ and/or our suppliers’ information and systems;</w:t>
      </w:r>
    </w:p>
    <w:p>
      <w:pPr>
        <w:spacing w:after="0" w:line="161"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and the consequences to our financial position, business and reputation that could result from failing to comply with such regulatory requirements;</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integrate acquired companies into our operations, including the ability to timely and sufficiently integrate international operations into our ongoing business and compliance programs;</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and adapt to unexpected legal, regulatory and government budgetary changes, such as supply chain disruptions, public health crises, curtailments of trade, diversions of government resources to non-defense priorities, and other business restrictions affecting our ability to manufacture and sell our products and provide our services;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new products or integrate new technology into current products;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litigation activity or unfavorable results in legal proceedings, including pending class actions, or litigation that may arise from or in conjunction with our recent acquisitions;</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loan documents, outstanding convertible notes or acquisition and merger agreements for acquisitions;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 and</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the United States and elsewhere in the world, including the impact of inflation.</w:t>
      </w:r>
    </w:p>
    <w:p>
      <w:pPr>
        <w:spacing w:after="0" w:line="16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a defense technology provider delivering integrated capabilities across air, land, sea, space, and cyber. We develop and deploy autonomous systems, precision strike systems, counter-UAS technologies, space-based platforms, directed energy systems, and cyber and electronic warfare capabilities. We operate an international manufacturing footprint, delivering proven systems and capabilities in markets that we believe offer the potential for significant long-term growth. In addition, we believe that some of the innovative potential products, services and technologies in our R&amp;D pipeline will emerge as new growth platforms in the future, creating additional market opportunities. Effective May 1, 2025 in connection with our acquisition of BlueHalo Financing Topco, LLC (“BlueHalo”), we operate our business in two reportable segments: (1) Autonomous Systems (“AxS”) and (2) Space, Cyber and Directed Energy (“SCDE”).</w:t>
      </w:r>
    </w:p>
    <w:p>
      <w:pPr>
        <w:spacing w:after="0" w:line="1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Autonomous Systems</w:t>
      </w:r>
    </w:p>
    <w:p>
      <w:pPr>
        <w:spacing w:after="0" w:line="227" w:lineRule="exact"/>
        <w:rPr>
          <w:sz w:val="20"/>
          <w:szCs w:val="20"/>
          <w:color w:val="auto"/>
        </w:rPr>
      </w:pPr>
    </w:p>
    <w:p>
      <w:pPr>
        <w:ind w:left="60" w:right="1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Uncrewed Aircraft Systems (“UAS"). </w:t>
      </w:r>
      <w:r>
        <w:rPr>
          <w:rFonts w:ascii="Times New Roman" w:cs="Times New Roman" w:eastAsia="Times New Roman" w:hAnsi="Times New Roman"/>
          <w:sz w:val="18"/>
          <w:szCs w:val="18"/>
          <w:color w:val="auto"/>
        </w:rPr>
        <w:t>Our family of uncrewed systems includes Group 1-3 UAS which are deployed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globally and offer multi-mission capability, autonomy, versatility, reliability and ease of use, providing the warfighter with critical situational awareness.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UAS (“SUAS”): Small UAS in Groups 1 and 2 are designed for reliable operation at low altitudes, offering real-time observation and communication capabilities with easy transport, assembly, and quiet electric propulsion. Products include Puma LE, Puma 3 AE, Puma VTOL, P550, Raven B, and VAPOR 55 CLE. Systems within the SUAS portfolio utilize our common and interoperable handheld ground control systems and an array of spare parts and accessories.</w:t>
      </w:r>
    </w:p>
    <w:p>
      <w:pPr>
        <w:spacing w:after="0" w:line="3"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UAS (“MUAS”): Our Group 3 solutions include the JUMP 20, JUMP 20-X, and T-20. All are field-deployable and deliver extended endurance and increased payload capacity to unlock a broader set of uncrewed missions.</w:t>
      </w:r>
    </w:p>
    <w:p>
      <w:pPr>
        <w:spacing w:after="0" w:line="1" w:lineRule="exact"/>
        <w:rPr>
          <w:rFonts w:ascii="Times New Roman" w:cs="Times New Roman" w:eastAsia="Times New Roman" w:hAnsi="Times New Roman"/>
          <w:sz w:val="18"/>
          <w:szCs w:val="18"/>
          <w:color w:val="auto"/>
        </w:rPr>
      </w:pPr>
    </w:p>
    <w:p>
      <w:pPr>
        <w:ind w:left="720" w:right="79" w:hanging="319"/>
        <w:spacing w:after="0" w:line="25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AV_Halo Command and Control Software: AV_Halo, including Kinesis Command and Control Software, is a modular, hardware-agnostic software ecosystem built to orchestrate operations across air, land, sea, space, and cyber domains. The software stack is a mission-ready suite of artificial intelligence (“AI”) powered software tools providing AI driven intelligence fusion and the ability to unify command and control, surveillance, targeting, and training under one integrated framework.</w:t>
      </w:r>
    </w:p>
    <w:p>
      <w:pPr>
        <w:spacing w:after="0" w:line="18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Precision Strike and Defensive Systems (“PSDS”). </w:t>
      </w:r>
      <w:r>
        <w:rPr>
          <w:rFonts w:ascii="Times New Roman" w:cs="Times New Roman" w:eastAsia="Times New Roman" w:hAnsi="Times New Roman"/>
          <w:sz w:val="18"/>
          <w:szCs w:val="18"/>
          <w:color w:val="auto"/>
        </w:rPr>
        <w:t>This operating group includes our family of loitering munitions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(“LMS”) that deliver actionable intelligence and precision firepower modern warfighters need to achieve mission success across multiple domains and our One-Way Attack Platform, Red Dragon, a fully autonomous-capable UAS designed for precision one-way attack missions in high-threat, GPS-denied, and communications-degraded environments. Integrated Air and Missile Defense (“IAMD”), counter-UAS (“C-UAS”) capabilities in this group include our family of radio frequency detect and defeat counter drones as well as our kinetic C-UAS intercept products. Additionally, this group includes our Electronic Warfare (“EW”) solutions which provide critical tactical communication, geolocation and cyber effects capabilities utilizing modular architectures and open standards.</w:t>
      </w:r>
    </w:p>
    <w:p>
      <w:pPr>
        <w:spacing w:after="0" w:line="187" w:lineRule="exact"/>
        <w:rPr>
          <w:sz w:val="20"/>
          <w:szCs w:val="20"/>
          <w:color w:val="auto"/>
        </w:rPr>
      </w:pPr>
    </w:p>
    <w:p>
      <w:pPr>
        <w:ind w:left="720" w:right="79" w:hanging="319"/>
        <w:spacing w:after="0" w:line="253"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Strike: Our Switchblade family includes the Switchblade 300, Switchblade 400 and Switchblade 600, which are LMS that provide portable, low-signature, precision strike capabilities against static or mobile targets and Blackwing, which provides intelligence, surveillance and reconnaissance (“ISR”) capabilities. Included in Precision Strike is our one-way attack offering, Red Dragon. The Red Dragon family of products offers an autonomous capable, GPS-denied, precision-strike, one-way attack UAS engineered for scalable production and deployment. Designed to operate in disrupted, disconnected, intermittent, and low-bandwidth conditions, it delivers resilience against advanced electronic warfare threats. In addition to these products, we recently launched Mayhem 10. Mayhem 10 is an autonomous, multi-role launched effect that can deploy from air, ground, and maritime platforms. It supports a wide range of mission effects, including ISR, EW, decoy, communications relay, and precision strike.</w:t>
      </w:r>
    </w:p>
    <w:p>
      <w:pPr>
        <w:spacing w:after="0" w:line="194"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Air and Missile Defense (“IAMD”): IAMD includes Radio Frequency (“RF”) and Kinetic C-UAS. Our Titan family of solutions provides comprehensive C-UAS RF capabilities comprising multiple detection modalities and highly effective RF defeat. The new Titan 4 system offers a smaller, lighter and more powerful RF-based solution improving in many critical ways on previous capabilities. Titan 4 offers advanced threat detection and rapid response, deploying within five minutes to identify and intercept hostile drones. This autonomous system, powered by AI and machine learning (“ML”), defeats Group 1 and 2 drones, providing non-specialist operators with comprehensive situational awareness and defensive capabilities against UAS threats. Titan SV MPV3 delivers comprehensive 360° surveillance, efficiently detecting malicious SUAS via cutting edge demodulation and decryption capabilities. Titan-MS (multi-sensor) is a multi-mission, multi-threat system pairing Titan 4 with radar and Electro-Optical/Infrared capabilities thereby providing multimodal detection and defeat suitable for fixed-site installations in air, sea, and land domains. Also included is our newest C-UAS kinetic interceptor, Freedom Eagle (“FE-1”). This next-generation C-UAS drone and air defense missile system provides enhanced lethality at range against Group 3 UAS and other large aerial threats, while seamlessly integrating with existing infrastructure and command and control systems.</w:t>
      </w:r>
    </w:p>
    <w:p>
      <w:pPr>
        <w:spacing w:after="0" w:line="197" w:lineRule="exact"/>
        <w:rPr>
          <w:rFonts w:ascii="Times New Roman" w:cs="Times New Roman" w:eastAsia="Times New Roman" w:hAnsi="Times New Roman"/>
          <w:sz w:val="18"/>
          <w:szCs w:val="18"/>
          <w:color w:val="auto"/>
        </w:rPr>
      </w:pPr>
    </w:p>
    <w:p>
      <w:pPr>
        <w:ind w:left="720" w:right="219" w:hanging="319"/>
        <w:spacing w:after="0" w:line="277"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Warfare Systems: Our EW Systems are designed utilizing sensor open system architecture (“SOSA”) and modular open systems architecture (“MOSA”) standards as well as AI/ML technologies for RF signature analysis and automated detection and identification of out-of-band signals, enhancing system interoperability, modularity, and resilience to enable operational advantage across contested domains. This approach ensures seamless integration with existing defense infrastructures and allied systems, enabling cohesive and</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spacing w:after="0" w:line="258" w:lineRule="auto"/>
        <w:rPr>
          <w:sz w:val="20"/>
          <w:szCs w:val="20"/>
          <w:color w:val="auto"/>
        </w:rPr>
      </w:pPr>
      <w:r>
        <w:rPr>
          <w:rFonts w:ascii="Times New Roman" w:cs="Times New Roman" w:eastAsia="Times New Roman" w:hAnsi="Times New Roman"/>
          <w:sz w:val="18"/>
          <w:szCs w:val="18"/>
          <w:color w:val="auto"/>
        </w:rPr>
        <w:t>collaborative operations. Key products include the SharkCage Tactical Chassis, which is an expeditionary command, control, communications, computers, cyber, intelligence, surveillance and reconnaissance (“C5ISR”)/EW chassis environmentally sealed to withstand the elements associated with land, air, and sea operations as well as the extreme temperature changes associated with airborne missions, and BlueFin Angler SDR which supports multiple signals of interest and third-party waveforms.</w:t>
      </w:r>
    </w:p>
    <w:p>
      <w:pPr>
        <w:spacing w:after="0" w:line="181" w:lineRule="exact"/>
        <w:rPr>
          <w:sz w:val="20"/>
          <w:szCs w:val="20"/>
          <w:color w:val="auto"/>
        </w:rPr>
      </w:pPr>
    </w:p>
    <w:p>
      <w:pPr>
        <w:jc w:val="both"/>
        <w:ind w:left="60" w:right="5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Included in “Other” is MacCready Works, our innovation engine where autonomy, AI, and advanced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converge to deliver next-generation capabilities; Unmanned Maritime (“UUV”); and Uncrewed Ground Systems (“UGV”).</w:t>
      </w:r>
    </w:p>
    <w:p>
      <w:pPr>
        <w:spacing w:after="0" w:line="175" w:lineRule="exact"/>
        <w:rPr>
          <w:sz w:val="20"/>
          <w:szCs w:val="20"/>
          <w:color w:val="auto"/>
        </w:rPr>
      </w:pPr>
    </w:p>
    <w:p>
      <w:pPr>
        <w:ind w:left="720" w:right="199" w:hanging="319"/>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MacCready Works: MacCready Works serves as our advanced concepts and innovation organization, focused on the rapid development, prototyping and maturation of unmanned systems and related technologies, underpinned by our perception and autonomy products of AVACORE and SPOTR-EDGE. MacCready Works supports our long term growth by developing new capabilities, enabling expansion into additional mission sets and markets, and helping sustain our competitive position in unmanned systems and related defense and commercial applications. For example, our recent one way attack system, Red Dragon, was conceptualized, developed and scaled within MacCready Works, as well as the WildCat Group 3 vertical take-off and landing (“VTOL”) UAS developed for the Defense Advanced Research Projects Agency (“DARPA”).</w:t>
      </w:r>
    </w:p>
    <w:p>
      <w:pPr>
        <w:spacing w:after="0" w:line="191" w:lineRule="exact"/>
        <w:rPr>
          <w:rFonts w:ascii="Times New Roman" w:cs="Times New Roman" w:eastAsia="Times New Roman" w:hAnsi="Times New Roman"/>
          <w:sz w:val="18"/>
          <w:szCs w:val="18"/>
          <w:color w:val="auto"/>
        </w:rPr>
      </w:pPr>
    </w:p>
    <w:p>
      <w:pPr>
        <w:ind w:left="720" w:right="119" w:hanging="319"/>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Maritime: Unmanned Maritime provides effective surveillance, reconnaissance, and mine detection in contested waters. The Mission Specialist Defender platform is a robust Remotely Operated Vehicle (“ROV”) designed for precise control of the vehicle position and orientation, heavier payloads, and demanding intervention, such as rendering unexploded ordnance safe or to search and retrieve evidence. The Mission Specialist Wraith is the next-generation platform with increased autonomy, scalability, and extended operational reach. The Pro 5 and Ally are modular underwater systems for diverse operational needs, combining speed, power, efficiency and agility.</w:t>
      </w:r>
    </w:p>
    <w:p>
      <w:pPr>
        <w:spacing w:after="0" w:line="188"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Uncrewed Ground Systems: Our UGV systems support complex explosive ordnance disposal (“EOD”) operations through multi-axis manipulation and integrated tool exchange capabilities. Our UGVs have proven themselves in a variety of dangerous applications including EOD and improvised explosive devices (“IED”), hazardous materials handling (“HAZMAT”), chemical, biological, radiological, nuclear and explosive (“CBRNE”) threat assessments and special weapons and tactics (“SWAT”) team operations. Products include tEODor EVO, Telemax EVO and our newly launched TOM 50 RE, a new, compact, backpackable UGV.</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Space, Cyber and Directed Energy</w:t>
      </w:r>
    </w:p>
    <w:p>
      <w:pPr>
        <w:spacing w:after="0" w:line="227" w:lineRule="exact"/>
        <w:rPr>
          <w:sz w:val="20"/>
          <w:szCs w:val="20"/>
          <w:color w:val="auto"/>
        </w:rPr>
      </w:pPr>
    </w:p>
    <w:p>
      <w:pPr>
        <w:jc w:val="both"/>
        <w:ind w:left="60" w:right="1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Space and Directed Energy. </w:t>
      </w:r>
      <w:r>
        <w:rPr>
          <w:rFonts w:ascii="Times New Roman" w:cs="Times New Roman" w:eastAsia="Times New Roman" w:hAnsi="Times New Roman"/>
          <w:sz w:val="18"/>
          <w:szCs w:val="18"/>
          <w:color w:val="auto"/>
        </w:rPr>
        <w:t>Space technology supports satellite operations and communications, missile warning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space-based ISR. Directed energy C-UAS systems use high energy laser systems paired with AI/ML enabled sensing technology to track, identify, and defeat targets.</w:t>
      </w:r>
    </w:p>
    <w:p>
      <w:pPr>
        <w:spacing w:after="0" w:line="175" w:lineRule="exact"/>
        <w:rPr>
          <w:sz w:val="20"/>
          <w:szCs w:val="20"/>
          <w:color w:val="auto"/>
        </w:rPr>
      </w:pPr>
    </w:p>
    <w:p>
      <w:pPr>
        <w:ind w:left="720" w:right="179" w:hanging="319"/>
        <w:spacing w:after="0" w:line="254"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beamforming technology: Our proprietary multi-band/beam software defined antenna (“MSDA”) tile allows simultaneous communication with multiple satellites across different frequency bands and provides agile, resilient, and modular solutions for next-generation space operations. This technology is deployed across the BADGER product providing agile, deployable multi-beam, multi-band antennas, offering a modular, reconfigurable digital phased array for satellite communications, telemetry and EW missions and the WASP product, which provides next generation technologies in satellite communications, telemetry, EW and radar employing multiple, independently steerable, simultaneous beams at diverse center frequencies and bandwidths supporting seamless interface with both new and existing antenna reflectors.</w:t>
      </w:r>
    </w:p>
    <w:p>
      <w:pPr>
        <w:spacing w:after="0" w:line="191"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Laser Communications: High-bandwidth, secure data transmission systems for modern space operations enable Low Probability of Intercept and Low Probability of Detect communications.</w:t>
      </w:r>
    </w:p>
    <w:p>
      <w:pPr>
        <w:spacing w:after="0" w:line="161" w:lineRule="exact"/>
        <w:rPr>
          <w:rFonts w:ascii="Times New Roman" w:cs="Times New Roman" w:eastAsia="Times New Roman" w:hAnsi="Times New Roman"/>
          <w:sz w:val="18"/>
          <w:szCs w:val="18"/>
          <w:color w:val="auto"/>
        </w:rPr>
      </w:pPr>
    </w:p>
    <w:p>
      <w:pPr>
        <w:jc w:val="both"/>
        <w:ind w:left="720" w:right="219" w:hanging="319"/>
        <w:spacing w:after="0" w:line="312" w:lineRule="auto"/>
        <w:tabs>
          <w:tab w:leader="none" w:pos="7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Space-Qualified Hardware: Our trusted hardware delivered for mission critical capabilities includes line of sight stabilization and control electronics in Low Earth Orbit (“LEO”), Medium Earth Orbit (“MEO”), Geostationary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419"/>
        <w:spacing w:after="0" w:line="266" w:lineRule="auto"/>
        <w:rPr>
          <w:sz w:val="20"/>
          <w:szCs w:val="20"/>
          <w:color w:val="auto"/>
        </w:rPr>
      </w:pPr>
      <w:r>
        <w:rPr>
          <w:rFonts w:ascii="Times New Roman" w:cs="Times New Roman" w:eastAsia="Times New Roman" w:hAnsi="Times New Roman"/>
          <w:sz w:val="18"/>
          <w:szCs w:val="18"/>
          <w:color w:val="auto"/>
        </w:rPr>
        <w:t>Earth Orbit (“GEO”), and cislunar orbits. We have over 260 systems currently in orbit, including angular rate sensors, fast steering mirrors, power system controllers, command and data handling, and spacecraft attitude determination and control units.</w:t>
      </w:r>
    </w:p>
    <w:p>
      <w:pPr>
        <w:spacing w:after="0" w:line="176" w:lineRule="exact"/>
        <w:rPr>
          <w:sz w:val="20"/>
          <w:szCs w:val="20"/>
          <w:color w:val="auto"/>
        </w:rPr>
      </w:pPr>
    </w:p>
    <w:p>
      <w:pPr>
        <w:ind w:left="720" w:right="6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Phased Array Antenna Technology: Our PANTHER family of systems supports hypersonic telemetry and tracking, and other missile testing.</w:t>
      </w:r>
    </w:p>
    <w:p>
      <w:pPr>
        <w:spacing w:after="0" w:line="161" w:lineRule="exact"/>
        <w:rPr>
          <w:rFonts w:ascii="Times New Roman" w:cs="Times New Roman" w:eastAsia="Times New Roman" w:hAnsi="Times New Roman"/>
          <w:sz w:val="18"/>
          <w:szCs w:val="18"/>
          <w:color w:val="auto"/>
        </w:rPr>
      </w:pPr>
    </w:p>
    <w:p>
      <w:pPr>
        <w:ind w:left="720" w:right="99" w:hanging="319"/>
        <w:spacing w:after="0" w:line="25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Energy: The family of LOCUST Laser Weapon System (“LWS”) and LOCUST TATS both use advanced AI and engineering for an effective directed energy kill chain, tracking, identifying, and defeating targets with a high energy laser system. Designed for vehicle integration and roll-on/roll-off modularity and quick deployment, it is easily transported and integrated onto various platforms. The LOCUST X2 product has a 20 to 25-kilowatt range. The LOCUST X3 is a third-generation 20–35+ kilowatt directed energy laser weapon system designed to defeat current and emerging aerial threats, including Group 1–3 unmanned aircraft systems.</w:t>
      </w:r>
    </w:p>
    <w:p>
      <w:pPr>
        <w:spacing w:after="0" w:line="185" w:lineRule="exact"/>
        <w:rPr>
          <w:sz w:val="20"/>
          <w:szCs w:val="20"/>
          <w:color w:val="auto"/>
        </w:rPr>
      </w:pPr>
    </w:p>
    <w:p>
      <w:pPr>
        <w:ind w:left="60" w:right="1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Cyber and Mission Solutions. </w:t>
      </w:r>
      <w:r>
        <w:rPr>
          <w:rFonts w:ascii="Times New Roman" w:cs="Times New Roman" w:eastAsia="Times New Roman" w:hAnsi="Times New Roman"/>
          <w:sz w:val="18"/>
          <w:szCs w:val="18"/>
          <w:color w:val="auto"/>
        </w:rPr>
        <w:t>Our Cyber and Mission Solutions Group provides advanced cyber, intel, defense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basic/applied R&amp;D solutions that deliver mission-critical expertise and prototype development for U.S. defense, intelligence community, and national security customers.</w:t>
      </w:r>
    </w:p>
    <w:p>
      <w:pPr>
        <w:spacing w:after="0" w:line="175" w:lineRule="exact"/>
        <w:rPr>
          <w:sz w:val="20"/>
          <w:szCs w:val="20"/>
          <w:color w:val="auto"/>
        </w:rPr>
      </w:pPr>
    </w:p>
    <w:p>
      <w:pPr>
        <w:ind w:left="720" w:right="21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Our expertise spans offensive and defensive cyber capabilities, Geospatial Intelligence (“GEOINT”), Signals Intelligence (“SIGINT”), Measurement and Signature Intelligence (“MASINT”) as well as Open Source Intelligence (“OSINT”) analytics. Our cyber solutions are engineered to empower national security and defense operations with advanced tools and capabilities in both offensive and defensive cyber operations enabling full-spectrum warfare.</w:t>
      </w:r>
    </w:p>
    <w:p>
      <w:pPr>
        <w:spacing w:after="0" w:line="183" w:lineRule="exact"/>
        <w:rPr>
          <w:rFonts w:ascii="Times New Roman" w:cs="Times New Roman" w:eastAsia="Times New Roman" w:hAnsi="Times New Roman"/>
          <w:sz w:val="18"/>
          <w:szCs w:val="18"/>
          <w:color w:val="auto"/>
        </w:rPr>
      </w:pPr>
    </w:p>
    <w:p>
      <w:pPr>
        <w:ind w:left="720" w:right="23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Solutions: We provide our customers including the Department of Defense (“DoD”) high-end engineering, scientific, and operational expertise and technology to enable multi-domain solutions to support all phases of system lifecycles. Additionally, our R&amp;D capabilities are in alignment with the DoD’s six Critical Technology Areas of Applied Artificial Intelligence, Scaled Directed Energy, Scaled Hypersonics, Advanced Materials and Biomanufacturing, Battlefield Information Dominance, and Contested Logistics Technologies.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a leading defense technology provider, our strategy is to grow our business by delivering innovative, mission-critical, safe and reliable multi-domain solutions tailored to our customers’ most pressing challenges. Delivering these capabilities enables us to create new markets, gain share in existing markets, and benefit from overall market expansion with increased adoption of these critical new technologies. Our strategy involves introducing new solutions, or acquiring differentiated solutions developed by others, to enhance the value we provide to customers, while supporting profitable growth across both existing and emerging markets. By providing differentiated solutions, we believe we are positioned to compete effectively against large, well-funded, and/or incumbent competitors that may possess advantages in scope, scale, resources and relationships. Key components of this strategy include the following:</w:t>
      </w:r>
    </w:p>
    <w:p>
      <w:pPr>
        <w:spacing w:after="0" w:line="188" w:lineRule="exact"/>
        <w:rPr>
          <w:sz w:val="20"/>
          <w:szCs w:val="20"/>
          <w:color w:val="auto"/>
        </w:rPr>
      </w:pPr>
    </w:p>
    <w:p>
      <w:pPr>
        <w:ind w:left="60" w:right="159" w:firstLine="97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the market penetration of existing products and services. </w:t>
      </w:r>
      <w:r>
        <w:rPr>
          <w:rFonts w:ascii="Times New Roman" w:cs="Times New Roman" w:eastAsia="Times New Roman" w:hAnsi="Times New Roman"/>
          <w:sz w:val="18"/>
          <w:szCs w:val="18"/>
          <w:color w:val="auto"/>
        </w:rPr>
        <w:t>Our UAS, PSDS, Space and Directed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Cyber and Mission Solutions and other businesses have gained reputations as performance leaders and technology innovators in their respective markets. We intend to increase the penetration of our products and services within the U.S. military, the militaries of allied nations, other government agencies and non-government organizations, including commercial entities. Our strategy is based on the expectation that continued adoption of our solutions by the U.S. military will stimulate demand among allied nations and that exploring new applications will generate opportunities beyond the initial military market.</w:t>
      </w:r>
    </w:p>
    <w:p>
      <w:pPr>
        <w:spacing w:after="0" w:line="183" w:lineRule="exact"/>
        <w:rPr>
          <w:sz w:val="20"/>
          <w:szCs w:val="20"/>
          <w:color w:val="auto"/>
        </w:rPr>
      </w:pPr>
    </w:p>
    <w:p>
      <w:pPr>
        <w:ind w:left="60" w:right="59" w:firstLine="97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innovative new solutions into existing and new markets. </w:t>
      </w:r>
      <w:r>
        <w:rPr>
          <w:rFonts w:ascii="Times New Roman" w:cs="Times New Roman" w:eastAsia="Times New Roman" w:hAnsi="Times New Roman"/>
          <w:sz w:val="18"/>
          <w:szCs w:val="18"/>
          <w:color w:val="auto"/>
        </w:rPr>
        <w:t>Customer focused innovation is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driver of our growth. We plan to continue investing in internally funded R&amp;D projects while expanding our pursuit of customer-funded R&amp;D projects to generate revenue and develop better, more capable products, services and business models, both in response to and in anticipation of emerging customer needs. In some cases, such innovations result in upgrades to existing offerings while expanding their value among existing customers and markets. In other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cases, such innovations become entirely new solutions that enable us to address new markets, customers and business opportunities.</w:t>
      </w:r>
    </w:p>
    <w:p>
      <w:pPr>
        <w:spacing w:after="0" w:line="162" w:lineRule="exact"/>
        <w:rPr>
          <w:sz w:val="20"/>
          <w:szCs w:val="20"/>
          <w:color w:val="auto"/>
        </w:rPr>
      </w:pPr>
    </w:p>
    <w:p>
      <w:pPr>
        <w:ind w:left="60" w:right="79" w:firstLine="972"/>
        <w:spacing w:after="0" w:line="258" w:lineRule="auto"/>
        <w:rPr>
          <w:sz w:val="20"/>
          <w:szCs w:val="20"/>
          <w:color w:val="auto"/>
        </w:rPr>
      </w:pPr>
      <w:r>
        <w:rPr>
          <w:rFonts w:ascii="Times New Roman" w:cs="Times New Roman" w:eastAsia="Times New Roman" w:hAnsi="Times New Roman"/>
          <w:sz w:val="18"/>
          <w:szCs w:val="18"/>
          <w:color w:val="auto"/>
        </w:rPr>
        <w:t>We believe our strategy, which is focused on R&amp;D investments, will allow us to deliver innovative new products and services that address market needs both within and beyond our current target markets, enabling the creation of new growth opportunities. We view strategic partnerships as a means by which to further the reach of our innovative solutions by accessing new markets, customers, and complementary capabilities. We also consider acquisitions as a method to obtain valuable products, capabilities or technologies that can further enable our growth strategy.</w:t>
      </w:r>
    </w:p>
    <w:p>
      <w:pPr>
        <w:spacing w:after="0" w:line="179" w:lineRule="exact"/>
        <w:rPr>
          <w:sz w:val="20"/>
          <w:szCs w:val="20"/>
          <w:color w:val="auto"/>
        </w:rPr>
      </w:pPr>
    </w:p>
    <w:p>
      <w:pPr>
        <w:ind w:left="60" w:right="99" w:firstLine="97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Foster our entrepreneurial culture and continue to attract, develop and retain highly-skilled personnel. </w:t>
      </w:r>
      <w:r>
        <w:rPr>
          <w:rFonts w:ascii="Times New Roman" w:cs="Times New Roman" w:eastAsia="Times New Roman" w:hAnsi="Times New Roman"/>
          <w:sz w:val="18"/>
          <w:szCs w:val="18"/>
          <w:color w:val="auto"/>
        </w:rPr>
        <w:t>Our company culture encourages innovation and entrepreneurship, which helps to attract and retain highly skilled mission-focused professionals. This culture encourages the development of innovative, highly technical system solutions and business models that give us our competitive advantage. Our values guide the behavior of our team members and help maintain a positive work environment that fosters loyalty among both employees and customers. These values also support the successful integration of new team members who join through acquisitions.</w:t>
      </w:r>
    </w:p>
    <w:p>
      <w:pPr>
        <w:spacing w:after="0" w:line="182" w:lineRule="exact"/>
        <w:rPr>
          <w:sz w:val="20"/>
          <w:szCs w:val="20"/>
          <w:color w:val="auto"/>
        </w:rPr>
      </w:pPr>
    </w:p>
    <w:p>
      <w:pPr>
        <w:ind w:left="60" w:right="159" w:firstLine="97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Preserve our agility and flexibility. </w:t>
      </w:r>
      <w:r>
        <w:rPr>
          <w:rFonts w:ascii="Times New Roman" w:cs="Times New Roman" w:eastAsia="Times New Roman" w:hAnsi="Times New Roman"/>
          <w:sz w:val="18"/>
          <w:szCs w:val="18"/>
          <w:color w:val="auto"/>
        </w:rPr>
        <w:t>We respond rapidly to evolving markets, address complex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challenges, and aim to deliver new products, services, and capabilities quickly, efficiently, and affordably compared to available alternatives. We believe our agility and flexibility strengthen relationships with customers and partners and serve as key differentiators when competing against organizations with greater resources.</w:t>
      </w:r>
    </w:p>
    <w:p>
      <w:pPr>
        <w:spacing w:after="0" w:line="176" w:lineRule="exact"/>
        <w:rPr>
          <w:sz w:val="20"/>
          <w:szCs w:val="20"/>
          <w:color w:val="auto"/>
        </w:rPr>
      </w:pPr>
    </w:p>
    <w:p>
      <w:pPr>
        <w:ind w:left="60" w:right="79" w:firstLine="97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Effectively manage our growth portfolio for long-term value creation. </w:t>
      </w:r>
      <w:r>
        <w:rPr>
          <w:rFonts w:ascii="Times New Roman" w:cs="Times New Roman" w:eastAsia="Times New Roman" w:hAnsi="Times New Roman"/>
          <w:sz w:val="18"/>
          <w:szCs w:val="18"/>
          <w:color w:val="auto"/>
        </w:rPr>
        <w:t>Our production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and services present numerous investment opportunities that are expected to deliver long-term growth by providing customers with valuable new capabilities. We evaluate each opportunity independently and against other investment opportunities, to determine its relative cost, timing and potential for generation of returns. This process helps us make informed decisions regarding potential growth capital requirements. It also supports our allocation of resources based on relative risks and returns to maximize long term value creation, which is the key objective of our value creation strategy. We regularly review our portfolio to determine if and when to narrow our focus on the highest potential opportunities and exit unattractive or non-core product lines.</w:t>
      </w:r>
    </w:p>
    <w:p>
      <w:pPr>
        <w:spacing w:after="0" w:line="185" w:lineRule="exact"/>
        <w:rPr>
          <w:sz w:val="20"/>
          <w:szCs w:val="20"/>
          <w:color w:val="auto"/>
        </w:rPr>
      </w:pPr>
    </w:p>
    <w:p>
      <w:pPr>
        <w:ind w:left="60" w:right="259" w:firstLine="97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Stay engaged with our key defense customers. </w:t>
      </w:r>
      <w:r>
        <w:rPr>
          <w:rFonts w:ascii="Times New Roman" w:cs="Times New Roman" w:eastAsia="Times New Roman" w:hAnsi="Times New Roman"/>
          <w:sz w:val="18"/>
          <w:szCs w:val="18"/>
          <w:color w:val="auto"/>
        </w:rPr>
        <w:t>We receive support from members within our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Advisory Group (“SAG”), which provides executive level advice to our senior leaders on all matters relating to the DoD. SAG members are highly qualified former members of the U.S. DoD, including retired General and Flag Officers and Senior Executive Service members, each with many decades of experience. We also have a government relations team comprised of individuals with prior military, government and policy making experience who regularly meet with key decision makers within the Pentagon, Congress and other key organizations within the U.S. government. Our global business development organization seeks to understand customer needs, responds to information requests, submits proposals, solicits feedback on the performance of our products and services, furnishes spares, and provides training and customer support. Finally, our project and program managers work intimately with customers to oversee the design, development, testing, manufacturing and delivery of solutions the customers want and need.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sell the majority of our products and services to the U.S. DoD, serving branches such as the U.S. Army, Marine Corps, Special Operations Command, Air Force, Navy, Space Force, and Cyber Command; the intelligence community agencies; federal and public safety agencies; allied governments and coalition partners through direct commercial sales or foreign military sales; and commercial customers, supporting critical infrastructure protection, open-source intelligence operations, and advanced research initiatives.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During our fiscal year ended April 30, 2026, we generated approximately 25% of our revenue from the U.S. Army pursuant to orders placed under contract by the U.S. Army on behalf of itself as well as for several other organizations within the U.S. DoD. For that same period, other U.S. government agencies and government subcontractors accounted for 47% of our sales revenue. However, no individual contract accounted for greater than 10% of funded backlog as of April 30, 2026.</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299" w:firstLine="648"/>
        <w:spacing w:after="0" w:line="289" w:lineRule="auto"/>
        <w:rPr>
          <w:sz w:val="20"/>
          <w:szCs w:val="20"/>
          <w:color w:val="auto"/>
        </w:rPr>
      </w:pPr>
      <w:r>
        <w:rPr>
          <w:rFonts w:ascii="Times New Roman" w:cs="Times New Roman" w:eastAsia="Times New Roman" w:hAnsi="Times New Roman"/>
          <w:sz w:val="17"/>
          <w:szCs w:val="17"/>
          <w:color w:val="auto"/>
        </w:rPr>
        <w:t>Sales revenue to foreign customers, inclusive of foreign military sales made through the U.S. DoD, commercial and consumer customers accounted for 28% of sales revenue during our fiscal year ended April 30, 2026. No individual foreign country accounted for greater than 10% of total sales revenue during our fiscal year ended April 30, 2026.</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Technological Competence and Intellectual Property</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 component of our ongoing innovation is a screening process that helps our business managers identify early market needs, which assists us in making timely investments in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We constantly revisit our customer requirement assumptions to evaluate continued investment and to seek to ensure that our products and services deliver high value as well as high returns.</w:t>
      </w:r>
    </w:p>
    <w:p>
      <w:pPr>
        <w:spacing w:after="0" w:line="192"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As of April 30, 2026 we had received and retained 407 U.S. patents, had 64 pending U.S. patent applications; and had numerous foreign patents and pending applications. In many cases, when appropriate and to preserve confidentiality, we opt to protect our intellectual property through trade secrets as opposed to filing for patent protection. We recently filed trademark applications for our new stylized corporate AV logo incorporating a halo feature, as well as the mark All Domain Dominance. Further, we have many U.S. registered trademarks including those for AeroVironment, AV, Switchblade, Raven, VAPOR, Arcturus UAV, JUMP, Tomahawk Robotics, and Kinesis, P550 QUANTIX, WASP, SNIPE, CRYSALIS, and have several pending applications for trademark registration.</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U.S. government licenses some of our intellectual property that was specifically developed in performance of government contracts and may use or authorize others to use this intellectual property. In some cases, we fund the development of certain intellectual property to maximize its value and limit its use by potential competitors. While the development and protection of our intellectual property are integral to the continued success of our business, the loss or limitation of rights to any particular piece of intellectual property would not be expected to have a material adverse effect on our overall business.</w:t>
      </w:r>
    </w:p>
    <w:p>
      <w:pPr>
        <w:spacing w:after="0" w:line="1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of Projects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 core component of our business strategy is the focused development and commercialization of innovative solutions that we believe have the potential to become new products or services that create large new markets or accelerate growth within our existing markets. We invest in an active pipeline of these commercialization projects ranging in maturity from technology validation to early market adoption. We cannot predict when, if ever, we will successfully commercialize these projects, or the exact level of capital expenditures they could require, which could be substantial.</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Technological Capabilities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core technological capabilities, developed by more than 50 years of innovation, include robotics and robotics systems autonomy; modular open systems architecture; sensor design, development, miniaturization and integration; embedded software and firmware; miniature, low power, secure wireless digital communications and networks; lightweight aerostructures; high-altitude systems design, integration and operations; machine vision, machine learning, AI and autonomy; land, maritime and air deployment of munitions and aircraft systems; design and qualification for robotics in extreme terrestrial and space environments; low SWaP (Size, Weight and Power) system design and integration; collaborative multi-robotic crewed and uncrewed mission operation; power electronics and electric propulsion systems; efficient electric power conversion, storage systems and high density energy packaging; controls and systems integration; vertical takeoff and landing for fixed wing and hybrid aircraft and rotocraft systems; image stabilization and target tracking; advanced flight control systems; fluid dynamics; human-machine interface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9"/>
        <w:spacing w:after="0" w:line="282" w:lineRule="auto"/>
        <w:rPr>
          <w:sz w:val="20"/>
          <w:szCs w:val="20"/>
          <w:color w:val="auto"/>
        </w:rPr>
      </w:pPr>
      <w:r>
        <w:rPr>
          <w:rFonts w:ascii="Times New Roman" w:cs="Times New Roman" w:eastAsia="Times New Roman" w:hAnsi="Times New Roman"/>
          <w:sz w:val="18"/>
          <w:szCs w:val="18"/>
          <w:color w:val="auto"/>
        </w:rPr>
        <w:t>development; modular dismounted, networked multi-domain robotic control interfaces and analytic processing architecture; and integrated mission solutions for austere environments.</w:t>
      </w:r>
    </w:p>
    <w:p>
      <w:pPr>
        <w:spacing w:after="0" w:line="162"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The BlueHalo acquisition significantly enhanced our core technological capabilities, which now include advanced RF system design and development, software defined digital phased array antennas and radars, space qualified electronics, laser communication technologies, software defined radios, electronic warfare technology, target acquisition and tracking, directed energy-based weapons systems for counter uncrewed systems, RF-based systems for counter uncrewed, next generation counter uncrewed system missile technology, extended reality and virtual reality systems for training, modeling and simulation, hardware in the loop simulations, C2 sensing and tracking, uncrewed maritime platforms, uncrewed aerial platforms, full spectrum cyber operations, tactical mission networks, multi-int data analytics and threat intelligence, tools and analytics for GEOINT, SIGNINT, MASINT and OSINT, aerospace power and propulsion, material and processes, directed energy, photonics and electronics, biological and nanoscale technology, and health and human performance.</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believe the principal competitive factors in the markets for our products and services include product performance; safety; innovative features; acquisition cost; lifetime operating cost, including maintenance and support; ease of use; rapid integration with existing equipment and processes; quality; reliability; customer support; and brand reputation. Several companies across the globe, primarily in the U.S., attempt to compete in our markets to some degree, although we believe none match the breadth and depth of our product lines nor our expertise in core capabilities.</w:t>
      </w:r>
    </w:p>
    <w:p>
      <w:pPr>
        <w:spacing w:after="0" w:line="183"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The defense market for UAS continues to evolve in response to changing technologies, shifting customer needs and expectations and the potential introduction of new products. Our current principal competitors include Elbit Systems Ltd., Quantum-Systems, Inc., Redwire Corporation, Teledyne Technologies, Inc., Sierra Nevada Corporation, Lockheed Martin Corporation, The Boeing Company, Textron, Inc., Shield AI, Inc., Northrop Grumman Corporation, Griffon Aerospace, Inc., L3Harris Technologies, Inc., Anduril Industries, Inc., Airbus SE and Israeli Aircraft Industries.</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defense and technology markets for Precision Strike and Defensive products and solutions are highly competitive, evolving with rapid technological advancements and shifting customer needs. Competitors in the LMS market include Textron Inc., RTX Corporation, Lockheed Martin Corporation, Anduril Industries, Inc., Aevex Corp., SpektreWorks, Inc., Dragoon Technology LLC, Cummings Aerospace, Inc., Elbit Systems Ltd., and UVision Air Ltd. Competitors in the C-UAS and Electronic Warfare markets include Anduril Industries, Inc., The Boeing Company, Lockheed Martin Corporation, RTX Corporation, DroneShield Limited, SRC Inc., Polaris, Inc., CACI International Inc., Northrop Grumman Corporation, L3Harris Technologies, Inc., and other emerging technology firms and international players.</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space technology and directed energy market includes competitors such as The Boeing Company, Lockheed Martin Corporation, L3Harris Technologies, Inc., BAE Systems, Inc., nLIGHT, Inc., Epirus, Inc., EO Solutions Corporation, Huntington Ingalls Industries, Inc., and RTX Corporation. These companies have extensive experience and resources, offering satellite systems and spacecraft engineering solutions that compete with our offerings.</w:t>
      </w:r>
    </w:p>
    <w:p>
      <w:pPr>
        <w:spacing w:after="0" w:line="180" w:lineRule="exact"/>
        <w:rPr>
          <w:sz w:val="20"/>
          <w:szCs w:val="20"/>
          <w:color w:val="auto"/>
        </w:rPr>
      </w:pPr>
    </w:p>
    <w:p>
      <w:pPr>
        <w:jc w:val="both"/>
        <w:ind w:left="60" w:right="479" w:firstLine="648"/>
        <w:spacing w:after="0" w:line="289" w:lineRule="auto"/>
        <w:rPr>
          <w:sz w:val="20"/>
          <w:szCs w:val="20"/>
          <w:color w:val="auto"/>
        </w:rPr>
      </w:pPr>
      <w:r>
        <w:rPr>
          <w:rFonts w:ascii="Times New Roman" w:cs="Times New Roman" w:eastAsia="Times New Roman" w:hAnsi="Times New Roman"/>
          <w:sz w:val="17"/>
          <w:szCs w:val="17"/>
          <w:color w:val="auto"/>
        </w:rPr>
        <w:t>The cyber and mission solutions areas are highly competitive, with principal competitors including L3Harris Technologies, Inc., Thales Group, Anduril Industries, Inc., Sierra Nevada Corporation, Lockheed Martin Corporation, Booz Allen Hamilton Inc., and Leidos Holdings, Inc. We also face competition from specialized cybersecurity firms.</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pursue a lean and efficient production strategy across our business, focusing on rapid prototyping and design, supply chain management, initial and final assembly, integration, quality and in-process/final acceptance testing. Using concurrent engineering techniques within an integrated product team structure, we rapidly prototype design concepts and products, while optimizing our designs to meet manufacturing requirements and mission capabilities which address rapidly evolving threats and customer specifications.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in infrastructure that has enabled us to meet growing demand and efficiently scale capacity to produce thousands of systems annually. By drawing upon experienced personnel across various manufacturing industries including aerospace, automotive and volume commodities, we have instituted lean production systems and leverage our International Organization for Standardization (“ISO”) certification for Quality Management Systems, integrated supply chain strategy, document control systems and process control methodologies for production. Our ISO 9001:2015 + AS9100D certified manufacturing facilities focus on continuous improvement in order to increase acceptance rates, reduce lead times, improve efficiency and lower cost.</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also provide customer service, support and training to ensure the safe and effective operation of our solutions in the field. We employ a “train the trainer” approach that enables subject matter experts within our customers to utilize our solutions at scale.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No material portion of our business is considered to be seasonal. Historically, revenue in the second half of our fiscal years has exceeded revenue in the first half and such trend is expected to continue in fiscal year 2027. The factors that affect our revenue recognition between accounting periods include the timing of new contract awards, the availability of U.S. government and international government funding, lead time to manufacture our systems to customer specification, customer acceptance and other regulatory requirements.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dependent upon the availability of materials and major components and the performance of our suppliers. Historically, we have been successful in obtaining the materials required in our manufacturing processes. We seek to manage materials supply risk through long term non-binding agreements with certain key suppliers that help stabilize pricing, reduce lead times, enhance planning accuracy and, to some degree, mitigate risk. While we believe that all such raw materials and components are available to meet our needs from various suppliers, certain supply chain constraint trends, such as increased demand for domestic suppliers, could cause delays in production and development programs and negatively impact our operating results (see Item 1A, Risk Factors—“If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information).</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recognize our employees as the most invaluable assets of our company, serving as the cornerstone of our accomplishments. With this in mind, we endeavor to establish ourselves as an employer renowned for fostering a positive work environment that encourages personal development, ensures workplace safety and promotes opportunity. We firmly believe that such a corporate culture enhances employee satisfaction while also nurturing creativity and productivity, thereby driving our continuous innovation efforts. Central to our ethos is prioritizing the employee experience, a commitment underscored by our esteemed certification from the Great Place to Work Institute, Inc., designating us as a “Great Place to Work” each year since 2019.</w:t>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As of April 30, 2026, we had 3,991 full time employees and 100 part time employees, of whom 2,366 were in R&amp;D and engineering, 181 were in sales and marketing, 637 were in operations and 907 were general and administrative personnel including over 208 employees with a PhD.</w:t>
      </w:r>
    </w:p>
    <w:p>
      <w:pPr>
        <w:spacing w:after="0" w:line="1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Retention and Development</w:t>
      </w:r>
    </w:p>
    <w:p>
      <w:pPr>
        <w:spacing w:after="0" w:line="162" w:lineRule="exact"/>
        <w:rPr>
          <w:sz w:val="20"/>
          <w:szCs w:val="20"/>
          <w:color w:val="auto"/>
        </w:rPr>
      </w:pPr>
    </w:p>
    <w:p>
      <w:pPr>
        <w:ind w:left="60" w:right="459" w:firstLine="648"/>
        <w:spacing w:after="0" w:line="289" w:lineRule="auto"/>
        <w:rPr>
          <w:sz w:val="20"/>
          <w:szCs w:val="20"/>
          <w:color w:val="auto"/>
        </w:rPr>
      </w:pPr>
      <w:r>
        <w:rPr>
          <w:rFonts w:ascii="Times New Roman" w:cs="Times New Roman" w:eastAsia="Times New Roman" w:hAnsi="Times New Roman"/>
          <w:sz w:val="17"/>
          <w:szCs w:val="17"/>
          <w:color w:val="auto"/>
        </w:rPr>
        <w:t>Our ability to attract, cultivate, and retain highly skilled individuals, particularly those with technical and engineering expertise and high-level security clearances, is paramount for the successful execution of our strategic objectives and the expansion of our enterprise. We maintain vigilant oversight of recruitment, employee retention, and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management practices. A pivotal component of our People and Culture strategy involves the recruitment of early-career professionals through collegiate programs and internships, with a specific focus on technical disciplines.</w:t>
      </w:r>
    </w:p>
    <w:p>
      <w:pPr>
        <w:spacing w:after="0" w:line="94" w:lineRule="exact"/>
        <w:rPr>
          <w:sz w:val="20"/>
          <w:szCs w:val="20"/>
          <w:color w:val="auto"/>
        </w:rPr>
      </w:pPr>
    </w:p>
    <w:p>
      <w:pPr>
        <w:ind w:left="60" w:right="139" w:firstLine="648"/>
        <w:spacing w:after="0" w:line="274" w:lineRule="auto"/>
        <w:rPr>
          <w:sz w:val="20"/>
          <w:szCs w:val="20"/>
          <w:color w:val="auto"/>
        </w:rPr>
      </w:pPr>
      <w:r>
        <w:rPr>
          <w:rFonts w:ascii="Times New Roman" w:cs="Times New Roman" w:eastAsia="Times New Roman" w:hAnsi="Times New Roman"/>
          <w:sz w:val="17"/>
          <w:szCs w:val="17"/>
          <w:color w:val="auto"/>
        </w:rPr>
        <w:t>Furthermore, we engage in regular confidential surveys to gather insights from our workforce, using the feedback to enhance our organizational environment. Our commitment to our employees is demonstrated through competitive compensation packages, including performance incentives and recognition schemes that encompass all levels within our company. We prioritize the development of our workforce through educational initiatives, training programs, and support for further education and professional certifications. Moreover, we conduct succession planning for leadership roles to ensure the sustained cultivation of a talented management cadre essential for the realization of our strategic vision.</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 and Health</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safety and health program enhances operational efficiency by offering tailored safety, health, and wellness initiatives. This program establishes secure working conditions, fosters a positive work atmosphere, enhances employee resilience, and bolsters the company's overall value. We diligently track employee health and safety metrics, setting monthly and annual goals to minimize work-related injuries and illnesses, thereby reducing the number of lost workdays and mitigating productivity setbacks resulting from such incidents. Furthermore, we extend health and wellness benefits to our employees for their well-being.</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6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Consistent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define funded backlog as remaining performance obligations under firm orders for which funding is currently appropriated to us under a customer contract. As of April 30, 2026 and 2025, our funded backlog was approximately $1,183.0 million and $726.6 million, respectively. We expect that approximately 85% of our backlog will be recognized as revenue during our fiscal year ending April 30, 2027.</w:t>
      </w:r>
    </w:p>
    <w:p>
      <w:pPr>
        <w:spacing w:after="0" w:line="11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addition to funded backlog, we also had unfunded backlog of $1,457.7 million and $774.6 million as of April 30, 2026 and 2025, respectively. The increase in unfunded backlog is primarily due to the acquisition of BlueHalo. Unfunded backlog does not meet the definition of a performance obligation under ASC 606. We define unfunded backlog as the total remaining value of awarded contracts with incremental funding yet to be received. We do not include unfunded ceiling amounts for sole-source or multi-awardee Indefinite Delivery, Indefinite Quantity (“IDIQ”) contracts in unfunded backlog. Unfunded backlog does not obligate the customer to purchase goods or services. There can be no assurance that unfunded backlog will result in any orders in any particular period, or at all.</w:t>
      </w:r>
    </w:p>
    <w:p>
      <w:pPr>
        <w:spacing w:after="0" w:line="121"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Additionally, all U.S. government contracts included in backlog, whether or not they are funded, may be terminated at the convenience of the U.S. government.</w:t>
      </w:r>
    </w:p>
    <w:p>
      <w:pPr>
        <w:spacing w:after="0" w:line="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(“DCMA”) and the Defense Contract Audit Agency (“DCAA”).</w:t>
      </w:r>
    </w:p>
    <w:p>
      <w:pPr>
        <w:spacing w:after="0" w:line="192" w:lineRule="exact"/>
        <w:rPr>
          <w:sz w:val="20"/>
          <w:szCs w:val="20"/>
          <w:color w:val="auto"/>
        </w:rPr>
      </w:pPr>
    </w:p>
    <w:p>
      <w:pPr>
        <w:ind w:left="60" w:right="579" w:firstLine="648"/>
        <w:spacing w:after="0" w:line="312" w:lineRule="auto"/>
        <w:rPr>
          <w:sz w:val="20"/>
          <w:szCs w:val="20"/>
          <w:color w:val="auto"/>
        </w:rPr>
      </w:pPr>
      <w:r>
        <w:rPr>
          <w:rFonts w:ascii="Times New Roman" w:cs="Times New Roman" w:eastAsia="Times New Roman" w:hAnsi="Times New Roman"/>
          <w:sz w:val="17"/>
          <w:szCs w:val="17"/>
          <w:color w:val="auto"/>
        </w:rPr>
        <w:t>In addition, we are subject to industry specific regulations due to the nature of the products and services we provide. For example, certain aspects of our business are subject to further regulation by additional U.S. government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authorities, including (i) the Federal Aviation Administration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(iii) the Defense Trade Controls of the U.S. Department of State that administers the International Traffic in Arms Regulations, which regulate the export of controlled technical data, defense articles and defense services, and (iv) the Export Administration Regulations as administered by the U.S. Department of Commerce’s Bureau of Industry and Security, which regulate the export of goods, software, and technology, including items that have dual-use for both commercial and military applications.</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Certain of these regulations impose substantial penalties for violations, including suspension or debarment from government contracting or subcontracting for a period of time. Furthermore, our non-U.S. operations are subject to the laws and regulations of foreign jurisdictions, which may include regulations that are more stringent than those imposed by the U.S. government on our U.S. operations.</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U.S. Government Contracting Process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sell the majority of our products and services under contracts with the U.S. government. Most of our current U.S. government contracts were awarded through a competitive bidding process. The U.S. government awards competitive bid contracts based on proposal evaluation criteria established by the procuring agency. Competitive bid contracts are awarded after a formal bid and proposal competition among providers. Following award, competitive bid contracts may be challenged by unsuccessful bidders. The funding of U.S. government programs is subject to congressional appropriations. The U.S. military funds its contracts for our products either through operational need statements or as programs of record, defined as a program which, after undergoing extensive DoD review and product testing, is included in the five year government budget cycle.</w:t>
      </w:r>
    </w:p>
    <w:p>
      <w:pPr>
        <w:spacing w:after="0" w:line="1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Material U.S. Government Contract Provisions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All contracts with the U.S. government contain provisions, and are subject to laws and regulations, that give the government rights and remedies not typically found in commercial contracts, such as rights that allow the U.S. government to terminate existing contracts for convenience; terminate contracts for default upon the occurrence of certain enumerated events; unilaterally modify contracts with regard to certain performance requirements; cancel multi-year contracts and related orders, if funds for contract performance for any subsequent year become unavailable; potentially obtain rights in, or ownership to, intellectual property associated with products and systems developed or delivered by a contractor as a result of its performance of the contract; adjust contract costs and fees on the basis of audits completed by its agencies; suspend or debar a contractor from doing business with the U.S. government; and control or prohibit the export of certain items.</w:t>
      </w:r>
    </w:p>
    <w:p>
      <w:pPr>
        <w:spacing w:after="0" w:line="188"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U.S. Government Contract Categories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There are three primary types of government contracts in our industry. These basic types of contracts are typically referred to as firm fixed price (“FFP”), cost-plus-fixed fee, cost-plus-award fee, and cost-plus-incentive fee (“Cost Plus”) and time and materials (“T&amp;M”) contracts.</w:t>
      </w:r>
    </w:p>
    <w:p>
      <w:pPr>
        <w:spacing w:after="0" w:line="174"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Fixed-Price. </w:t>
      </w:r>
      <w:r>
        <w:rPr>
          <w:rFonts w:ascii="Times New Roman" w:cs="Times New Roman" w:eastAsia="Times New Roman" w:hAnsi="Times New Roman"/>
          <w:sz w:val="18"/>
          <w:szCs w:val="18"/>
          <w:color w:val="auto"/>
        </w:rPr>
        <w:t>These contracts are not subject to adjustment by reason of costs incurred in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this type of contract, we assume the risk that we will not be able to perform at a cost below the fixed price, except for costs incurred because of contract changes ordered by the customer.</w:t>
      </w:r>
    </w:p>
    <w:p>
      <w:pPr>
        <w:spacing w:after="0" w:line="173" w:lineRule="exact"/>
        <w:rPr>
          <w:sz w:val="20"/>
          <w:szCs w:val="20"/>
          <w:color w:val="auto"/>
        </w:rPr>
      </w:pPr>
    </w:p>
    <w:p>
      <w:pPr>
        <w:ind w:left="60" w:right="43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Cost Plus. </w:t>
      </w:r>
      <w:r>
        <w:rPr>
          <w:rFonts w:ascii="Times New Roman" w:cs="Times New Roman" w:eastAsia="Times New Roman" w:hAnsi="Times New Roman"/>
          <w:sz w:val="17"/>
          <w:szCs w:val="17"/>
          <w:color w:val="auto"/>
        </w:rPr>
        <w:t>These contracts reimburse allowable costs and include types such as cost-plus-fixed fee, cost-plus-award fee, and cost-plus-incentive fee. Under each type of contract, we assume the risk that we may not be able to</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recover costs if they are not allowable under the contract terms or applicable regulations, or if the costs exceed the contract funding. They typically present lower profit margins and risk. Cost plus fixed fee contracts are cost reimbursable contracts that provide for payment of a negotiated fee that is fixed at the inception of the contract. A cost plus award fee contract is a cost reimbursable contract that provides for a fee consisting of a base amount, which may be zero, fixed at inception of the contract and an award amount, based upon the government’s satisfaction with the performance under the contract. A cost plus incentive fee contract is a cost reimbursable contract that provides for an initially negotiated fee to be adjusted later by a formula based on the relationship of total allowable costs to total target costs.</w:t>
      </w:r>
    </w:p>
    <w:p>
      <w:pPr>
        <w:spacing w:after="0" w:line="187"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Time-and-Materials. </w:t>
      </w:r>
      <w:r>
        <w:rPr>
          <w:rFonts w:ascii="Times New Roman" w:cs="Times New Roman" w:eastAsia="Times New Roman" w:hAnsi="Times New Roman"/>
          <w:sz w:val="18"/>
          <w:szCs w:val="18"/>
          <w:color w:val="auto"/>
        </w:rPr>
        <w:t>Under these contracts, our compensation is based on a fixed hourly rate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labor or skill categories. We risk reduce profitability if our actual costs exceed the costs incorporated into the fixed hourly labor rate. One variation of a standard T&amp;M contract is a T&amp;M, award fee contract. Under this type of contract, a positive or negative incentive can be earned based on achievement against specific performance metrics.</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 key contract frameworks include the following:</w:t>
      </w:r>
    </w:p>
    <w:p>
      <w:pPr>
        <w:spacing w:after="0" w:line="223"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Commercial Service Offerings (“CSO”)</w:t>
      </w:r>
      <w:r>
        <w:rPr>
          <w:rFonts w:ascii="Times New Roman" w:cs="Times New Roman" w:eastAsia="Times New Roman" w:hAnsi="Times New Roman"/>
          <w:sz w:val="18"/>
          <w:szCs w:val="18"/>
          <w:color w:val="auto"/>
        </w:rPr>
        <w:t>. These contracts are for services that we typically sell or are prepared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to the general public or to non-governmental entities for purposes other than governmental purposes, and we offer to the U.S. Government price, terms and conditions similar to those offered to its commercial customers.</w:t>
      </w:r>
    </w:p>
    <w:p>
      <w:pPr>
        <w:spacing w:after="0" w:line="17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IDIQ and IDIQ Type Contract Form. </w:t>
      </w:r>
      <w:r>
        <w:rPr>
          <w:rFonts w:ascii="Times New Roman" w:cs="Times New Roman" w:eastAsia="Times New Roman" w:hAnsi="Times New Roman"/>
          <w:sz w:val="18"/>
          <w:szCs w:val="18"/>
          <w:color w:val="auto"/>
        </w:rPr>
        <w:t>The U.S. government frequently uses IDIQ and IDIQ type contracts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contractual commitments to provide products or services over a period of time pursuant to established general terms and conditions. IDIQ and IDIQ type contracts typically have multi-year terms and unfunded ceiling amounts that enable, but do not commit, the U.S. government to purchase substantial amounts of products and services from one or more contractors.</w:t>
      </w:r>
    </w:p>
    <w:p>
      <w:pPr>
        <w:spacing w:after="0" w:line="183" w:lineRule="exact"/>
        <w:rPr>
          <w:sz w:val="20"/>
          <w:szCs w:val="20"/>
          <w:color w:val="auto"/>
        </w:rPr>
      </w:pPr>
    </w:p>
    <w:p>
      <w:pPr>
        <w:jc w:val="both"/>
        <w:ind w:left="6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Undefinitized Contractual Actions (“UCA”). </w:t>
      </w:r>
      <w:r>
        <w:rPr>
          <w:rFonts w:ascii="Times New Roman" w:cs="Times New Roman" w:eastAsia="Times New Roman" w:hAnsi="Times New Roman"/>
          <w:sz w:val="18"/>
          <w:szCs w:val="18"/>
          <w:color w:val="auto"/>
        </w:rPr>
        <w:t>Depending on the urgency of the project and the complexity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negotiation, UCAs or Letter Contracts, Basic Ordering Agreements, or Provisional Item Orders are entered into prior to finalizing the terms of a definitive contract to allow for the contractor to immediately begin performing services and/or manufacturing products.</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Unpriced Change Orders (“UCO”). </w:t>
      </w:r>
      <w:r>
        <w:rPr>
          <w:rFonts w:ascii="Times New Roman" w:cs="Times New Roman" w:eastAsia="Times New Roman" w:hAnsi="Times New Roman"/>
          <w:sz w:val="18"/>
          <w:szCs w:val="18"/>
          <w:color w:val="auto"/>
        </w:rPr>
        <w:t>UCOs are unilateral changes within the scope of a contract where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and contractor have not reached an agreement on terms, specifications, and prices. This type of change order allows the project to continue without delay while the contractor and government negotiate final terms, specifications, and prices. The existing contract is formally modified to include an agreed-upon price and other adjustments related to the change order.</w:t>
      </w:r>
    </w:p>
    <w:p>
      <w:pPr>
        <w:spacing w:after="0" w:line="183"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Transaction Authority (“OTA”). </w:t>
      </w:r>
      <w:r>
        <w:rPr>
          <w:rFonts w:ascii="Times New Roman" w:cs="Times New Roman" w:eastAsia="Times New Roman" w:hAnsi="Times New Roman"/>
          <w:sz w:val="18"/>
          <w:szCs w:val="18"/>
          <w:color w:val="auto"/>
        </w:rPr>
        <w:t>OTAs are legally binding instruments that are used to engage with non-traditional defense contractors and to facilitate the rapid development and deployment of innovative technologies. Unlike traditional government contracts, OTAs are not subject to the Federal Acquisition Regulation (FAR), providing greater flexibility in terms and conditions.</w:t>
      </w:r>
    </w:p>
    <w:p>
      <w:pPr>
        <w:spacing w:after="0" w:line="1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Contracting Process</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supply our products and services to international allied governments. Each international customer has its own laws, regulations, bureaucracy and forms of procurement agreements that present challenges in our international contracting process. Our international contracts generally result from a competitive bidding process and, to a lesser extent, sole source awards for urgent requirements or sustainment. Competitive bid contracts are awarded after a formal bid and proposal competition among providers. International competitive bidding processes are highly competitive and sometimes we face disadvantages in the bidding and evaluation process in comparison to local, domestic bidders that may receive priority or more favorable evaluations than non-domestic suppliers due to stated requirements in the local regulations that promote domestic procurements. Sole source awards are direct engagements with the procuring agency. Generally, sole source awards are utilized by our existing customers to sustain or augment their use of our products, commonly through multi-year support agreements. These agreements allow for customer logistics organizations to tailor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procurement and support efforts to the needs of the end users. International funding processes vary, are generally allocated during the applicable country’s fiscal year, are often confidential, and may be broadly allocated or targeted for specific purposes, making it difficult to forecast demand. Many of our international customers have established fleets of our UAS, which generally allows them to seek and obtain budget for yearly incremental allocations of funding. These allocations are contracted through existing multi-year support agreements which provide the customer flexibility to procure products and services when funding is available.</w:t>
      </w:r>
    </w:p>
    <w:p>
      <w:pPr>
        <w:spacing w:after="0" w:line="18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typical international customer contracts take the form of fixed price contracts and time and materials contracts. Most of our international contracts are fixed-price contracts, as their finite nature is desired by customers. Time-and-materials contracts are more common for our service work with a defined limit on funding and period of performance. Contracts with international customers often include locally advantageous provisions differing from U.S. norms, potentially complicating enforcement and receivable collection. To minimize risks, we assess each contract individually and may require banking guarantees or advance payments.</w:t>
      </w:r>
    </w:p>
    <w:p>
      <w:pPr>
        <w:spacing w:after="0" w:line="18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International sales may be Foreign Military Sales (“FMS”) or Direct Commercial Sales (“DCS”). FMS contracts are agreements between the Company and the U.S. Government, managed by the Defense Security Cooperation Agency (“DSCA”), to supply defense equipment, services, or training to foreign governments or international organizations. Under these agreements, the U.S. Government acts as the primary purchaser and intermediary, holding the contractual responsibility for delivery, while the contractor works directly with the foreign customer to define technical specifications and logistics. DCS contracts are agreements between the Company and a foreign government, international organization, or authorized foreign commercial entity, without the U.S. Government acting as the intermediary contracting party. Under DCS arrangements, the Company is contractually responsible to the foreign customer for delivery, performance, and compliance with applicable U.S. export control laws and regulations, including required licenses and approvals.</w:t>
      </w:r>
    </w:p>
    <w:p>
      <w:pPr>
        <w:spacing w:after="0" w:line="18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Some of our international contracts are subject to industrial participation or offset requirements established by the procuring government. These programs may require us to invest in local industry, source components or services from in-country suppliers, or otherwise provide economic benefits in the customer’s jurisdiction as a condition of securing or performing the contract. Failure to satisfy applicable offset obligations could result in penalties or fees.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local and non-U.S. laws and regulations relating to environmental protection, including the discharge, treatment, storage, disposal and remediation of hazardous substances and wastes. We could also be affected by future laws and regulations relating to climate change, including laws related to greenhouse gas emissions and regulating energy efficiency. These laws and regulations could lead to increased environmental compliance expenditures, increased energy and raw materials costs, and new and/or additional investment in designs and technologies. We continually assess our compliance status and management of environmental matters to ensure that our operations comply with all applicable environmental laws and regulations. Investigation, remediation and operation and maintenance costs associated with environmental compliance and management of sites are a normal, recurring part of our operations. These costs often are allowable costs under our contracts with the U.S. government. While environmental protection regulations have not had a significant adverse effect on our overall operations, it is possible that costs incurred to ensure continued environmental compliance in the future could have a material impact on our results of operations, financial condition or cash flows if additional work requirements or more stringent clean-up standards are imposed by regulators, new areas of soil, air and groundwater contamination are discovered and/or expansion of work scope are prompted as a result of investigations.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AeroVironment, Inc. was originally incorporated in California in July 1971 and reincorporated in Delaware 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2006.</w:t>
      </w:r>
    </w:p>
    <w:p>
      <w:pPr>
        <w:spacing w:after="0" w:line="199" w:lineRule="exact"/>
        <w:rPr>
          <w:sz w:val="20"/>
          <w:szCs w:val="20"/>
          <w:color w:val="auto"/>
        </w:rPr>
      </w:pPr>
    </w:p>
    <w:p>
      <w:pPr>
        <w:ind w:left="60" w:right="399" w:firstLine="648"/>
        <w:spacing w:after="0" w:line="217" w:lineRule="auto"/>
        <w:rPr>
          <w:sz w:val="20"/>
          <w:szCs w:val="20"/>
          <w:color w:val="auto"/>
        </w:rPr>
      </w:pPr>
      <w:r>
        <w:rPr>
          <w:rFonts w:ascii="Times New Roman" w:cs="Times New Roman" w:eastAsia="Times New Roman" w:hAnsi="Times New Roman"/>
          <w:sz w:val="18"/>
          <w:szCs w:val="18"/>
          <w:color w:val="auto"/>
        </w:rPr>
        <w:t>Our principal executive offices are located at 241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South, Suite 650, Arlington, Virginia 22202. Our telephone number is (703) 418-2828. Our website address is </w:t>
      </w:r>
      <w:r>
        <w:rPr>
          <w:rFonts w:ascii="Times New Roman" w:cs="Times New Roman" w:eastAsia="Times New Roman" w:hAnsi="Times New Roman"/>
          <w:sz w:val="18"/>
          <w:szCs w:val="18"/>
          <w:i w:val="1"/>
          <w:iCs w:val="1"/>
          <w:color w:val="auto"/>
        </w:rPr>
        <w:t>http://www.avinc.com</w:t>
      </w:r>
      <w:r>
        <w:rPr>
          <w:rFonts w:ascii="Times New Roman" w:cs="Times New Roman" w:eastAsia="Times New Roman" w:hAnsi="Times New Roman"/>
          <w:sz w:val="18"/>
          <w:szCs w:val="18"/>
          <w:color w:val="auto"/>
        </w:rPr>
        <w:t>. We make our website content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available for information purposes only. It should not be relied upon for investment purposes, nor is it incorporated by reference into this Annual Report.</w:t>
      </w:r>
    </w:p>
    <w:p>
      <w:pPr>
        <w:spacing w:after="0" w:line="162"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make our annual reports on Form 10-K, quarterly reports on Form 10-Q, current reports on Form 8-K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(“SEC”). You can learn more about us by reviewing our SEC filings. Our SEC reports can be accessed through the investor relations page of our website at </w:t>
      </w:r>
      <w:r>
        <w:rPr>
          <w:rFonts w:ascii="Times New Roman" w:cs="Times New Roman" w:eastAsia="Times New Roman" w:hAnsi="Times New Roman"/>
          <w:sz w:val="18"/>
          <w:szCs w:val="18"/>
          <w:i w:val="1"/>
          <w:iCs w:val="1"/>
          <w:color w:val="auto"/>
        </w:rPr>
        <w:t>http://investor.avinc.com</w:t>
      </w:r>
      <w:r>
        <w:rPr>
          <w:rFonts w:ascii="Times New Roman" w:cs="Times New Roman" w:eastAsia="Times New Roman" w:hAnsi="Times New Roman"/>
          <w:sz w:val="18"/>
          <w:szCs w:val="18"/>
          <w:color w:val="auto"/>
        </w:rPr>
        <w:t xml:space="preserve">. The SEC also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our reports, proxy statements and other information regarding us.</w:t>
      </w:r>
    </w:p>
    <w:p>
      <w:pPr>
        <w:spacing w:after="0" w:line="187" w:lineRule="exact"/>
        <w:rPr>
          <w:sz w:val="20"/>
          <w:szCs w:val="20"/>
          <w:color w:val="auto"/>
        </w:rPr>
      </w:pPr>
    </w:p>
    <w:p>
      <w:pPr>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We may announce material business and financial information to our investors using our investor relations website at https://investor.avinc.com/investor-relations. We therefore encourage investors and others interested in the company to review the information that we make available on our website, in addition to following our filings with the SEC, webcasts, press releases and conference calls. Information contained on our website is not part of this Annual Report on Form 10-K.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such risks and uncertainties, together with the other information contained in this report and in our other public filings before investing in our common stock. If any such risks and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 Statements in this section are based on our current beliefs and opinions regarding matters that could materially adversely affect our business, reputation, operations, financial condition and stock price in the future and are not representations as to whether such matters have or have not occurred previously.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risks and uncertainties that could cause our business, financial condition or operating results to be harmed. We encourage you to carefully review the full risk factors contained in this report in their entirety for additional information regarding these risks and uncertainties.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27" w:lineRule="exact"/>
        <w:rPr>
          <w:sz w:val="20"/>
          <w:szCs w:val="20"/>
          <w:color w:val="auto"/>
        </w:rPr>
      </w:pPr>
    </w:p>
    <w:p>
      <w:pPr>
        <w:ind w:left="1040" w:right="199" w:hanging="315"/>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sales to certain customers, including the U.S. government, particularly to agencies of the DoD.</w:t>
      </w:r>
    </w:p>
    <w:p>
      <w:pPr>
        <w:jc w:val="both"/>
        <w:ind w:left="1040" w:right="7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U.S. and other government budgets, changes in spending or budgetary priorities, or delays in contract awards or in the release of approved funds may significantly and adversely affect our future revenue.</w:t>
      </w:r>
    </w:p>
    <w:p>
      <w:pPr>
        <w:ind w:left="1040" w:right="29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markets for our products do not grow as expected, if we cannot expand our customer base or if our products and services do not achieve broad acceptance, then we may not be able to achieve our anticipated level of growth.</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poses potentially greater risks than our domestic business.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characterized by rapid technological change, requiring us to develop new products and product enhancements, and could render our existing products obsolete.</w:t>
      </w:r>
    </w:p>
    <w:p>
      <w:pPr>
        <w:ind w:left="1040" w:right="79" w:hanging="315"/>
        <w:spacing w:after="0" w:line="255"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difficult issues to navigate in the development and use of AI, which may result in reputational harm or liability, and failure to introduce new and innovative products that have AI capabilities could put us at a competitive disadvantage.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R&amp;D costs and devote significant resources to identifying and commercializing new products and services, which could significantly reduce our profitability and may never result in revenue to us.</w:t>
      </w:r>
    </w:p>
    <w:p>
      <w:pPr>
        <w:spacing w:after="0" w:line="1" w:lineRule="exact"/>
        <w:rPr>
          <w:rFonts w:ascii="Times New Roman" w:cs="Times New Roman" w:eastAsia="Times New Roman" w:hAnsi="Times New Roman"/>
          <w:sz w:val="18"/>
          <w:szCs w:val="18"/>
          <w:color w:val="auto"/>
        </w:rPr>
      </w:pPr>
    </w:p>
    <w:p>
      <w:pPr>
        <w:ind w:left="1040" w:right="49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competitive within our markets may be dependent upon increasing manufacturing capacity to support anticipated growth and achieving cost reductions and projected economies of scale from increasing manufacturing quantities of our products. Failing to adequately increase production capacity and achieve such reductions in manufacturing costs and projected economies of scale could materially adversely affect our business.</w:t>
      </w:r>
    </w:p>
    <w:p>
      <w:pPr>
        <w:spacing w:after="0" w:line="1"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risks in the management of our inventory, and failure to effectively manage our inventory levels may result in supply imbalances that could harm our business.</w:t>
      </w:r>
    </w:p>
    <w:p>
      <w:pPr>
        <w:ind w:left="1040" w:right="21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 w:lineRule="exact"/>
        <w:rPr>
          <w:rFonts w:ascii="Times New Roman" w:cs="Times New Roman" w:eastAsia="Times New Roman" w:hAnsi="Times New Roman"/>
          <w:sz w:val="18"/>
          <w:szCs w:val="18"/>
          <w:color w:val="auto"/>
        </w:rPr>
      </w:pPr>
    </w:p>
    <w:p>
      <w:pPr>
        <w:ind w:left="1040" w:right="71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UAS and C-UAS in urban environments may be subject to risks, such as accidental collisions and transmission interference, which may limit demand for our UAS and C-UAS in such environments and harm our business and operating results.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available external R&amp;D funding could adversely affect us.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to our, our customers’ and/or our suppliers’ information and systems could negatively impact our business.</w:t>
      </w:r>
    </w:p>
    <w:p>
      <w:pPr>
        <w:ind w:left="1040" w:right="47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or others acting on our behalf have, and may in the future engage in misconduct or other improper activities, which could cause us to lose contracts or cause us to incur significant costs.</w:t>
      </w: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 for the U.S. government and international governments may expose us to increased security risks.</w:t>
      </w:r>
    </w:p>
    <w:p>
      <w:pPr>
        <w:spacing w:after="0" w:line="9" w:lineRule="exact"/>
        <w:rPr>
          <w:rFonts w:ascii="Times New Roman" w:cs="Times New Roman" w:eastAsia="Times New Roman" w:hAnsi="Times New Roman"/>
          <w:sz w:val="18"/>
          <w:szCs w:val="18"/>
          <w:color w:val="auto"/>
        </w:rPr>
      </w:pPr>
    </w:p>
    <w:p>
      <w:pPr>
        <w:ind w:left="1040" w:right="19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be difficult to integrate, divert the attention of key personnel, disrupt our business, dilute stockholder value and impair our financial results.</w:t>
      </w:r>
    </w:p>
    <w:p>
      <w:pPr>
        <w:ind w:left="1040" w:right="539" w:hanging="315"/>
        <w:spacing w:after="0" w:line="26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borrowings under our credit facilities could adversely affect our financial condition and restrict our operating flexibility.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U.S. Government Contracts</w:t>
      </w:r>
    </w:p>
    <w:p>
      <w:pPr>
        <w:spacing w:after="0" w:line="227" w:lineRule="exact"/>
        <w:rPr>
          <w:sz w:val="20"/>
          <w:szCs w:val="20"/>
          <w:color w:val="auto"/>
        </w:rPr>
      </w:pPr>
    </w:p>
    <w:p>
      <w:pPr>
        <w:ind w:left="1040" w:right="419" w:hanging="315"/>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and our failure to comply with applicable regulations could subject us to penalties that may restrict our ability to conduct our business.</w:t>
      </w: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a negative audit or investigation by the U.S. government.</w:t>
      </w:r>
    </w:p>
    <w:p>
      <w:pPr>
        <w:spacing w:after="0" w:line="9"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establish and maintain important relationships with government agencies and prime contractors, our ability to successfully maintain and develop new business may be adversely affected.</w:t>
      </w:r>
    </w:p>
    <w:p>
      <w:pPr>
        <w:ind w:left="1040" w:right="13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contracts with the U.S. government allow it to use inventions developed under the contracts and to disclose technical data to third parties, which could harm our ability to compete.</w:t>
      </w:r>
    </w:p>
    <w:p>
      <w:pPr>
        <w:ind w:left="1040" w:right="13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p>
      <w:pPr>
        <w:spacing w:after="0" w:line="1" w:lineRule="exact"/>
        <w:rPr>
          <w:rFonts w:ascii="Times New Roman" w:cs="Times New Roman" w:eastAsia="Times New Roman" w:hAnsi="Times New Roman"/>
          <w:sz w:val="18"/>
          <w:szCs w:val="18"/>
          <w:color w:val="auto"/>
        </w:rPr>
      </w:pPr>
    </w:p>
    <w:p>
      <w:pPr>
        <w:ind w:left="1040" w:right="75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contracts are subject to a competitive bidding process that can consume significant resources without generating any revenue.</w:t>
      </w:r>
    </w:p>
    <w:p>
      <w:pPr>
        <w:ind w:left="1040" w:right="239" w:hanging="315"/>
        <w:spacing w:after="0" w:line="26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procurement rules and regulations, which increase our performance and compliance costs under our U.S. government contracts.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Legal and Regulatory Requirements</w:t>
      </w:r>
    </w:p>
    <w:p>
      <w:pPr>
        <w:spacing w:after="0" w:line="227" w:lineRule="exact"/>
        <w:rPr>
          <w:sz w:val="20"/>
          <w:szCs w:val="20"/>
          <w:color w:val="auto"/>
        </w:rPr>
      </w:pPr>
    </w:p>
    <w:p>
      <w:pPr>
        <w:ind w:left="1040" w:right="4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prohibited from shipping our products to certain countries if we are unable to obtain U.S. government authorization regarding the export of our products and services, or if current or future export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spacing w:after="0" w:line="261" w:lineRule="auto"/>
        <w:rPr>
          <w:sz w:val="20"/>
          <w:szCs w:val="20"/>
          <w:color w:val="auto"/>
        </w:rPr>
      </w:pPr>
      <w:r>
        <w:rPr>
          <w:rFonts w:ascii="Times New Roman" w:cs="Times New Roman" w:eastAsia="Times New Roman" w:hAnsi="Times New Roman"/>
          <w:sz w:val="18"/>
          <w:szCs w:val="18"/>
          <w:color w:val="auto"/>
        </w:rPr>
        <w:t>laws limit or otherwise restrict our business. In addition, failure to comply with export laws could result in fines, export restrictions and other sanctions and penalties.</w:t>
      </w:r>
    </w:p>
    <w:p>
      <w:pPr>
        <w:ind w:left="1040" w:right="41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government investigations, which could have a material adverse effect on our business, financial condition, results of operations, cash flows and equity.</w:t>
      </w:r>
    </w:p>
    <w:p>
      <w:pPr>
        <w:ind w:left="1040" w:right="99" w:hanging="315"/>
        <w:spacing w:after="0" w:line="265" w:lineRule="auto"/>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necessary regulatory approvals from the FAA or other governmental agencies, or limitations put on the use of SUAS, MUAS and C-UAS in response to public privacy concerns, may prevent us from expanding the sales of our SUAS, MUAS and C-UAS to non-military customers in the United States.</w:t>
      </w:r>
    </w:p>
    <w:p>
      <w:pPr>
        <w:ind w:left="1040" w:right="7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 w:lineRule="exact"/>
        <w:rPr>
          <w:rFonts w:ascii="Times New Roman" w:cs="Times New Roman" w:eastAsia="Times New Roman" w:hAnsi="Times New Roman"/>
          <w:sz w:val="18"/>
          <w:szCs w:val="18"/>
          <w:color w:val="auto"/>
        </w:rPr>
      </w:pPr>
    </w:p>
    <w:p>
      <w:pPr>
        <w:ind w:left="1040" w:right="259" w:hanging="315"/>
        <w:spacing w:after="0" w:line="253"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subject us to civil or criminal liability and adversely affect our business and operating results.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p>
    <w:p>
      <w:pPr>
        <w:spacing w:after="0" w:line="227" w:lineRule="exact"/>
        <w:rPr>
          <w:sz w:val="20"/>
          <w:szCs w:val="20"/>
          <w:color w:val="auto"/>
        </w:rPr>
      </w:pPr>
    </w:p>
    <w:p>
      <w:pPr>
        <w:ind w:left="1040" w:right="33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or incur significant costs in defending or enforcing our intellectual property and other proprietary rights, our business, financial condition and results of operations could be materially harmed.</w:t>
      </w:r>
    </w:p>
    <w:p>
      <w:pPr>
        <w:ind w:left="1040" w:right="299" w:hanging="315"/>
        <w:spacing w:after="0" w:line="26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by third parties for alleged infringement of their proprietary rights, which could be costly, time consuming and limit our ability to use certain technologies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Securities Markets and Investment in Our Stock</w:t>
      </w:r>
    </w:p>
    <w:p>
      <w:pPr>
        <w:spacing w:after="0" w:line="227"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fluctuate significantly.</w:t>
      </w:r>
    </w:p>
    <w:p>
      <w:pPr>
        <w:spacing w:after="0" w:line="27" w:lineRule="exact"/>
        <w:rPr>
          <w:rFonts w:ascii="Times New Roman" w:cs="Times New Roman" w:eastAsia="Times New Roman" w:hAnsi="Times New Roman"/>
          <w:sz w:val="18"/>
          <w:szCs w:val="18"/>
          <w:color w:val="auto"/>
        </w:rPr>
      </w:pPr>
    </w:p>
    <w:p>
      <w:pPr>
        <w:ind w:left="1040" w:right="239" w:hanging="315"/>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stockholder may have the ability to significantly influence all matters submitted to stockholders for approval.</w:t>
      </w: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decline because of our acquisition activity.</w:t>
      </w:r>
    </w:p>
    <w:p>
      <w:pPr>
        <w:spacing w:after="0" w:line="9" w:lineRule="exact"/>
        <w:rPr>
          <w:rFonts w:ascii="Times New Roman" w:cs="Times New Roman" w:eastAsia="Times New Roman" w:hAnsi="Times New Roman"/>
          <w:sz w:val="18"/>
          <w:szCs w:val="18"/>
          <w:color w:val="auto"/>
        </w:rPr>
      </w:pPr>
    </w:p>
    <w:p>
      <w:pPr>
        <w:ind w:left="1040" w:right="439" w:hanging="315"/>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capital when desired on favorable terms, if at all, or without dilution to our stockholders.</w:t>
      </w:r>
    </w:p>
    <w:p>
      <w:pPr>
        <w:ind w:left="1040" w:right="139" w:hanging="315"/>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acquisition of BlueHalo, BlueHalo was not a U.S. public reporting company. The obligations associated with integrating into a public company, including to remediate BlueHalo’s material weaknesses in internal control over financial reporting, may require significant resources and management attention.</w:t>
      </w:r>
    </w:p>
    <w:p>
      <w:pPr>
        <w:spacing w:after="0" w:line="1" w:lineRule="exact"/>
        <w:rPr>
          <w:rFonts w:ascii="Times New Roman" w:cs="Times New Roman" w:eastAsia="Times New Roman" w:hAnsi="Times New Roman"/>
          <w:sz w:val="18"/>
          <w:szCs w:val="18"/>
          <w:color w:val="auto"/>
        </w:rPr>
      </w:pPr>
    </w:p>
    <w:p>
      <w:pPr>
        <w:ind w:left="1040" w:right="199" w:hanging="315"/>
        <w:spacing w:after="0" w:line="26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any cash dividends on our common stock and do not anticipate paying any cash dividends in the foreseeable future.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heavily on sales to certain customers, including the U.S. government, particularly to agencies of the DoD.</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Historically, we have derived a significant portion of our total sales from the U.S. government and its agencies. Sales to the U.S. government, either as a prime contractor or subcontractor and inclusive of foreign military sales, represented approximately 85% of our revenue for the fiscal year ended April 30, 2026. The DoD, our principal U.S. government customer, accounted for approximately 63% of our revenue for the fiscal year ended April 30, 2026. We believe that the success and growth of our business for the foreseeable future will continue to depend to a significant degree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or budget cutbacks at these agencies. Recently, the reduction of government spending has been a primary focus of the federal government. In January 2025, President Trump announced an executive order establishing the Department of Government Efficiency (“DOGE”) to maximize government efficiency and productivity. In February 2025, President Trump directed DOGE to review Pentagon spending for potential waste and fraud. As a result of DOGE and other factors, the funding of U.S. government programs is uncertain. We are dependent on continued congressional appropriations and administrative allotment of funds based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on an annual budgeting process. We cannot assure you that current levels of congressional funding for our products and services will continue and that our business will not decline.</w:t>
      </w:r>
    </w:p>
    <w:p>
      <w:pPr>
        <w:spacing w:after="0" w:line="16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U.S. military funds a portion of our contracts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and the increasing government spending reviews may result in revocation of previously awarded contracts. 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spacing w:after="0" w:line="189"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are related to our products and services;</w:t>
      </w:r>
    </w:p>
    <w:p>
      <w:pPr>
        <w:spacing w:after="0" w:line="225"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laws or regulations relating to government contracting or changes to existing laws or regulations;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or public support for security and defense programs;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changes in the government appropriations and budget process;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current global threat environment and other geo-political matters;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w:t>
      </w:r>
    </w:p>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w:t>
      </w:r>
    </w:p>
    <w:p>
      <w:pPr>
        <w:spacing w:after="0" w:line="176"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U.S. and other government budgets, changes in spending or budgetary priorities, delays in contract awards or in the release of approved funds may significantly and adversely affect our future revenue.</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Because we generate a significant portion of our total sales from the U.S. government and its agencies and from foreign governments, our results of operations could be adversely affected by government spending caps, delays in the government budget process, program starts, the award of contracts or orders under existing contracts, or delays in release of funds by the federal government. Delays in the definitization of a contract could result in delayed funding, billing and payment. Our business may be adversely impacted due to shifts in the political environment and resulting changes in the government and agency leadership positions and priorities for funding. We cannot assure you that current levels of congressional funding for our products and services will continue and that our business will not decline, or that such funding will be accessible consistent with previously realized timelines due to federal budgetary review activities and potential freezes on or cancellation of various governmental programs from time to time. If annual budget appropriations or continuing resolutions are not enacted timely, we could face U.S. government shutdowns, which could adversely impact our programs and contracts with the U.S. government (the volume of which materially increased with our BlueHalo acquisition), our ability to receive timely payment from U.S. government entities, our ability to provide services to the U.S. government resulting in lost or delayed revenue under our services contracts, and our ability to timely obtain export licenses for our products and services to fulfill contracts with our international customers.</w:t>
      </w:r>
    </w:p>
    <w:p>
      <w:pPr>
        <w:spacing w:after="0" w:line="19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Additionally, there is a possibility that political decisions made by the U.S. government, such as the establishment of DOGE and the related probes into and reductions in government spending, policy changes regarding prior military commitments by the second Trump administration, including those regarding ongoing conflicts, including between Russia and Ukraine, Israel and Hamas, Israel and Iran, and the U.S. and Iran or an impasse on policy issues between the executive branch and Congress, could impact future spending and program authorizations, which may not increase or may decrease or shift to programs in areas in which we do not provide products or services or are less likely to be awarded contracts. Such changes in spending authorizations and budgetary priorities may occur as a result of shifts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spending priorities from defense-related and other programs due to, among other factors, competing demands for federal funds and the number and intensity of military conflicts. We previously received a stop-work order on an OTA for the delivery of BADGER phased array antenna systems to support Space Force’s SCAR program, and in March 2026, the customer terminated the agreement for convenience. We also previously received a stop-work order, which was lifted shortly after issuance, on certain existing U.S. government contracts previously awarded to us for foreign military sales funded by the U.S. government via foreign military financing because of shifting foreign military aid priorities. We may continue to receive future stop-work orders and/or contract cancellations for other existing U.S. government contracts due to shifting foreign military aid priorities. We cannot project the aggregate negative impact on our results of operations due to any future stop-work orders and/or contract cancellations.</w:t>
      </w:r>
    </w:p>
    <w:p>
      <w:pPr>
        <w:spacing w:after="0" w:line="184"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Military transformation and changes in overseas operational levels may affect future procurement priorities and existing programs, which could limit demand for our products and services.</w:t>
      </w:r>
    </w:p>
    <w:p>
      <w:pPr>
        <w:spacing w:after="0" w:line="15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cannot predict whether and when a reduction in overseas operational levels will occur, how future procurement priorities related to defense transformation will be impacted, including by future events such as the conflicts between Russia and Ukraine, Israel and Hamas, Israel and Iran, or the U.S. and Iran or how changes in the threat environment will impact opportunities and competition for our products and services, for existing, additional or replacement programs. While strategically, we have diversified our portfolio in an effort to mitigate the susceptibility of our business to reductions in overseas operational levels, we cannot be certain that such actions have mitigated the risk of our business to such reductions. If defense transformation or overseas operations slow down or cease in key operational areas, then our business, financial condition and results of operations could be impacted negatively.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evolving markets, which makes it difficult to evaluate our business and future prospects.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One of our key strategies is to invest in R&amp;D to drive innovation and spur growth. Our innovative solutions are often sold in new and rapidly evolving markets. Accordingly, our business and future prospects may be difficult to evaluate. We cannot accurately predict the extent to which demand for our products and services will increase, if at all. The challenges, risks and uncertainties frequently encountered by companies in rapidly evolving markets could impact our ability to do the following:</w:t>
      </w:r>
    </w:p>
    <w:p>
      <w:pPr>
        <w:spacing w:after="0" w:line="183"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revenue to maintain profitability;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maintain market share;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or manage growth in our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renew contracts;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additional engineers and other highly-qualified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commercially market new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new or changing policies and spending priorities of governments and government agencies; and</w:t>
      </w:r>
    </w:p>
    <w:p>
      <w:pPr>
        <w:spacing w:after="0" w:line="225" w:lineRule="exact"/>
        <w:rPr>
          <w:rFonts w:ascii="Times New Roman" w:cs="Times New Roman" w:eastAsia="Times New Roman" w:hAnsi="Times New Roman"/>
          <w:sz w:val="18"/>
          <w:szCs w:val="18"/>
          <w:color w:val="auto"/>
        </w:rPr>
      </w:pPr>
    </w:p>
    <w:p>
      <w:pPr>
        <w:ind w:left="1040" w:right="8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additional capital when required and on reasonable terms, including capital to refinance our substantial indebtedness.</w:t>
      </w:r>
    </w:p>
    <w:p>
      <w:pPr>
        <w:spacing w:after="0" w:line="162"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If we fail to address these and other challenges, risks and uncertainties successfully, our business, results of operations and financial condition would be materially harmed.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other firms, many of which have substantially greater resources.</w:t>
      </w:r>
    </w:p>
    <w:p>
      <w:pPr>
        <w:spacing w:after="0" w:line="229"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The defense industry is highly competitive and generally characterized by intense competition to win contracts. Our current principal competitors in the UAS market include Elbit Systems Ltd., Quantum-Systems, Inc., Redwire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Corporation, Teledyne Technologies, Inc., Sierra Nevada Corporation, Lockheed Martin Corporation, The Boeing Company, Textron, Inc., Shield AI, Inc., Northrop Grumman Corporation, Griffon Aerospace, Inc., L3Harris Technologies, Inc., Anduril Industries, Inc., Airbus SE and Israeli Aircraft Industries.</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defense and technology markets for Precision Strike and Defensive products and solutions are highly competitive, evolving with rapid technological advancements and shifting customer needs. Competitors in the LMS market include Textron Inc., RTX Corporation, Lockheed Martin Corporation, Anduril Industries, Inc., Aevex Corp., SpektreWorks, Inc., Dragoon Technology LLC, Cummings Aerospace, Inc., Elbit Systems Ltd., and UVision Air Ltd. Competitors in the C-UAS and Electronic Warfare markets include Anduril Industries, Inc., The Boeing Company, Lockheed Martin Corporation, RTX Corporation, DroneShield Limited, SRC Inc., Polaris, Inc., CACI International Inc., Northrop Grumman Corporation, L3Harris Technologies, Inc., and other emerging technology firms and international players.</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space technology and directed energy market includes competitors such as The Boeing Company, Lockheed Martin Corporation, L3Harris Technologies, Inc., BAE Systems, Inc., nLIGHT, Inc., Epirus, Inc., EO Solutions Corporation, Huntington Ingalls Industries, Inc., and RTX Corporation. These companies have extensive experience and resources, offering satellite systems and spacecraft engineering solutions that compete with our offerings.</w:t>
      </w:r>
    </w:p>
    <w:p>
      <w:pPr>
        <w:spacing w:after="0" w:line="180" w:lineRule="exact"/>
        <w:rPr>
          <w:sz w:val="20"/>
          <w:szCs w:val="20"/>
          <w:color w:val="auto"/>
        </w:rPr>
      </w:pPr>
    </w:p>
    <w:p>
      <w:pPr>
        <w:jc w:val="both"/>
        <w:ind w:left="60" w:right="479" w:firstLine="648"/>
        <w:spacing w:after="0" w:line="289" w:lineRule="auto"/>
        <w:rPr>
          <w:sz w:val="20"/>
          <w:szCs w:val="20"/>
          <w:color w:val="auto"/>
        </w:rPr>
      </w:pPr>
      <w:r>
        <w:rPr>
          <w:rFonts w:ascii="Times New Roman" w:cs="Times New Roman" w:eastAsia="Times New Roman" w:hAnsi="Times New Roman"/>
          <w:sz w:val="17"/>
          <w:szCs w:val="17"/>
          <w:color w:val="auto"/>
        </w:rPr>
        <w:t>The cyber and mission solutions areas are highly competitive, with principal competitors including L3Harris Technologies, Inc., Thales Group, Anduril Industries, Inc., Sierra Nevada Corporation, Lockheed Martin Corporation, Booz Allen Hamilton Inc., and Leidos Holdings, Inc. We also face competition from specialized cybersecurity firms.</w:t>
      </w:r>
    </w:p>
    <w:p>
      <w:pPr>
        <w:spacing w:after="0" w:line="158"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use their substantially greater resources and economies of scale to develop competing products and technologies, manufacture in high volumes more efficiently, divert sales from us by winning broader contracts or hire away our employees by offering more lucrative compensation packages. Small business competitors may be able to offer more cost-competitive solutions, due to their lower overhead costs, and take advantage of small business incentive and set aside programs for which we are ineligible. Foreign competitors may also be able to offer more cost-competitive solutions as compared to our products and services. The markets for our products and services are expanding, and competition is intensifying as additional competitors enter such markets and current competitors expand their product lines. In order to secure contracts successfully when competing with larger, well-financed companies, we may need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9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markets for our products do not grow as expected, if we cannot expand our customer base or if our products and services do not achieve broad acceptance, then we may not be able to achieve our anticipated level of growth.</w:t>
      </w:r>
    </w:p>
    <w:p>
      <w:pPr>
        <w:spacing w:after="0" w:line="15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cannot accurately predict the future growth rates or sizes of the markets for our products and services. Demand for our products and services may not increase, or may decrease, either generally or in specific markets, for particular types of products and services or during particular time periods. Historically, a large portion of our revenue has been with the U.S. government. Despite expanding our customer base to include international clients and non-military domestic agencies and making initial export breakthroughs, sustained increases in sales to international customers are not guaranteed. An increase in international sales of our product and services may not occur as anticipated. The expansion of the markets for our products in general, and the market for our products and services in particular, depends on several factors, including the following:</w:t>
      </w:r>
    </w:p>
    <w:p>
      <w:pPr>
        <w:spacing w:after="0" w:line="192"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these types of systems as solutions;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performance and reliability of our products and services and those offered by our competitors;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perceptions regarding the effectiveness and value of these types of systems;</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market our products and services internationally due to U.S. government laws and regulations;</w:t>
      </w:r>
    </w:p>
    <w:p>
      <w:pPr>
        <w:spacing w:after="0" w:line="161"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necessary regulatory approvals, including access to airspace and wireless spectrum for our uncrewed systems;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efforts and publicity regarding these types of systems and services.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poses potentially greater risks than our domestic business.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derived approximately 28% of our revenue from international sales, including U.S. government foreign military sales in which an end user is a foreign government, during the fiscal year ended April 30, 2026, down from 52% for the fiscal year ended April 30, 2025 due to BlueHalo’s lower mix of international sales. We expect to continue to derive a significant portion of our revenue from international sales, including direct sales to allied nations, and initiated through our international operations, Telerob Gesellschaft für Fernhantierungstechnik mbH (“Telerob”). Our international revenue and operations are subject to a number of material risks, including the following:</w:t>
      </w:r>
    </w:p>
    <w:p>
      <w:pPr>
        <w:spacing w:after="0" w:line="187" w:lineRule="exact"/>
        <w:rPr>
          <w:sz w:val="20"/>
          <w:szCs w:val="20"/>
          <w:color w:val="auto"/>
        </w:rPr>
      </w:pPr>
    </w:p>
    <w:p>
      <w:pPr>
        <w:ind w:left="1040" w:right="4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difficulties in obtaining any, necessary U.S. governmental authorizations for the export of our products and services to certain foreign jurisdictions;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that may adversely affect our ability to operate in foreign jurisdictions, sell certain products and services or repatriate profits to the United States;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necessity of using foreign representatives and consultants, and delays in and difficulty of validating foreign representatives and consultants;</w:t>
      </w:r>
    </w:p>
    <w:p>
      <w:pPr>
        <w:spacing w:after="0" w:line="161"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operating a business in an international location through a subsidiary or joint venture structure that may include foreign business partners, subcontractors and suppliers;</w:t>
      </w:r>
    </w:p>
    <w:p>
      <w:pPr>
        <w:spacing w:after="0" w:line="161" w:lineRule="exact"/>
        <w:rPr>
          <w:rFonts w:ascii="Times New Roman" w:cs="Times New Roman" w:eastAsia="Times New Roman" w:hAnsi="Times New Roman"/>
          <w:sz w:val="18"/>
          <w:szCs w:val="18"/>
          <w:color w:val="auto"/>
        </w:rPr>
      </w:pPr>
    </w:p>
    <w:p>
      <w:pPr>
        <w:ind w:left="1040" w:right="10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managing a workforce under foreign labor and employment laws and related organizational requirements;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shipping our products internationally through multiple jurisdictions with varying legal requirements;</w:t>
      </w:r>
    </w:p>
    <w:p>
      <w:pPr>
        <w:spacing w:after="0" w:line="161"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 and other relevant legal issues, including fewer legal protections for intellectual property;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economies and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preferences by prospective customers to purchase from local (non-U.S.) 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 geographic markets in which we operate;</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or regulations relating to non-U.S. military contracts that favor purchases from non-U.S. manufacturers over U.S. manufacturers;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in-country production and manufacturing requirements by international customers, or the inclusion of specific financial obligations, including offset obligations, in contracts with international customers;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embargoes, export controls and other trade restrictions; and</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including those pertaining to anti-corruption, anti-boycott, data protection and privacy, employment law, intellectual property, contracts and tax in the jurisdictions in which we currently operate or may operate in the future.</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Negative developments in any of these areas in one or more countries in which we operate could result in adverse effects, such as a reduction in demand for our products and services, the cancellation or delay of orders already placed, threats to our intellectual property, destabilization of performance,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operations and sales, our failure, or the failure by our employees or others working on our behalf, to comply with such laws and regulations may result in administrative, civil or criminal liabilities, including fines,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18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increasing complexity of our business, or achieve or manage our expected growth, our business could be adversely affected.</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complexity of our business has increased significantly over the last several years, most recently with the closing of our acquisition of BlueHalo in May 2025 and Empirical Systems Aerospace, Inc. (“ESAero”) in March 2026. We have increased the number of product lines being pursued, expanded international product sales and added commercial services and engaged in numerous acquisitions further expanding our operations domestically and abroad. Further, we have entered into certain credit facilities that include affirmative and negative covenants and place some restrictions on how we operate our business. Our growth has placed, and our expected growth will continue to place, a strain on our management and our administrative, operational and financial infrastructure. We anticipate further growth of headcount and facilities will be required to address expansion in our product and service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as well as an adequate support structure. If our new employees perform poorly, or if we are unsuccessful in hiring, training, managing and integrating these new employees, or retaining these or our existing employees, then our business may experience declines.</w:t>
      </w:r>
    </w:p>
    <w:p>
      <w:pPr>
        <w:spacing w:after="0" w:line="197"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76" w:lineRule="exact"/>
        <w:rPr>
          <w:sz w:val="20"/>
          <w:szCs w:val="20"/>
          <w:color w:val="auto"/>
        </w:rPr>
      </w:pPr>
    </w:p>
    <w:p>
      <w:pPr>
        <w:ind w:left="60" w:right="15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relationships may be subject to disruption due to uncertainty associated with the post-acquisition integration, which could have a material adverse effect on our results of operations, cash flows and financial position.</w:t>
      </w:r>
    </w:p>
    <w:p>
      <w:pPr>
        <w:spacing w:after="0" w:line="13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Parties with which we do business and with which BlueHalo and ESAero did business prior to our acquisitions of such companies may experience uncertainty associated with the integration, including with respect to current or future business relationships with the combined company. Our and our acquired business’ relationships may be subject to disruption as customers, distributors, suppliers, vendors, landlords, joint venture partners and other business partners may attempt to delay or defer entering into new business relationships, negotiate changes in existing business relationships or consider entering into business relationships with parties other than us. These disruptions could have a material and adverse effect on our results of operations, cash flows and financial position, as well as a material and adverse effect on our ability to realize the expected cost savings and other benefits of the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efforts to expand our offerings beyond our current markets may not succeed, which could negatively impact our operating results.</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U.S. military represents our largest source of revenue. We have, however, expanded our product sales into new market segments, such as RF and kinetic C-UAS, electronic warfare systems, uncrewed underwater vehicles, satellite communications, laser communications, and laser weapon systems from our BlueHalo acquisition. Our efforts to expand our product and service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183"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characterized by rapid technological change, requiring us to develop new products and product enhancements, and could render our existing products obsolete.</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Continuing technological changes in the market for our products could make our products and services less competitive or obsolete, either generally or for particular applications. The length and severity of the cycles in the commercial and defense industries are difficult to predict.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192"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72"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difficult issues to navigate in the development and use of AI, which may result in reputational harm or liability, and failure to introduce new and innovative products that have AI capabilities or to respond and comply with a rapidly evolving regulatory landscape could put us at a competitive disadvantage.</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currently incorporate machine learning and AI capabilities into certain of our products and solutions and may seek to expand the use of AI in our offerings in the future. As with many innovations, AI presents risks, challenges, and unintended consequences that could affect our business. AI algorithms and training methodologies may be flawed. These deficiencies and other failures of AI systems could subject us to competitive harm, regulatory action, legal liability, and brand or reputational harm. Further, incorporating AI could give rise to litigation risk and risk of non-compliance and unknown cost of compliance, as AI is an emerging technology for which the legal and regulatory landscape is not fully developed (including potential liability for breaching intellectual property or privacy rights or laws).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offerings.</w:t>
      </w:r>
    </w:p>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Additionally, leveraging AI capabilities to potentially improve internal functions and operations presents further risks and challenges. The use of AI to support business operations carries inherent risks related to data privacy and security, such as intended, unintended, or inadvertent transmission of proprietary, sensitive or export-controlled information, as well as challenges related to implementing and maintaining AI tools. Additionally, our competitors might move faster than us to gain efficiencies by incorporating AI into their design and development processes, and our products and/or cost structure could become less competitive as a result. The rapid evolution of AI will require the application of resources by us to develop, test and maintain our products, services and operations to help ensure that AI is implemented ethically in order to minimize unintended, harmful impact.</w:t>
      </w:r>
    </w:p>
    <w:p>
      <w:pPr>
        <w:spacing w:after="0" w:line="19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pace of AI proliferation within the defense industry and in the broader economy has led to a regulatory landscape characterized by uncertainty and rapid change. In particular, new and evolving laws and regulations outside the United States governing AI systems, most notably the EU Artificial Intelligence Act (the “EU AI Act”), which began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phasing in during 2025, may impose significant design, documentation, testing, transparency, human-oversight, and cybersecurity requirements on certain AI-enabled products and applications. The EU AI Act establishes a risk-based regulatory framework that classifies certain AI systems as “high-risk,” including those used in the management and operation of critical infrastructure, biometric identification, and law enforcement applications. AI systems incorporated in defense platforms may be subject to heightened regulatory scrutiny to the extent they are deemed to fall within a “high-risk” category or may fall within the scope of national security exemptions whose boundaries remain uncertain and subject to ongoing interpretation. Our Telerob subsidiary is organized and operates in Germany and some of our products and solutions are sold to customers in EU member states and other jurisdictions considering similar AI regulatory frameworks. Compliance with the EU AI Act and analogous international AI regulatory regimes could require us to modify product designs, implement additional testing and technical documentation processes, increase compliance expenditures, restrict certain AI-enabled capabilities, or limit or prohibit the commercialization of particular AI-enabled features in European or other international markets. We may not be able to anticipate or respond effectively to rapidly evolving and jurisdictionally inconsistent AI regulatory requirements, and any actual or perceived failure to comply could expose us to regulatory penalties, contract disqualification, and reputational harm.</w:t>
      </w:r>
    </w:p>
    <w:p>
      <w:pPr>
        <w:spacing w:after="0" w:line="193" w:lineRule="exact"/>
        <w:rPr>
          <w:sz w:val="20"/>
          <w:szCs w:val="20"/>
          <w:color w:val="auto"/>
        </w:rPr>
      </w:pPr>
    </w:p>
    <w:p>
      <w:pPr>
        <w:ind w:left="6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expect to incur substantial R&amp;D costs and devote significant resources to identifying and commercializing new products and services, which could significantly reduce our profitability and may never result in revenue to us.</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introducing new products and services that achieve market acceptance. We plan to incur substantial R&amp;D costs as part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efforts to design, develop and commercialize new products and services and enhance existing products. We spent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$127.7 million, or 6% of our revenue, in our fiscal year ended April 30, 2026 on internal R&amp;D activities. We believe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significant investment opportunities in a number of business areas. Because we account for internal R&amp;D as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expense, these expenditures will adversely affect our earnings in the future. Further, our R&amp;D programs may not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produce successful results, and our new products and services may not achieve market acceptance, create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or become profitable, which could materially harm our business, prospects, financial results and liquidity.</w:t>
      </w:r>
    </w:p>
    <w:p>
      <w:pPr>
        <w:spacing w:after="0" w:line="203"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products rely on complex avionics, space qualified electronics, RF-based systems, digital phased array antennas and radars, sensors, user-friendly interfaces and tightly-integrated, electromechanical designs to accomplish their missions. Despite extensive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9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existence of any defects, errors, or failures in our products or the misuse of our products could also lead to product liability claims or lawsuits against us. A defect, error or failure in one of our products could result in injury, death or property damage and significantly damage our reputation and support for our products in general. We anticipate this risk will grow as our UAS products begin to be used in U.S. domestic airspace and urban areas.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Although we maintain insurance policies, we cannot be certain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7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ability to meet customers’ demands depends, in part, on our ability to obtain timely and adequate delivery of high quality materials, components and subsystems, many of which are obtained from a select group of specialized suppliers, including some sole-source providers. In order to mitigate potential disruptions, we maintain long-term, non-binding agreements with several key suppliers that help stabilize pricing, reduce lead times and enhance planning accuracy. We do not have long-term agreements with all suppliers that obligate them to continue to sell components, products required to build our systems or products to us. Our reliance on suppliers without long-term 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spacing w:after="0" w:line="18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If any of our suppliers face capacity constraints, financial instability, or an unwillingness to provide raw materials or components to us, we may need to seek alternative suppliers or revise our designs, particularly because some of our components are sourced from foreign countries. Locating alternative sources may take significant time, and even then, we may encounter significant delays in manufacturing and shipping. Additionally, credit constraints among key suppliers could impact our cash flow. We have also experienced rising costs for components, shipping, tariffs, warehousing, and inventory. Our domestic suppliers have experienced increased demand for their products, which could impact the availability or price of our components. The permanence of these cost increases remains uncertain, and obtaining replacement components within our required time frames may prove challenging. Shortages could lead to excess inventory and potential obsolescence risks.</w:t>
      </w:r>
    </w:p>
    <w:p>
      <w:pPr>
        <w:spacing w:after="0" w:line="18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certain raw materials and components used in the manufacture of our products and in our development programs, are periodically subject to supply shortages, and our business is subject to the risks of price increases and periodic delays in delivery. The electronic components industry has experienced significant shifts in supply levels in recent years. Demand for components in the memory sector is poised for substantial growth, driven by AI applications such as large language models and generative AI. Due to the volatility of supply and increase in demand, lead times and prices for certain components, such as memory related microprocessors, may continue to experience supply and price uncertainty.</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Our products, including motors, batteries, and other advanced components, rely on rare earth metals for their manufacturing, of which a significant majority are sourced from China. Any disruption in the supply of these metals could adversely affect our ability to produce and deliver our products. Factors that might lead to such disruptions include geopolitical tensions, trade restrictions, supply chain bottlenecks, and environmental regulations affecting mining operations. A limited supply or increased cost of rare earth metals could lead to higher production costs, delays in manufacturing schedules, and potential inability to meet customer demand, thereby impacting our revenue and growth plans. Managing these risks necessitates close monitoring of supply chains, diversification of suppliers, and the pursuit of alternative materials or technologies where possible.</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Escalating restrictions between the U.S. and China contribute to supply chain complexities. In January 2024, China imposed sanctions on AeroVironment in response to sales of military equipment by the U.S. Government to Taiwan. Additionally, in March 2025, China’s Ministry of Commerce placed AeroVironment on China’s export control list. While we have not experienced, and do not expect to experience, a material negative impact on our business as a result of the announced sanctions and export restrictions, we cannot be certain that a material negative effect will not occur in the future as a result of these sanctions and restrictions or future sanctions or restrictions that may be imposed. Some of our components sourced from foreign countries, including China, are at risk of further sanctions and other trade restrictive actions, and any escalation in global trade tensions or trade restrictions may hinder our ability to obtain these components from new suppliers. Restrictions on semiconductor manufacturing equipment and raw materials could lead to higher material costs, material unavailability, and transportation uncertainty.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and cash flows can be impacted by changes in tax laws.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As a U.S.-based multinational business, we are subject to income tax in the U.S. and numerous jurisdictions outside the U.S. The relevant tax rules and regulations are complex, often changing and, in some cases, are interdependent. If these or other tax rules and regulations should change, our earnings and cash flows could be negatively impacted. Our worldwide provision for income taxes is determined, in part, through the use of significant estimates and judgments. Numerous transactions arise in the ordinary course of business where the ultimate tax determination is uncertain. We undergo tax examinations by tax authorities on a regular basis. While we believe our estimates of our tax obligations are reasonable, the final outcome after the conclusion of any tax examinations and any litigation could be materially different from what has been reflected in our historical financial statements. Due to the July 2025 reconciliation bill, commonly known as the One Big Beautiful Bill Act, and U.S. Internal Revenue Service tax capitalization rules, domestic Section 174A, which allows R&amp;D expenditures to be deducted, we expect a decrease in cash paid for U.S. federal income taxes in future fiscal years relative to prior periods.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trade policies, including the imposition of tariffs, could cause adverse impacts to our business.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the first half of 2025, we observed a significant shift in U.S. trade policy, with increased tariffs and the imposition of significant new tariffs that could have had an adverse impact our supply chain and business operation. While certain of the recently announced tariffs have been paused or invalidated by the U.S. Supreme Court, whether and to what degree they may be reinstated is uncertain at this time and may have implications for our supplier and our business. Changes in trade policies, such as new tariffs or increases in tariffs, or reactionary measures including retaliatory tariffs, legal challenges, or currency manipulation, could adversely impact us.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rely on imported materials, components, or finished goods, and if tariffs increase, our supply chain costs may rise, adversely affecting our business, results of operations and cash flows. We also manufacture internationally through Telerob, and if we are not granted exemptions from tariffs due to the nature of our business and customers, we could see greater impacts than we currently expect. Additionally, retaliatory measures, or prolonged uncertainty in trade relationships could result in supply chain disruptions, delayed shipments, or increased operational complexity, which could also adversely affect our business, results of operations and cash flows. While we intend to take steps to mitigate any impacts of tariffs or other impacts resulting from changes in trade policy, our ability to do so may be limited by operational and supply chain constraints, especially in the short term.</w:t>
      </w:r>
    </w:p>
    <w:p>
      <w:pPr>
        <w:spacing w:after="0" w:line="188"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 margins may decrease based on the mix of our contracts and programs and other factors related to our contracts.</w:t>
      </w:r>
    </w:p>
    <w:p>
      <w:pPr>
        <w:spacing w:after="0" w:line="15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general, we perform our work under FFP contracts and Cost Plus contracts. Under fixed-price contracts, we deliver products or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involve higher risks. In general, if the volume of services we perform under cost-plus-fee contracts increases relative to the volume of services we perform under fixed-price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184"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in accounting for many of our programs and changes in our estimates could adversely affect our future financial results.</w:t>
      </w:r>
    </w:p>
    <w:p>
      <w:pPr>
        <w:spacing w:after="0" w:line="15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Contract accounting requires judgments relative to assessing risks, including risks associated with estimating contract transaction prices and costs, definitization of certain contract prices,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8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overruns on our contracts could subject us to losses, decrease our operating margins and adversely affect our future business.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Fixed-price contracts (including both government and commercial contracts) represented approximately 70% of our revenue for the fiscal year ended April 30, 2026.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and key employees, including key employees of businesses recently acquired, are important to our customer relationships and overall business.</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continuing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recruit and retain highly-skilled employees to succeed in our competitive business.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Our ability to recruit and retain qualified, technical personnel, such as engineers, has been adversely impacted by the labor market. Increased restrictions on the import of foreign labor may also increase demand for engineering personnel and adversely impact our ability to hire and retain qualified personnel.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 Certain of our programs also require staffing by employees who hold high-level security clearances, the market for which is extremely competitive and not limited to the aerospace &amp; defense industry. We have experienced shortages of skilled employees that has negatively affected our progress on development programs and our results of operations. We cannot predict the extent to which these shortages will continue or the extent to which they could negatively impact our development programs and results of operations in future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stay competitive within our markets may be dependent upon increasing manufacturing capacity to support anticipated growth and achieving cost reductions and projected economies of scale from increasing manufacturing quantities of our products. Failing to adequately increase production capacity and achieve such reductions in manufacturing costs and projected economies of scale could materially adversely affect our business.</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future growth depends on increasing manufacturing capacity of our products, and our failure to adequately increase such capacity could have a material adverse impact on our business and financial results. We do not know whether or when we will be able to develop efficient, low-cost manufacturing capabilities and processes that will enable us to manufacture (or contract for the manufacture of) our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clients and markets could have a material adverse effect on our business, financial condition, results of operations and prospects. Our ability to remain competitive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During the fiscal years ended April 30, 2024 and 2023, global supply chain issues resulted in delays in procuring components for our products, and we experienced significant increases in the costs to procure certain components. The extent to which we will have reliable access to supplies that we require or be able to purchase such materials or components at cost effective prices is uncertain.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191"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risks in the management of our inventory, and failure to effectively manage our inventory levels may result in supply imbalances that could harm our business.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maintain a variety of parts and components in inventory to allow us to customize our UAS, C-UAS and space products for specific customer requirements, which parts are subject to obsolescence and expiration. Due to the long-lead time for obtaining certain product components, including in response to procurement issues caused by shortages in the supply chain for such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We may hold material amounts of inventory at third parties which are subject to separate management processes. Additionally, our failure to manage inventory effectively, including in response to the effects of shortages of our components, could expose us to losses.</w:t>
      </w:r>
    </w:p>
    <w:p>
      <w:pPr>
        <w:spacing w:after="0" w:line="190"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Additionally, shortages of components may result in increased inventory of unfinished products and significant quantities of other unused components remaining in inventory, which could expose us to increased risks of obsolescence and losses which may not be covered by insurance.</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which could cause production delays, and could result in liability for workplace injuries and/or fatalities. For example, in the past couple of years we have experienced fires in some of our leased facilities that were started by lithium-ion batteries, although none resulted in material damages or disruptions to our operations in such locations. While we have procedures in place regarding the proper storage of batteries and other explosive and flammable materials, we cannot predict whether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82" w:lineRule="auto"/>
        <w:rPr>
          <w:sz w:val="20"/>
          <w:szCs w:val="20"/>
          <w:color w:val="auto"/>
        </w:rPr>
      </w:pPr>
      <w:r>
        <w:rPr>
          <w:rFonts w:ascii="Times New Roman" w:cs="Times New Roman" w:eastAsia="Times New Roman" w:hAnsi="Times New Roman"/>
          <w:sz w:val="18"/>
          <w:szCs w:val="18"/>
          <w:color w:val="auto"/>
        </w:rPr>
        <w:t>fires or other incidents involving such items will occur in the future or the impact on our facilities, operations or production.</w:t>
      </w:r>
    </w:p>
    <w:p>
      <w:pPr>
        <w:spacing w:after="0" w:line="16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have safety and loss prevention programs that require detailed reviews of process changes and new operations, along with routine safety audits of operations involving explosive materials, to mitigate such incidents, as well as a variety of insurance policies, though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179" w:lineRule="exact"/>
        <w:rPr>
          <w:sz w:val="20"/>
          <w:szCs w:val="20"/>
          <w:color w:val="auto"/>
        </w:rPr>
      </w:pPr>
    </w:p>
    <w:p>
      <w:pPr>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 of UAS and C-UAS in urban environments may be subject to risks, such as accidental collisions and transmission interference, which may limit demand for our UAS and C-UAS in such environments and harm our business and operating results.</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Urban environments may present certain challenges to the operators of UAS and C-UAS. C-UAS may cause a collision with, and UAS may accidentally collide with other aircraft, persons or property, which could result in injury, death or property damage and significantly damage the reputation of and support for UAS and C-UAS in general. As the usage of UAS and C-UAS has increased, particularly by military customers, the danger of such collisions has increased. Furthermore, the incorporation of our Digital Data Link (“DDL”) technology into our SUAS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and C-UAS in urban environments may limit their value in such environments, which may limit demand for our UAS and C-UAS and consequently materially harm our business and operating results.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 widely.</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quarterly revenue, cash flow and operating results have and may continue to fluctuate significantly in the future due to a number of factors, including the following:</w:t>
      </w:r>
    </w:p>
    <w:p>
      <w:pPr>
        <w:spacing w:after="0" w:line="162" w:lineRule="exact"/>
        <w:rPr>
          <w:sz w:val="20"/>
          <w:szCs w:val="20"/>
          <w:color w:val="auto"/>
        </w:rPr>
      </w:pPr>
    </w:p>
    <w:p>
      <w:pPr>
        <w:ind w:left="1040" w:right="25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revenue derived from government contracts, including undefinitized contracts, cost-plus-fee contracts and contracts with a performance-based fee structure;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services that we sell in the period;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demand for some of our products or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incurred in the introduction of new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adoption of our products and services in new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additional contracts from existing customers or other contracts from new customers;</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delays or contract amendments by our U.S. governmental agency and foreign government customers;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policy or budgetary measures that adversely affect our U.S. governmental agency and foreign government customers;</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complying with various regulatory requirements applicable to our business and the potential penalties or sanctions that could be imposed for non-compliance;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55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necessary export licenses for sales of our products and services to international customers.</w:t>
      </w:r>
    </w:p>
    <w:p>
      <w:pPr>
        <w:spacing w:after="0" w:line="16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Shortfalls in available external R&amp;D funding could adversely affect us.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depend on our R&amp;D activities to develop the core technologies used in our products and for the development of our future products. A portion of our R&amp;D activities depends on funding by commercial companies and the U.S. government. U.S. government and commercial spending levels can be impacted by a number of variables, including budgeting policies and changes in government oversight, general economic conditions, specific companies’ financial performance and competition for U.S. government funding with other U.S. government-sponsored programs in the budget formulation and appropriation processes. To the extent that these external sources of funding are reduced or eliminated, company funding for R&amp;D could be reduced. Any reductions in available R&amp;D funding could harm our business, financial condition and operating results.</w:t>
      </w:r>
    </w:p>
    <w:p>
      <w:pPr>
        <w:spacing w:after="0" w:line="18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access to our, our customers’ and/or our suppliers’ information and systems could negatively impact our business.</w:t>
      </w:r>
    </w:p>
    <w:p>
      <w:pPr>
        <w:spacing w:after="0" w:line="159"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7"/>
          <w:szCs w:val="17"/>
          <w:color w:val="auto"/>
        </w:rPr>
        <w:t>We face various security threats, including cyber security attacks on our information technology infrastructure, which may include attempts to gain access to our proprietary, financial, banking or classified information, disrupt use of our systems or otherwise compromise the integrity of our operations. The threats we face vary from those common to most industries, to attacks by more advanced and persistent, highly organized adversaries, including nation state actors, which target us for the national security information in our possession, for our role in developing advanced technological systems or with the goal of committing fraudulent activity. Our customers, suppliers and subcontractors are likewise targeted, and attack methods continue to evolve. Some cyberattacks depend on human error or manipulation, including phishing attacks or schemes that use social engineering or AI to gain access to systems or carry out disbursement of funds or other frauds. Developments in AI and machine learning provide threat actors with the capability to use more sophisticated means to attack our systems and may exacerbate cybersecurity risk. Although we use multiple procedures and controls to monitor and mitigate these threats, there can be no assurance that these procedures and controls will be sufficient to prevent physical or cyber access or system disruptions, including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our reputation with customers, suppliers and stockholders, and the reputation of our products and services.</w:t>
      </w:r>
    </w:p>
    <w:p>
      <w:pPr>
        <w:spacing w:after="0" w:line="18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occurrence of some of these risks may be increased due to the increase in remote working by our employees, suppliers, contractors and other third parties. Previous cyber-attacks directed at us have not materially impacted our business or financial results, but the impact of future incidents cannot be predicted due to the constantly evolving nature and complexity of cyber-attacks. If we or our partners are subject to data security breaches, whether cyber or due to a failure in physical security protocols, we may lose existing sales and new business opportunities, see increased costs arising from remediation of the breach and the restoration or implementation of additional security measures, be subject to regulatory investigations and litigation, including fines and penalties, and face increased insurance or audit requirements in our third-party contracts, any of which could materially and adversely affect our business and financial results. Additionally, expenses resulting from cyber security attacks and other security risks may not be fully insured or otherwise mitigated, which could harm our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others acting on our behalf have, and may in the future, engage in misconduct or other improper activities, which could cause us to lose contracts or cause us to incur significant costs.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exposed to the risk that negligence, fraud or other misconduct from our employees or others acting on our behalf could occur. Misconduct by employees or others could include, for example, intentional failures to comply with U.S. government or other regulations and requirements, engaging in unauthorized activities, insider threats to our cybersecurity, falsifying time records, or the improper use of our customers’ sensitive or classified information. Any such negligence, fraud or other misconduct by our employees or others acting on our behalf could result in regulatory sanctions against us, serious harm to our reputation, a loss of contracts and a reduction in revenues, or cause us to incur significant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90"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Despite our compliance and training programs, we have in the past and may in the future experience negative consequences from misconduct.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work for the U.S. government and international governments may expose us to increased security risks.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a government contractor, given the enhanced sensitivity of the information to which we have access and the nature of our products and services, we are at increased risk of being targeted for cyber and other security attacks, including threats to the physical security of our facilities and employees. In addition, we work in international locations where there are high security risks, which could result in harm to our employees, contractors, and remote assets, and substantial protection or recovery costs. Some of our services are performed in or adjacent to high-risk locations where the country or location is experiencing political, social or economic issues, or war or civil unrest. In those locations where we have employees or operations, we may incur substantial costs to maintain the safety of our personnel, our remote assets and our information. As such international locations and the risks associated with them change rapidly, such precautions may be insufficient to avoid such risks including possible possession of our remote assets and related access to our intellectual property by unintended third parties and the possible loss of our personnel in these locations, which could harm our business and operating results.</w:t>
      </w:r>
    </w:p>
    <w:p>
      <w:pPr>
        <w:spacing w:after="0" w:line="18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may be subject to a risk of loss, and we may be exposed to fluctuations in the market values of our portfolio investments and in interest rates.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assets include a significant amount of cash and investments. We adhere to an investment policy set by our Board of Directors which aims to preserve our financial assets, maintain adequate liquidity and maximize returns. Nearly all of our cash and bank deposits are not insured by the Federal Deposit Insurance Corporation. Therefore, our cash and any bank deposits that we now hold or may acquire in the future may be subject to risks, including the risk of loss or of reduced value or liquidity. Our investments classified as available-for-sale are recorded at fair value each reporting period. Our investments classified as equity method investments are recorded using the equity method. Unrealized gains and losses are recorded as other income or loss.</w:t>
      </w:r>
    </w:p>
    <w:p>
      <w:pPr>
        <w:spacing w:after="0" w:line="18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59" w:lineRule="exact"/>
        <w:rPr>
          <w:sz w:val="20"/>
          <w:szCs w:val="20"/>
          <w:color w:val="auto"/>
        </w:rPr>
      </w:pPr>
    </w:p>
    <w:p>
      <w:pPr>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costlier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spacing w:after="0" w:line="18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Potential Deferment of Purchases and Orders by Customers: </w:t>
      </w:r>
      <w:r>
        <w:rPr>
          <w:rFonts w:ascii="Times New Roman" w:cs="Times New Roman" w:eastAsia="Times New Roman" w:hAnsi="Times New Roman"/>
          <w:sz w:val="18"/>
          <w:szCs w:val="18"/>
          <w:color w:val="auto"/>
        </w:rPr>
        <w:t>Uncertainty about current and future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may cause governments, including the U.S. government, which is our largest customer, other customers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Negative Impact from Increased Financial Pressures on Key Suppliers: </w:t>
      </w:r>
      <w:r>
        <w:rPr>
          <w:rFonts w:ascii="Times New Roman" w:cs="Times New Roman" w:eastAsia="Times New Roman" w:hAnsi="Times New Roman"/>
          <w:sz w:val="18"/>
          <w:szCs w:val="18"/>
          <w:color w:val="auto"/>
        </w:rPr>
        <w:t>Our ability to meet customers’ demands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depends, in part, on our ability to obtain timely and adequate delivery of quality materials, parts and components from our suppliers. If certain key suppliers were to become capacity constrained or insolvent as a result of a market downturn or disruption, then we may have to find new suppliers, which can result in significant delays in manufacturing and shipping our products to customers and additional costs. See above risk factor “If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detail on risks related to our supply chain.</w:t>
      </w:r>
    </w:p>
    <w:p>
      <w:pPr>
        <w:spacing w:after="0" w:line="185"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Customers’ Inability to Obtain Financing to Make Purchases from Us and/or Maintain Their Business: </w:t>
      </w:r>
      <w:r>
        <w:rPr>
          <w:rFonts w:ascii="Times New Roman" w:cs="Times New Roman" w:eastAsia="Times New Roman" w:hAnsi="Times New Roman"/>
          <w:sz w:val="18"/>
          <w:szCs w:val="18"/>
          <w:color w:val="auto"/>
        </w:rPr>
        <w:t>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may require substantial financing in order to fund their operations and make purchases from us. The inability of these customers to obtain sufficient credit to finance purchases of our products or services,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spacing w:after="0" w:line="180"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159" w:lineRule="exact"/>
        <w:rPr>
          <w:sz w:val="20"/>
          <w:szCs w:val="20"/>
          <w:color w:val="auto"/>
        </w:rPr>
      </w:pPr>
    </w:p>
    <w:p>
      <w:pPr>
        <w:jc w:val="both"/>
        <w:ind w:left="60" w:right="439" w:firstLine="648"/>
        <w:spacing w:after="0" w:line="257" w:lineRule="auto"/>
        <w:rPr>
          <w:sz w:val="20"/>
          <w:szCs w:val="20"/>
          <w:color w:val="auto"/>
        </w:rPr>
      </w:pPr>
      <w:r>
        <w:rPr>
          <w:rFonts w:ascii="Times New Roman" w:cs="Times New Roman" w:eastAsia="Times New Roman" w:hAnsi="Times New Roman"/>
          <w:sz w:val="18"/>
          <w:szCs w:val="18"/>
          <w:color w:val="auto"/>
        </w:rPr>
        <w:t>In March 2026, we closed our acquisition of ESAero, the most recent in a series of acquisitions beginning in February 2021, with the acquisition of Arcturus and the Intelligent Systems Group business segment (“ISG”). We then acquired Telerob in May 2021, Planck Aerosystems, Inc. (“Planck”) in August 2022, Tomahawk Robotics, Inc.</w:t>
      </w:r>
    </w:p>
    <w:p>
      <w:pPr>
        <w:spacing w:after="0" w:line="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(“Tomahawk”) in September 2023 and BlueHalo in May 2025. We intend to consider additional acquisitions that could add to our customer base, technological capabilities or system offerings. Acquisitions involve numerous risks, any of which could harm our business, including the following:</w:t>
      </w:r>
    </w:p>
    <w:p>
      <w:pPr>
        <w:spacing w:after="0" w:line="186" w:lineRule="exact"/>
        <w:rPr>
          <w:sz w:val="20"/>
          <w:szCs w:val="20"/>
          <w:color w:val="auto"/>
        </w:rPr>
      </w:pPr>
    </w:p>
    <w:p>
      <w:pPr>
        <w:ind w:left="1040" w:right="13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products, existing contracts, accounting and personnel of the companies we acquire and realizing the anticipated synergies of the combined businesses;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suppliers, distributors and vendors, avoiding delays in entering into new agreements with prospective customers, suppliers, distributors and vendors, and leveraging relationships with such third parties for the benefit of the post-acquisition combined company;</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markets in which we have limited or no experience;</w:t>
      </w:r>
    </w:p>
    <w:p>
      <w:pPr>
        <w:spacing w:after="0" w:line="225" w:lineRule="exact"/>
        <w:rPr>
          <w:rFonts w:ascii="Times New Roman" w:cs="Times New Roman" w:eastAsia="Times New Roman" w:hAnsi="Times New Roman"/>
          <w:sz w:val="18"/>
          <w:szCs w:val="18"/>
          <w:color w:val="auto"/>
        </w:rPr>
      </w:pPr>
    </w:p>
    <w:p>
      <w:pPr>
        <w:ind w:left="1040" w:right="109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managing a workforce under foreign labor and employment law and related organizational requirements;</w:t>
      </w:r>
    </w:p>
    <w:p>
      <w:pPr>
        <w:spacing w:after="0" w:line="161"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and strategic alliances from either our current business or the acquired company’s business;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unanticipated problems or latent liabilities, such as problems with the quality of the acquired company’s products or its regulatory compliance; and</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regulatory compliance complexity and risk, including compliance with regulations of foreign jurisdictions.</w:t>
      </w:r>
    </w:p>
    <w:p>
      <w:pPr>
        <w:spacing w:after="0" w:line="162"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Acquisitions also frequently result in the recording of goodwill and other intangible assets that are subject to potential impairments in the future that could harm our financial results. For example, in January 2026 a stop-work order was received on an OTA for the delivery of BADGER phased array antenna systems to support Space Force’s SCAR program, and in March 2026, the customer terminated the agreement for convenience. We concluded that the stop-work order represented a trigger event that indicated the carrying value of the Space reporting unit exceeded its fair value. As a result, we updated the estimates of the long-term cash flows of the Space reporting unit to reflect the reduced revenue associated with the stop-work order and termination for convenience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$241 million in the Space reporting unit. Also, as part of our annual goodwill impairment test during the fiscal quarter ended April 30, 2025, we determined the carrying value of the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Due to the changes in estimates, we recorded a goodwill impairment charge of $18.4 million and accelerated amortization of certain UGV intangibles of $4.3 million for our fiscal year ended April 30, 2025. In addition, if we finance acquisitions by issuing equity, or securities convertible into equity, such as the stock issued as consideration for the purchases of BlueHalo, Arcturus and Tomahawk, then our existing stockholders may be diluted, which could lower the market price of our common stock. Further, as lock-up and other restrictions on such consideration shares lapse, we could experience heightened trading activity that could disrupt the market price for our common stock. If we finance acquisitions through debt, such as the convertible notes issued after the BlueHalo acquisition and the credit facilities we entered into in connection with the consummation of our acquisition of Arcturus and subsequently amended in connection with our acquisition of BlueHalo, then such future debt financing may contain covenants or other provisions that limit our operational or financial flexibility and represent default risk if we are unable to maintain certain financial performance metrics while the debt remains outstanding.</w:t>
      </w:r>
    </w:p>
    <w:p>
      <w:pPr>
        <w:spacing w:after="0" w:line="20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It is possible that following an acquisition, the integration process could result in the loss of key employees, the loss of customers, the disruption of either or both of our and the acquired company’s ongoing businesses, inconsistencies in standards, controls, procedures and policies, unexpected integration issues, including the integration of IT systems, higher than expected integration costs and an overall post-completion integration process that takes longer than originally anticipated. In addition, the actual integration may result in additional and unforeseen expenses. If we are not able to adequately address integration challenges, we may be unable to successfully integrate operations, and the anticipated benefits of the acquisition may not be realized.</w:t>
      </w:r>
    </w:p>
    <w:p>
      <w:pPr>
        <w:spacing w:after="0" w:line="18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we must achieve the anticipated growth and cost savings without adversely affecting current revenues and investments in future growth. If we are not able to successfully achieve these objectives, the anticipated synergies and other benefits of the acquisition may not be realized fully, or at all, or may take longer to realize than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expected. Additionally, we may inherit from acquired companies legal, regulatory, and other risks that occurred prior to the acquisition, whether known or unknown to us, which may be material.</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Actual growth, cost and capital expenditure synergies and other cost savings, if achieved, may be lower than what we expect and may take longer to achieve than anticipated. Moreover, at times the attention of the management and resources may be focused on the business integration and diverted from day-to-day business operations or other opportunities that may have been beneficial to us, which may disrupt our ongoing business.</w:t>
      </w:r>
    </w:p>
    <w:p>
      <w:pPr>
        <w:spacing w:after="0" w:line="18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fail to properly evaluate acquisitions or investments,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7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consolidated financial statements that are subject to impairment based upon future adverse changes in our business or prospects, such as the impairment recorded for the Space reporting unit.</w:t>
      </w:r>
    </w:p>
    <w:p>
      <w:pPr>
        <w:spacing w:after="0" w:line="17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of April 30, 2026, the carrying values of goodwill and identifiable intangible assets on our balance sheet were $2,583.1 million and $929.8 million, respectively. We perform our annual impairment tests during the fourth quarter of each fiscal year or when events or circumstances change in a manner that indicates an asset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9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January 2026, a stop-work order was received on an OTA for the delivery of BADGER phased array antenna systems to support Space Force’s SCAR program. Additionally, in March 2026, the customer terminated the agreement for convenience. We concluded that the stop-work order represented a trigger event that indicated the carrying value of the Space reporting unit exceeded its fair value. As a result, we updated the estimates of the long-term cash flows of the Space reporting unit to reflect the reduced revenue associated with the stop-work order and termination for convenience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$241 million in the Space reporting unit.</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our ability to obtain contracts from the U.S. DoD and foreign allied nations and negotiate the estimated pricing are considered the most significant, sensitive assumptions. Actual results can be materially different from the estimates and assumptions. If current expectations of future growth rates and margins are not met, if market factors outside of our control, such as discount rates, income tax rates, or inflation, change, or if management’s expectations or plans otherwise change, including updates to long-term operating plans, then we could recognize further future impairment charges, the amount of which could be material.</w:t>
      </w:r>
    </w:p>
    <w:p>
      <w:pPr>
        <w:spacing w:after="0" w:line="18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borrowings under our credit facilities could adversely affect our financial condition and restrict our operating flexibility.</w:t>
      </w:r>
    </w:p>
    <w:p>
      <w:pPr>
        <w:spacing w:after="0" w:line="15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a credit agreement with certain lenders, letter of credit issuers, and others (as amended February 4, 2022, June 6, 2023, October 4, 2024 and May 1, 2025 the “Credit Agreement”). With the fourth amendment on May 1, 2025, the Credit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Agreement, with its associated Security and Pledge Agreement, provided for a $700.0 million term A loan (the “Term A Loan”) and provides for a revolving commitment in an aggregate principal amount of $350.0 million (the “Revolving Facility” and together with the Term A Loan, the “Credit Facilities”). On the closing date of the BlueHalo acquisition, the Term A Loan was drawn in full for $700.0 million, and we borrowed approximately $225.0 million from our available Revolving Facility, the combined proceeds of which were used to repay certain outstanding indebtedness of BlueHalo upon the closing of the acquisition of BlueHalo and to pay for certain related transaction costs. In June 2025, we drew an additional $10.0 million under the Revolving Facility.</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July 2025, we issued 4,057,460 shares of common stock at a public offering price of $248.00 per share (the “Common Stock Offering”) and issued $747.5 million aggregate principal amount of 0% convertible senior notes due 2030 (the “Notes” and “Notes Offering”). The aggregate net proceeds from the Common Stock Offering and the Notes Offering, after deducting underwriting discounts and debt and equity issuance costs, was approximately $1.70 billion. The Company used approximately $965.3 million of the net proceeds from the Common Stock Offering and the Notes Offering to repay indebtedness under the Term Loan Facility and outstanding borrowings under the Revolving Credit Facility. The $700.0 million term loan was repaid in full and closed; although new term loans can be renegotiated and issued under the Credit Facility. The Revolving Facility is available to be drawn upon. As of April 30, 2026, $747.5 million of Notes was outstanding.</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Notes are senior unsecured obligations of the company. The Notes do not bear regular interest, and the principal amount of the Notes will not accrete. The notes mature on July 15, 2030, and are convertible prior to April 15, 2030 only upon specified events, and thereafter at the holder’s option until two trading days before maturity. The initial conversion rate is 3.1017 shares of the Company's common stock per $1,000 principal amount of Notes, which represents an initial conversion price of approximately $322.40 per share of the Company's common stock. The Company may settle conversions entirely in cash or in a combination of cash and shares, but all conversions must be settled in cash up to at least the principal amount of the Notes being converted. On or after July 21, 2028 and up to 61 scheduled trading days before maturity, the Notes are redeemable at the Company’s option at par plus accrued special interest if the stock price exceeds 130% of the conversion price for specified trading day thresholds; partial redemptions require at least $100 million principal remaining outstanding, and any call is treated as a Make Whole Fundamental Change increasing the conversion rate in certain cases. Upon a Fundamental Change (certain business combinations or delisting events), holders may require repurchase at par plus accrued special interest (with a limited exception for certain cash mergers). The notes include customary events of default with automatic acceleration upon certain company level bankruptcy events and acceleration at the trustee’s or 25% holders’ direction for other continuing defaults; however, for certain reporting covenant breaches, the company may elect a “sole remedy” consisting solely of the payment of additional special interest at 0.25% per annum for the first 180 days and 0.50% thereafter, for up to 365 days.</w:t>
      </w:r>
    </w:p>
    <w:p>
      <w:pPr>
        <w:spacing w:after="0" w:line="195"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support of our obligations under the Credit Facilities, we have granted security interests in substantially all of our personal property and that of our domestic subsidiaries, including a pledge of the equity interests in our subsidiaries (limited to 65% of outstanding equity interests in the case of our foreign subsidiaries), subject to customary exclusions and exceptions. In addition, our domestic subsidiaries are required to be guarantors of the Credit Facilities.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our increased level of indebtedness may have important consequences to us, including:</w:t>
      </w:r>
    </w:p>
    <w:p>
      <w:pPr>
        <w:spacing w:after="0" w:line="225"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and industry conditions;</w:t>
      </w:r>
    </w:p>
    <w:p>
      <w:pPr>
        <w:spacing w:after="0" w:line="225" w:lineRule="exact"/>
        <w:rPr>
          <w:rFonts w:ascii="Times New Roman" w:cs="Times New Roman" w:eastAsia="Times New Roman" w:hAnsi="Times New Roman"/>
          <w:sz w:val="18"/>
          <w:szCs w:val="18"/>
          <w:color w:val="auto"/>
        </w:rPr>
      </w:pPr>
    </w:p>
    <w:p>
      <w:pPr>
        <w:jc w:val="both"/>
        <w:ind w:left="1040" w:right="119" w:hanging="315"/>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flows to the payment of interest and when applicable, principal, on our indebtedness and other obligations thereby reducing the availability of our cash flow to fund working capital, capital expenditures, R&amp;D efforts, execution of our business strategy, acquisitions and other general corporate purposes;</w:t>
      </w:r>
    </w:p>
    <w:p>
      <w:pPr>
        <w:spacing w:after="0" w:line="179"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the economy, the defense industry, and the markets in which we operate;</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maintenance of various financial covenants and adherence to certain other affirmative and negative covenants, requiring us to seek lender consent or waiver in relation to our financial performance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or other potential strategic actions in the future;</w:t>
      </w:r>
    </w:p>
    <w:p>
      <w:pPr>
        <w:spacing w:after="0" w:line="225"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with less indebtedness;</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substantial interest rate risk due to the variable interest rate under the Credit Facilities, such that, if interest rates were to increase substantially during the term of the Credit Facilities, the resulting increase in our interest payment obligations could adversely affect our operating results and our ability to service the indebtedness under the Credit Facilities; and</w:t>
      </w:r>
    </w:p>
    <w:p>
      <w:pPr>
        <w:spacing w:after="0" w:line="179"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borrow additional funds in the future to fund our growth, acquisitions, working capital, capital expenditures, and other purposes.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the extent we incur additional indebtedness, the risks described above could increase.</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If we do not have sufficient funds to repay outstanding loans, it may be necessary to refinance our debt through additional debt or equity financings. Any refinancing with new debt could be at higher interest rates and may require us to comply with more onerous covenants than the Credit Agreement, which could further restrict our business operations. Any refinancing through our sale of equity or equity-linked securities would result in further dilution to our stockholders or may provide for rights, preferences or privileges senior to those of holders of our common stock.</w:t>
      </w:r>
    </w:p>
    <w:p>
      <w:pPr>
        <w:spacing w:after="0" w:line="183"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continuation of which, after any applicable grace period, the lenders would have the ability to declare the loans due and payable in whole or in part. Among other things, if we fail to make required debt payments, or if we fail to comply with financial or other covenants in the Credit Agreement, we would be in default under the terms thereof. The Credit Agreement contains customary negative covenants that include, subject to customary exclusions:</w:t>
      </w:r>
    </w:p>
    <w:p>
      <w:pPr>
        <w:spacing w:after="0" w:line="183"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additional liens on our assets;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incurring additional indebtedness;</w:t>
      </w:r>
    </w:p>
    <w:p>
      <w:pPr>
        <w:spacing w:after="0" w:line="9" w:lineRule="exact"/>
        <w:rPr>
          <w:rFonts w:ascii="Times New Roman" w:cs="Times New Roman" w:eastAsia="Times New Roman" w:hAnsi="Times New Roman"/>
          <w:sz w:val="18"/>
          <w:szCs w:val="18"/>
          <w:color w:val="auto"/>
        </w:rPr>
      </w:pPr>
    </w:p>
    <w:p>
      <w:pPr>
        <w:ind w:left="1040" w:right="479" w:hanging="315"/>
        <w:spacing w:after="0" w:line="25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new investments, including acquisitions, mergers, investments in subsidiaries that are not guarantors of the debt, and joint ventures;</w:t>
      </w: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disposal of assets;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payments of cash dividends;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changing the nature of our business;</w:t>
      </w:r>
    </w:p>
    <w:p>
      <w:pPr>
        <w:spacing w:after="0" w:line="9" w:lineRule="exact"/>
        <w:rPr>
          <w:rFonts w:ascii="Times New Roman" w:cs="Times New Roman" w:eastAsia="Times New Roman" w:hAnsi="Times New Roman"/>
          <w:sz w:val="18"/>
          <w:szCs w:val="18"/>
          <w:color w:val="auto"/>
        </w:rPr>
      </w:pPr>
    </w:p>
    <w:p>
      <w:pPr>
        <w:ind w:left="1040" w:right="419" w:hanging="315"/>
        <w:spacing w:after="0" w:line="25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maintain a maximum consolidated leverage ratio and a minimum fixed charge coverage ratio;</w:t>
      </w: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changes to our accounting policies;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payments of any junior indebtedness.</w:t>
      </w:r>
    </w:p>
    <w:p>
      <w:pPr>
        <w:spacing w:after="0" w:line="20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 the extent we would wish to engage in any of the prohibited behaviors, we would need to obtain consent under the Credit Agreement, which may not be timely forthcoming or at all. If a default event were to occur, we may not have sufficient available cash to repay such outstanding debt obligations at the time they become due or be able to refinance such debt on acceptable terms or at all.</w:t>
      </w:r>
    </w:p>
    <w:p>
      <w:pPr>
        <w:spacing w:after="0" w:line="18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limitations or events could materially and adversely affect our financial condition and results of operations.</w:t>
      </w:r>
    </w:p>
    <w:p>
      <w:pPr>
        <w:spacing w:after="0" w:line="15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indebtedness represented by our Notes could limit the cash flow available for our operations, expose us to risks that could adversely affect our business, financial condition and results of operations and impair our ability to satisfy our obligations under the Notes.</w:t>
      </w:r>
    </w:p>
    <w:p>
      <w:pPr>
        <w:spacing w:after="0" w:line="6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As of April 30, 2026, we had total indebtedness of approximately $747.5 million consisting of aggregate principal of our Notes. We may incur additional indebtedness to meet future financing needs. The indebtedness represented by our Notes and obligations under the Indenture pursuant to which the Notes were issued could have significant negative consequences for our security holders and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among other things:</w:t>
      </w:r>
    </w:p>
    <w:p>
      <w:pPr>
        <w:spacing w:after="0" w:line="225"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 w:lineRule="exact"/>
        <w:rPr>
          <w:rFonts w:ascii="Times New Roman" w:cs="Times New Roman" w:eastAsia="Times New Roman" w:hAnsi="Times New Roman"/>
          <w:sz w:val="18"/>
          <w:szCs w:val="18"/>
          <w:color w:val="auto"/>
        </w:rPr>
      </w:pPr>
    </w:p>
    <w:p>
      <w:pPr>
        <w:ind w:left="720" w:right="419" w:hanging="319"/>
        <w:spacing w:after="0" w:line="250"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9" w:lineRule="exact"/>
        <w:rPr>
          <w:rFonts w:ascii="Times New Roman" w:cs="Times New Roman" w:eastAsia="Times New Roman" w:hAnsi="Times New Roman"/>
          <w:sz w:val="18"/>
          <w:szCs w:val="18"/>
          <w:color w:val="auto"/>
        </w:rPr>
      </w:pPr>
    </w:p>
    <w:p>
      <w:pPr>
        <w:ind w:left="720" w:right="779" w:hanging="319"/>
        <w:spacing w:after="0" w:line="250"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Notes; and</w:t>
      </w:r>
    </w:p>
    <w:p>
      <w:pPr>
        <w:ind w:left="720" w:right="259" w:hanging="319"/>
        <w:spacing w:after="0" w:line="260"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7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the Indenture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of Notes could impair our financial position and liquidity.</w:t>
      </w:r>
    </w:p>
    <w:p>
      <w:pPr>
        <w:spacing w:after="0" w:line="121"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Because we must settle at least a portion of our conversion obligation in cash, the conversion of Notes could materially and adversely affect our financial position and liquidity. Before April 15, 2030, Noteholders will have the right to convert their Notes only upon the occurrence of certain events. From and after April 15, 2030, Noteholders may convert their Notes at any time at their election until the close of business on the second scheduled trading day immediately before the maturity date. However, many of the conditions that permit the conversion of Notes before April 15, 2030 are beyond our control. We could be required to expend a significant amount of cash to settle conversions, which could significantly harm our financial position and liquidity.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pandemics and similar public health crises, which may adversely impact our business.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Global pandemics and similar public health crises, such as the COVID-19 coronavirus pandemic. Although our operations mostly continued uninterrupted during the COVID-19 pandemic, we cannot predict the effect of future public health crises on our business and operations. Pandemics and other public health crises may require the adoption of work from home protocols, social distancing measures in the workplace, international travel restrictions, vaccine mandates and other responsive actions and other changes to our operations. Public health crises may result in travel disruptions, quarantine requirements or other similar logistics restrictions,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are subject to the risks of earthquakes and other natural catastrophic events.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have research and development and manufacturing operations located in California in regions known for seismic activity and wildfires, and in other areas prone to natural disasters. While we maintain insurance coverage to cover certain risks of losses for damage or destruction to facilities and property and for interruption of our business, such insurance may not cover specific losses and the amount of our insurance coverage may not be adequate to cover all of our losses. A significant natural disaster, such as an earthquake, fire or other catastrophic event, could severely affect our ability to conduct normal business operations, and as a result, our future operating results could be materially and adversely affected, including if our losses are not adequately or timely covered by our insurance.</w:t>
      </w:r>
    </w:p>
    <w:p>
      <w:pPr>
        <w:spacing w:after="0" w:line="18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self-insure a portion of our health insurance program, which may expose us to unexpected costs and negatively affect our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We are self-insured for the majority of our employee medical claims, subject to individual and aggregate stop loss insurance policies. We estimate liability for claims filed and incurred but not reported based upon recent claims experience and an analysis of the average period between the occurrence of a claim and the time it is reported to and paid by us.</w:t>
      </w:r>
    </w:p>
    <w:p>
      <w:pPr>
        <w:spacing w:after="0" w:line="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U.S. Government Contracts</w:t>
      </w:r>
    </w:p>
    <w:p>
      <w:pPr>
        <w:spacing w:after="0" w:line="22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5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176" w:lineRule="exact"/>
        <w:rPr>
          <w:sz w:val="20"/>
          <w:szCs w:val="20"/>
          <w:color w:val="auto"/>
        </w:rPr>
      </w:pPr>
    </w:p>
    <w:p>
      <w:pPr>
        <w:ind w:left="1040" w:right="23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Acquisition Regulations and supplemental agency regulations, which comprehensively regulate the formation and administration of, and performance under, U.S. government contracts;</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Negotiations Act, which requires certification and disclosure of all factual cost and pricing data in connection with contract negotiations;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7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U.S. companies from providing anything of value to a foreign official to help obtain, retain or direct business, or obtain any unfair advantage;</w:t>
      </w:r>
    </w:p>
    <w:p>
      <w:pPr>
        <w:spacing w:after="0" w:line="161" w:lineRule="exact"/>
        <w:rPr>
          <w:rFonts w:ascii="Times New Roman" w:cs="Times New Roman" w:eastAsia="Times New Roman" w:hAnsi="Times New Roman"/>
          <w:sz w:val="18"/>
          <w:szCs w:val="18"/>
          <w:color w:val="auto"/>
        </w:rPr>
      </w:pPr>
    </w:p>
    <w:p>
      <w:pPr>
        <w:jc w:val="both"/>
        <w:ind w:left="1040" w:right="43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DoD Cybersecurity Maturity Model Certification (“CMMC”) program, which mandates third-party assessments for companies working with the U.S. DoD, verifying such companies’ adherence to specific cybersecurity standards;</w:t>
      </w:r>
    </w:p>
    <w:p>
      <w:pPr>
        <w:spacing w:after="0" w:line="175" w:lineRule="exact"/>
        <w:rPr>
          <w:rFonts w:ascii="Times New Roman" w:cs="Times New Roman" w:eastAsia="Times New Roman" w:hAnsi="Times New Roman"/>
          <w:sz w:val="18"/>
          <w:szCs w:val="18"/>
          <w:color w:val="auto"/>
        </w:rPr>
      </w:pPr>
    </w:p>
    <w:p>
      <w:pPr>
        <w:ind w:left="1040" w:right="33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Aviation Administration, which regulates the use of airspace for all aircraft, including UAS operation in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to protect U.S. Government controlled unclassified information (“CUI”), which our suppliers have access to in order to comply with cyber security regulations;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Traffic in Arms Regulations and Export Administration Regulations, which regulate the export of sensitive technology and hardware, including controlled technical data, defense articles and defense services and restrict the countries from which we may purchase materials and services used in the production of certain of our products; and</w:t>
      </w:r>
    </w:p>
    <w:p>
      <w:pPr>
        <w:spacing w:after="0" w:line="179" w:lineRule="exact"/>
        <w:rPr>
          <w:rFonts w:ascii="Times New Roman" w:cs="Times New Roman" w:eastAsia="Times New Roman" w:hAnsi="Times New Roman"/>
          <w:sz w:val="18"/>
          <w:szCs w:val="18"/>
          <w:color w:val="auto"/>
        </w:rPr>
      </w:pPr>
    </w:p>
    <w:p>
      <w:pPr>
        <w:jc w:val="both"/>
        <w:ind w:left="1040" w:right="459" w:hanging="315"/>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or determined to be CUI and the exportation of certain products and technical data.</w:t>
      </w:r>
    </w:p>
    <w:p>
      <w:pPr>
        <w:spacing w:after="0" w:line="176"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Also, we need special security clearances and regulatory approvals to continue working on certain of our projects with the U.S. government. Classified programs generally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We also must implement controls to protect U.S. government CUI. Failure to implement such controls to protect CUI could jeopardize our ability to continue receiving U.S. government contracts. Additionally, certain of our products are sold to the U.S. government as commercial items. If the U.S. government were to dispute the commercial designation of such items, and absent a successful appeal by us of such designation, the profitability of sales of such items could be negatively affected. Our failure to comply with applicable regulations, rules and approvals; changes in the government’s interpretation of such regulations, rules and approvals as have been and are applied to our contracts, proposals or business or misconduct by any of our employees could result in the imposition of fines and penalties, the loss of security clearances, a decrease in profitability,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 negative audit or investigation by the U.S. government.</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spacing w:after="0" w:line="18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Like most government contractors, our contracts are audited and reviewed on a continual basis by the DCMA and the DCAA. The indirect costs we incur in performing government contracts have been audited or have been subject to audit on an annual basis. The audits of legacy AV’s incurred cost claims through fiscal year 2024 have been settled, and the audits of BlueHalo’s incurred cost claims through fiscal 2021 have been settled. As of April 30, 2026, we had no reserve for open incurred cost claim audits. In addition, non-audit reviews or investigations by the government may still be conducted on all our government contracts.</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Any costs found to be improperly allocated to a specific Cost Plus contract will not be reimbursed, while such costs already reimbursed must be refunded. If an audit or investigation of our business were to uncover improper or illegal activities,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Legacy AV’s purchasing system was most recently reviewed and approved again in February 2025, and BlueHalo’s purchasing system was recently reviewed and approved again in April 2025. An unfavorable outcome to such an audit or investigation by the DCAA, U.S. Department of Justice (“DOJ”), or other government agency, could materially adversely affect our competitive position, affect our ability to obtain new government business, and obtain the maximum price for our products and services, and result in a substantial reduction of our revenues.</w:t>
      </w:r>
    </w:p>
    <w:p>
      <w:pPr>
        <w:spacing w:after="0" w:line="19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w:t>
      </w:r>
    </w:p>
    <w:p>
      <w:pPr>
        <w:spacing w:after="0" w:line="17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the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18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Some of our contracts allow the U.S. government to use, royalty-free, or have others use, inventions or intellectual property developed under those contracts on behalf of the government. Some of the contracts allow the federal government to disclose technical data without constraining the recipient on how that data is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185" w:lineRule="exact"/>
        <w:rPr>
          <w:sz w:val="20"/>
          <w:szCs w:val="20"/>
          <w:color w:val="auto"/>
        </w:rPr>
      </w:pPr>
    </w:p>
    <w:p>
      <w:pPr>
        <w:ind w:left="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p>
      <w:pPr>
        <w:spacing w:after="0" w:line="175"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83"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The actual receipt of revenue on awards included in backlog may never occur or may change because a program schedule could change or the program could be canceled, or a contract could be reduced, modified or terminated early.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8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Furthermore, we may operate from time to time under UCAs or UCOs, under which we may begin performance at the direction of the U.S. government prior to completing contract negotiations regarding pricing, specifications and other terms. Under a UCA, the U.S. government has the ability to unilaterally definitize contracts and, absent a successful appeal of such action, the unilateral definitization of the contract would obligate us to perform under terms and conditions imposed by the U.S. government. Such unilaterally imposed contract terms could include less favorable pricing and/or terms and conditions more burdensome than those negotiated in other circumstances, which could negatively affect our expected profitability under such contract and could negatively affect our results of operations.</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government contracts are subject to a competitive bidding process that can consume significant resources without generating any revenue.</w:t>
      </w:r>
    </w:p>
    <w:p>
      <w:pPr>
        <w:spacing w:after="0" w:line="159"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U.S. government contracts are frequently awarded only after formal, protracted competitive bidding processes and, in many cases, unsuccessful bidders for U.S. government contracts may protest contract awards through various agency, administrative and judicial channels. We derive significant revenue from U.S. government contracts that were awarded through a competitive bidding process. Much of the business that we expect to seek in the foreseeable future will likely be awarded through competitive bidding. Competitive bidding presents a number of risks, including the following:</w:t>
      </w:r>
    </w:p>
    <w:p>
      <w:pPr>
        <w:spacing w:after="0" w:line="168" w:lineRule="exact"/>
        <w:rPr>
          <w:sz w:val="20"/>
          <w:szCs w:val="20"/>
          <w:color w:val="auto"/>
        </w:rPr>
      </w:pPr>
    </w:p>
    <w:p>
      <w:pPr>
        <w:ind w:left="1040" w:right="39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bid on programs in advance of the completion of their design, which may result in unforeseen technological difficulties and cost overruns;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 and managerial time and effort that must be spent to prepare bids and proposals for contracts that may not be awarded to us;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estimate accurately the resources and cost structure that will be required to service any contract we are awarded; and</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6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pacing w:after="0" w:line="179"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procurement rules and regulations, which increase our performance and compliance costs under our U.S. government contracts.</w:t>
      </w:r>
    </w:p>
    <w:p>
      <w:pPr>
        <w:spacing w:after="0" w:line="159" w:lineRule="exact"/>
        <w:rPr>
          <w:sz w:val="20"/>
          <w:szCs w:val="20"/>
          <w:color w:val="auto"/>
        </w:rPr>
      </w:pPr>
    </w:p>
    <w:p>
      <w:pPr>
        <w:jc w:val="both"/>
        <w:ind w:left="60" w:right="499" w:firstLine="648"/>
        <w:spacing w:after="0" w:line="289" w:lineRule="auto"/>
        <w:rPr>
          <w:sz w:val="20"/>
          <w:szCs w:val="20"/>
          <w:color w:val="auto"/>
        </w:rPr>
      </w:pPr>
      <w:r>
        <w:rPr>
          <w:rFonts w:ascii="Times New Roman" w:cs="Times New Roman" w:eastAsia="Times New Roman" w:hAnsi="Times New Roman"/>
          <w:sz w:val="17"/>
          <w:szCs w:val="17"/>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and otherwise govern our right to reimbursement under certain cost-based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implemented procedures to comply with these regulations and requirements, the regulations and requirements are complex and change frequently. Our or our agents’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Requirements</w:t>
      </w:r>
    </w:p>
    <w:p>
      <w:pPr>
        <w:spacing w:after="0" w:line="22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could be prohibited from shipping our products to certain countries if we are unable to obtain U.S. government authorization regarding the export of our products and services, or if current or future export laws limit or otherwise restrict our business. In addition, failure to comply with export laws could result in fines, export restrictions and other sanctions and penalties.</w:t>
      </w:r>
    </w:p>
    <w:p>
      <w:pPr>
        <w:spacing w:after="0" w:line="180" w:lineRule="exact"/>
        <w:rPr>
          <w:sz w:val="20"/>
          <w:szCs w:val="20"/>
          <w:color w:val="auto"/>
        </w:rPr>
      </w:pPr>
    </w:p>
    <w:p>
      <w:pPr>
        <w:ind w:left="60" w:right="179" w:firstLine="648"/>
        <w:spacing w:after="0" w:line="274" w:lineRule="auto"/>
        <w:rPr>
          <w:sz w:val="20"/>
          <w:szCs w:val="20"/>
          <w:color w:val="auto"/>
        </w:rPr>
      </w:pPr>
      <w:r>
        <w:rPr>
          <w:rFonts w:ascii="Times New Roman" w:cs="Times New Roman" w:eastAsia="Times New Roman" w:hAnsi="Times New Roman"/>
          <w:sz w:val="17"/>
          <w:szCs w:val="17"/>
          <w:color w:val="auto"/>
        </w:rPr>
        <w:t>We must comply with U.S. and other laws regulating the export of our products and services. In some cases, explicit authorization from the relevant U.S. government authorities is needed to export our products and services. The export regulations and the governing policies applicable to our business are subject to change. We cannot provide assurance that such export authorizations will be available for our products and services in the future. Compliance with these laws has not significantly limited our operations or our sales in the recent past but could significantly limit them in the future. We maintain an export compliance program but there are risks that our compliance controls may be ineffective.</w:t>
      </w:r>
    </w:p>
    <w:p>
      <w:pPr>
        <w:spacing w:after="0" w:line="173"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Any failure to comply with the export laws and regulations in the future can subject us to additional fines, penalties and sanctions, including suspension of export privileges, which could have a material adverse impact on our business, operations and financial condition and limit or prevent us from being able to sell our products in certain international jurisdictions.</w:t>
      </w:r>
    </w:p>
    <w:p>
      <w:pPr>
        <w:spacing w:after="0" w:line="17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government investigations, which could have a material adverse effect on our business, financial condition, results of operations, cash flows and equity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U.S. government contractors are subject to extensive legal and regulatory requirements, including International Traffic in Arms Regulations (“ITAR”) and U.S. Foreign Corrupt Practices Act (“FCPA”), and from time to time agencies of the U.S. government investigate whether we have been and are operating in accordance with these requirements. Under U.S. government regulations, an indictment of AeroVironment by a federal grand jury, or an administrative finding against us as to our present responsibility to be a U.S. government contractor or subcontractor, could result in us being suspended for a period of time from eligibility for awards of new government contracts or task orders or in a loss of export privileges, which could have a material adverse effect on our business, financial condition, results of operations, cash flows and equity. A conviction, or an administrative finding against us that satisfies the requisite level of seriousness, could result in debarment from contracting with the U.S. government for a specific term, which could have a material adverse effect on our business, financial condition, results of operations, cash flows and equity.</w:t>
      </w:r>
    </w:p>
    <w:p>
      <w:pPr>
        <w:spacing w:after="0" w:line="190"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necessary regulatory approvals from the FAA or other governmental agencies, or limitations put on the use of SUAS, MUAS and C-UAS in response to public privacy concerns, may prevent us from expanding the sales of our SUAS, MUAS and C-UAS to non-military customers in the United States.</w:t>
      </w:r>
    </w:p>
    <w:p>
      <w:pPr>
        <w:spacing w:after="0" w:line="17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regulation of SUAS, MUAS and C-UAS for commercial use in the United States is undergoing substantial change and the ultimate treatment is uncertain. In 2006, the FAA issued a clarification of its existing policies stating that, in order to engage in commercial use of SUAS and MUAS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airspace user is extremely improbable, that the small uncrewed aircraft system complies with appropriate cloud and terrain clearances and that the operator or spotter of the small uncrewed aircraft system is generally within one half-mile laterally and 400 feet vertically of the small uncrewed aircraft system while in operation. Furthermore, the FAA’s clarification of existing policy stated that the rules for radio-controlled hobby aircraft do not apply to public or commercial use of SUAS and MUAS.</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February 14, 2012, the FAA Modernization and Reform Act of 2012 was enacted, establishing various deadlines for the FAA to allow expanded use of SUAS and MUAS for both public and commercial applications. On June 21, 2016, the FAA released its final rules regarding the routine use of certain SUAS (under 55 pounds) in the U.S. National Airspace System pursuant to the act (the “Part 107 Rules”). The Part 107 Rules, which became effective in August 2016, provided safety regulations for SUAS conducting non-recreational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Additionally, in December 2019, the FAA proposed rules regarding remote UAS identification, which final rule became effective on September 16, 2023. In April 2021, the final rule for operation of SUAS over people went into effect, which permits routine operations of small, uncrewed aircraft over people, moving vehicles, and at night under certain conditions. The FAA has also introduced proposed rules for a new policy regarding the airworthiness certification of a newly created special class of UAS, which rules are not yet in effect.</w:t>
      </w:r>
    </w:p>
    <w:p>
      <w:pPr>
        <w:spacing w:after="0" w:line="19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It is unclear when, if ever, the FAA will create a new class of UAS and what the final rules regarding the certification of such new class of UAS will state. We cannot assure you that the Part 107 Rules, or any final rules enacted in furtherance on the FAA’s announced proposals, will result in the expanded use of our SUAS and MUAS by law enforcement or other non-military government agencies or commercial entities and we may not be able to expand our sales of SUAS and MUAS beyond our military customers, which could harm our business prospects.</w:t>
      </w:r>
    </w:p>
    <w:p>
      <w:pPr>
        <w:spacing w:after="0" w:line="183"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In addition, there exists public concern regarding the privacy implications of U.S. commercial and law enforcement use of SUAS. This concern has included calls to develop explicit written policies and procedures establishing usage limitations. We cannot assure you that the response from regulatory agencies, customers and privacy advocates to these concerns will not delay or restrict the adoption of SUAS, MUAS and C-UAS by non-military customers.</w:t>
      </w:r>
    </w:p>
    <w:p>
      <w:pPr>
        <w:spacing w:after="0" w:line="164"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deployment of C-UAS that utilize RF and directed energy is subject to stringent regulatory scrutiny, which could limit the sales and operational deployment of these technologies. Non-compliance with these evolving regulations could lead to fines, operational restrictions, or other penalties that may adversely affect our business.</w:t>
      </w:r>
    </w:p>
    <w:p>
      <w:pPr>
        <w:spacing w:after="0" w:line="1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that we are not able to obtain facility security clearances or engage employees with the required security clearances for a particular contract, we may not be able to bid on or win new contracts, or effectively rebid on expiring contracts.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and additional lawsuits may arise in the future. Occasionally we are also involved in governmental inquiries and investigations and administrative and regulatory proceedings. Our activities relating to defending and responding to any such proceedings may result in substantial legal expenses, may disrupt our sales and marketing or other business activities, including our relationships with our customers, suppliers, employees and other third parties, and divert management’s and our employees’ attention from our day-to-day operations, which may have an adverse impact on our financial performance. The results of any such proceedings are unpredictable. We record accruals for liabilities where we believe a loss is probable and reasonably estimable, including when negotiating settlements where appropriate in response to such claims, however, our actual losses may differ significantly from our interim estimates. An adverse or unfavorable resolution of any proceedings against us could have a material impact on our financial position, cash flows and results of operations.</w:t>
      </w:r>
    </w:p>
    <w:p>
      <w:pPr>
        <w:spacing w:after="0" w:line="190"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federal, state and international laws and regulations regarding data protection, privacy, and information security, as well as confidentiality obligations under various agreements, and our actual or perceived failure to comply with such obligations could damage our reputation, expose us to litigation risk, subject us to civil or criminal liability and adversely affect our business and operating results.</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w:t>
      </w:r>
    </w:p>
    <w:p>
      <w:pPr>
        <w:spacing w:after="0" w:line="1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spacing w:after="0" w:line="194"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certain data privacy rights for consumers and employees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regulations such as the General Data Protection Regulation (“GDPR”), which imposes stringent E.U. data protection requirements, provides an enforcement authority, and imposes large penalties for noncompliance, including for the transfer of personal data between the company and our German subsidiary, Telerob. Future laws, regulations, standards and other obligations, including the adoption of the GDPR, as well as changes in the interpretation of existing laws, regulations, standards and other obligations could impair our ability to collect, use or disclose information relating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individuals, which could decrease demand for our products, require us to restrict our business operations, increase our costs and impair our ability to maintain and grow our customer base and increase our revenue.</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business operations are subject to the evolving cybersecurity requirements of U.S. government agencies, including the DoD CMMC program. Our ongoing compliance with the CMMC framework is critical, and the associated costs of CMMC compliance are significant and may increase in the future, potentially affecting our operating results. Since the acquisition of BlueHalo, we have undertaken an effort to integrate the computer systems of legacy BlueHalo and our legacy computer systems (“Legacy AV”). In early 2026 we became aware of potential issues concerning Legacy AV’s compliance with certain cybersecurity requirements. Accordingly, in February 2026, we initiated an internal investigation, led by external counsel, regarding Legacy AV’s compliance with cybersecurity requirements in certain DoD contracts and subcontracts, to include an evaluation of the accuracy of Legacy AV’s cybersecurity information in the Supplier Performance Risk System (“SPRS”). Our investigation is ongoing, and we cannot predict whether it will lead to any adverse impact, nor can we predict the timing, outcome, or nature of any possible impact. If we have not complied or are unable to comply with the CMMC requirements, our ability to receive certain new DoD contracts, subcontracts, or follow-on work could be negatively affected. Additionally, non-compliance with requirements imposed on government contractors may result in the U.S. Government or other customers terminating our existing contracts, ceasing to do business with us, or imposing additional requirements. We also could be subject to significant penalties, damages, criminal fines, and suspension or debarment from U.S. Government contracting. Any of these potential consequences could materially and adversely affect our business, prospects, financial condition, and results of operations.</w:t>
      </w:r>
    </w:p>
    <w:p>
      <w:pPr>
        <w:spacing w:after="0" w:line="19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Although we endeavor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ensure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spacing w:after="0" w:line="19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and unforeseen costs, including in response to climate change, could impact our future earnings.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those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held responsible for cleanup costs even if they never owned or operated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contaminated facility. Although we have never been named a responsible party at a contaminated site, we could potentially be named a responsible party in the future.</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increasing global focus on climate change, including greenhouse gas (“GHG”) emissions, has resulted in legislative and regulatory efforts to address the causes and impacts of climate change. New and more strict laws and regulations to reduce GHG emissions and address other aspects of climate change, including carbon taxes, cap and trade programs, GHG reduction requirements, requirements for the use of green energy, and changes in procurement requirements, may result in increased operational and compliance obligations, which could adversely affect our financial condition and results of operations. Such laws and regulations could result in increased energy costs and costs to upgrade our facilities or change our manufacturing processes. Additionally, our suppliers may also face similar increased costs, which could result in them increasing the costs of components for our products and development programs. Changes to government procurement laws, including changes to the Federal Acquisition Regulations, designed to require climate risk and GHG emissions to be taken into account in the procurement process could result in increased costs to change our operations and manufacturing processes to ensure we remain competitive in the bidding process. We cannot predict the materiality of any potential additional costs associated with complying with such laws and regulations or whether we could raise prices to account for any such additional costs. Any non-compliance could negatively affect our reputation, our ability to compete in competitive bidding processes, including with the U.S. government, and our ability to sell our products and services. We cannot assure you that such existing laws or future laws addressing environmental concerns, including climate change, will not have a material adverse effect on our future earnings or results of operations.</w:t>
      </w:r>
    </w:p>
    <w:p>
      <w:pPr>
        <w:spacing w:after="0" w:line="191"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SEC’s conflict minerals regulations may increase our costs and adversely impact the supply-chain for our UAS products.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August 2012, the SEC adopted disclosure rules regarding a company’s use of conflict minerals in its products with substantial supply chain verification requirements in the event that the conflict minerals come from, or could have come from, the Democratic Republic of the Congo or adjoining countries. These rules and verification requirements have imposed additional costs on us and on our suppliers, including costs related to determining the source of conflict minerals used in our products, which may adversely affect our results of operations. We are dependent on information supplied by our first-tier suppliers in conducting due diligence into the origins of conflict minerals in our products and in complying with our SEC reporting obligations. To the extent that information we receive from our suppliers is inaccurate or inadequate, we may not be able to determine whether our products are conflict mineral-free. We may face challenges in satisfying our customers who may require that our products be certified as conflict mineral-free, which could place us at a competitive disadvantage and could harm our business. These regulations could also have the effect of limiting the pool of suppliers from which we source items containing conflict minerals, and we may be unable to obtain conflict-free minerals at competitive prices, if at all, which could increase our costs and adversely affect our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engineer our products or portions of our products or otherwise obtain and use our intellectual property. Moreover, many of our employees have access to our trade secrets and other intellectual property. Despite our efforts to protect such information,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83"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 which could be costly, time consuming and limit our ability to use certain technologies in the future.</w:t>
      </w:r>
    </w:p>
    <w:p>
      <w:pPr>
        <w:spacing w:after="0" w:line="159" w:lineRule="exact"/>
        <w:rPr>
          <w:sz w:val="20"/>
          <w:szCs w:val="20"/>
          <w:color w:val="auto"/>
        </w:rPr>
      </w:pPr>
    </w:p>
    <w:p>
      <w:pPr>
        <w:jc w:val="both"/>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We may become subject to claims that our technologies infringe upon the intellectual property or other proprietary rights of third parties. Defending against, or otherwise addressing, any such claims, regardless of their merit, could be time-consuming and expensive, and could divert our management’s attention away from the execution of our business plan.</w:t>
      </w:r>
    </w:p>
    <w:p>
      <w:pPr>
        <w:spacing w:after="0" w:line="2" w:lineRule="exact"/>
        <w:rPr>
          <w:sz w:val="20"/>
          <w:szCs w:val="20"/>
          <w:color w:val="auto"/>
        </w:rPr>
      </w:pPr>
    </w:p>
    <w:p>
      <w:pPr>
        <w:ind w:left="60" w:right="219"/>
        <w:spacing w:after="0" w:line="252" w:lineRule="auto"/>
        <w:rPr>
          <w:sz w:val="20"/>
          <w:szCs w:val="20"/>
          <w:color w:val="auto"/>
        </w:rPr>
      </w:pPr>
      <w:r>
        <w:rPr>
          <w:rFonts w:ascii="Times New Roman" w:cs="Times New Roman" w:eastAsia="Times New Roman" w:hAnsi="Times New Roman"/>
          <w:sz w:val="18"/>
          <w:szCs w:val="18"/>
          <w:color w:val="auto"/>
        </w:rPr>
        <w:t>Moreover, any settlement or adverse judgment resulting from such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could prevent us from offering our products to others. Infringement claims asserted against us may have a material adverse effect on our business, results of operations or financial condition.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Securities Markets and Investment in Our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significantly.</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80"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spending levels, both generally and by our particular customers;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U.S. trade policy, including the increase or introduction of tariffs;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operational activity by the U.S. military and allied militaries;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 resulting in potentially reduced earnings during a particular fiscal quarter;</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technologies, commercial relationships or other events relating to us or our industry or our competitors;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key products to gain market acceptance;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prospects for the markets in which we compete;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about the markets in which we compete or regarding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or military action related to international conflicts, wars or otherwise;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coverage regarding our products and services;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trading volume that may result from the expiration of lock-up arrangements pertaining to acquisition-related issuances of our common stock;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185"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stockholder may have the ability to significantly influence all matters submitted to stockholders for approval.</w:t>
      </w:r>
    </w:p>
    <w:p>
      <w:pPr>
        <w:spacing w:after="0" w:line="15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Entities affiliated with Arlington Capital Partners (the “Arlington Entities”), in the aggregate, beneficially own approximately 26.3% of our outstanding shares of common stock. This concentration of voting power gives the Arlington Entities the power to significantly influence matters submitted to our stockholders for approval, as well as our management and affairs. For example, the Arlington Entities could significantly influence the election of directors and approval of any merger, consolidation or sale of all or substantially all of our assets. In addition, this may prevent or discourage unsolicited acquisition proposals or offers for our capital stock that you may believe are in your best interest as one of our stockholders.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BlueHalo acquisition, the Arlington Entities entered into a shareholder’s agreement with us pursuant to which the Arlington Entities have, among other things, agreed to abide by customary standstill covenants, obligations to vote consistent with the recommendation of our Board of Directors, and customary employee non-solicit restrictions with respect to our subsidiaries’ employees (including BlueHalo and its subsidiaries). Under the shareholder’s agreement, we have, among other things, agreed to provide the Arlington Entities with certain board designation rights and, following a lock-up period as set forth in the shareholder’s agreement, customary registration rights, including customary demand and piggyback rights. The Arlington Entities will have such designation rights to designate two directors until they and their affiliates cease to collectively hold and own, directly or indirectly, at least 20% of our Adjusted Outstanding Shares (as defined below) and the Arlington Entities will have such designation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to designate one director until they and their affiliates cease to collectively hold and own, directly or indirectly, at least 15% but less than 20% of our Adjusted Outstanding Shares. “Adjusted Outstanding Shares” is defined in the shareholder’s agreement to refer to the total number of our issued and outstanding shares of common stock, less then number of shares issued by us within six months of May 1, 2025. The two directors nominated by the Arlington Entities upon the closing of the BlueHalo acquisition resigned from our Board of Directors effective June 17, 2026 and the Arlington Entities have not designated any replacement directors in their place.</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Moreover, the shareholder’s agreement provides that we renounce any interests or expectancy in being offered any business opportunities which the shareholder nominees, the Arlington Entities, or their affiliates conduct whether directly or indirectly, whether or not such business is competitive with or in the same or similar lines of business as us. This renunciation does not extend to business opportunities invested in on the basis of confidential information received from us or our representatives.</w:t>
      </w:r>
    </w:p>
    <w:p>
      <w:pPr>
        <w:spacing w:after="0" w:line="179"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the Notes.</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may conduct future offerings of common stock, preferred stock or other securities that are convertible into, or exercisable or exchangeable for, our common stock to finance our operations or fund acquisitions, or for other purposes. In addition, we have shares reserved and available for issuance pursuant to our 2023 Employee Stock Purchase Plan and our Amended and Restated 2021 Equity Incentive Plan and issued 17,425,849 shares of common stock as consideration for the BlueHalo acquisition, substantially all of which are subject to a lock-up, or earlier if approved by us, but will be eligible for resale upon expiration of the applicable lock-up period. Also, we issued 671,078 shares for the ESAero acquisition.</w:t>
      </w:r>
    </w:p>
    <w:p>
      <w:pPr>
        <w:spacing w:after="0" w:line="79"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The Indenture for the Notes does not restrict our ability to issue additional equity securities in the future. If we issue additional shares of our common stock or rights to acquire shares of our common stock, if any of our existing stockholders sell a substantial amount of our common stock, or if the market perceives that such issuances or sales may occur, then the trading price of our common stock and, accordingly, the Notes may significantly decline. In addition, any issuance of additional shares of common stock will dilute the ownership interests of our existing common stockholders, including Noteholders who have received shares of our common stock upon conversion of their Notes.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decline because of our acquisition activity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may decline as a result of our acquisition activity if, among other things, we are unable to achieve the expected growth in revenue and earnings, potential impairment of goodwill and intangible assets from acquisitions, or if the operational cost savings estimates in connection with the integration of acquired businesses are not realized. The market price of our common stock also may decline if we do not achieve the perceived benefits of the acquisitions as rapidly or to the extent anticipated by financial or industry analysts or if the effect of the acquisitions on our financial results is not consistent with the expectations of financial or industry analysts. The market price of our common stock may also be influenced by the issuance of our equity securities in acquisition transactions, which may or may not be at prevailing market prices and may have a dilutive effect on other stockholders.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stockholders.</w:t>
      </w:r>
    </w:p>
    <w:p>
      <w:pPr>
        <w:spacing w:after="0" w:line="229"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158"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engineers and other critical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operating infrastructure;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working capital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purchases and production capacity enhancement;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have obtained capital from the Credit Facilities noted above including the Term Loan Facility and Revolving Facility. We cannot assure you that additional financing will be available on terms favorable to us, or at all. Our current Credit Facilities contain,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could adversely affect our financial results.</w:t>
      </w:r>
    </w:p>
    <w:p>
      <w:pPr>
        <w:spacing w:after="0" w:line="22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We must maintain effective internal controls in order to provide reasonable assurance regarding the financial reporting soundness for external purposes. Internal controls over financial reporting is not intended to impart absolute assurance that we can prevent or detect misstatements of its financial statement or fraud due to its inherent limitations. The failure to maintain an effective system of internal controls over financial reporting could limit our ability to report financial results accurately and in a timely manner or to detect and prevent fraud, which could cause a loss of investor confidence in our reporting, depress our stock price, adversely limit our liquidity and access to the capital markets and we may be unable to maintain compliance with applicable stock exchange listing requirements and debt covenant requirements.</w:t>
      </w:r>
    </w:p>
    <w:p>
      <w:pPr>
        <w:spacing w:after="0" w:line="167"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Prior to our acquisition of BlueHalo, BlueHalo was not a U.S. public reporting company. The obligations associated with integrating into a public company, including to remediate BlueHalo’s material weaknesses in internal control over financial reporting, may require significant resources and management attention.</w:t>
      </w:r>
    </w:p>
    <w:p>
      <w:pPr>
        <w:spacing w:after="0" w:line="17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Prior to being acquired by AeroVironment, BlueHalo was a private company and not subject to public company reporting requirements. Additionally, from the time it was formed until the time it entered into the Merger Agreement, BlueHalo consummated a number of acquisitions of companies of varying degrees of size and sophistication with varying degrees of disclosure controls and procedures. As a public company, we are required to document and test our internal controls over financial reporting pursuant to Section 404(b) of the Sarbanes-Oxley Act of 2002, so that our management can certify as to the effectiveness of our internal control over financial reporting in connection with our annual report. BlueHalo (including all of its prior acquisitions) will be required to be included in the scope of our internal control over financial reporting in our annual report to be filed with the SEC following this annual report and thereafter, which requires us to make and document significant changes to our internal controls over financial reporting.</w:t>
      </w:r>
    </w:p>
    <w:p>
      <w:pPr>
        <w:spacing w:after="0" w:line="18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of its audited consolidated financial statements for the year ended December 31, 2024, BlueHalo identified three material weaknesses in its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First, BlueHalo did not design and maintain effective information technology (“IT”) general controls for information systems that are relevant to the preparation of its financial statements. Specifically, BlueHalo did not design and maintain: (i) program change management controls to ensure that program and data changes are identified, tested, authorized, and implemented appropriately; and (ii) user access controls to ensure appropriate segregation of duties and to adequately restrict user and privileged access to appropriate personnel. Second, BlueHalo did not design and maintain an effective control environment commensurate with our financial reporting requirements as a public company. Specifically, it did not maintain a sufficient complement of personnel with an appropriate degree of internal controls and accounting knowledge, experience, and training commensurate with 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accounting and financial reporting requirements. The limited personnel resulted in an inability to consistently establish appropriate authorities and responsibilities in pursuit of financial reporting objectives, as demonstrated by, among other things, insufficient segregation of duties in the finance and accounting functions. Third, BlueHalo did not design and maintain effective monitoring activities of the design and operation of controls on a timely basis, or take necessary corrective action to ensure that controls continue to operate effectively and are modified for changes in conditions as appropriate.</w:t>
      </w:r>
    </w:p>
    <w:p>
      <w:pPr>
        <w:spacing w:after="0" w:line="18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Bringing BlueHalo into compliance with rules and regulations applicable to us as a public company and integrating BlueHalo into our current compliance and accounting system and disclosure controls and procedures has increased our legal and financial compliance costs and is expected to continue to do so, make some activities more difficult, time consuming or costly and increase demand on our systems and resources. We cannot predict or estimate the amount of additional costs we may incur to bring BlueHalo into compliance with these requirements (including by remediating its outstanding material weaknesses) and we cannot guarantee the measures we take will be sufficient to satisfy our obligations as a public company. Ineffective internal control over financial reporting could also cause investors to lose confidence in our reported financial information, which would harm our business and likely have a negative effect on the trading price of shares of our common stock. Furthermore, the need to establish the necessary corporate infrastructure to integrate BlueHalo may divert management’s attention from implementing our growth strategy, which could prevent us from improving our business, financial condition and results of operations.</w:t>
      </w:r>
    </w:p>
    <w:p>
      <w:pPr>
        <w:spacing w:after="0" w:line="192"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Based on our assessment of our internal control over financial reporting as of April 30, 2026, we identified one material weakness remaining. BlueHalo did not design and maintain effective IT general controls for certain information systems that are relevant to the preparation of BlueHalo’s financial reporting information that is included in our consolidated financial statements. Specifically, BlueHalo did not design and maintain user access controls to ensure appropriate segregation of duties and to adequately restrict user and privileged access to appropriate personnel.</w:t>
      </w:r>
    </w:p>
    <w:p>
      <w:pPr>
        <w:spacing w:after="0" w:line="18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committed to a remediation plan to address the deficiencies and enhance the internal control environment and remediation efforts are ongoing.</w:t>
      </w:r>
    </w:p>
    <w:p>
      <w:pPr>
        <w:spacing w:after="0" w:line="158"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identified a material weakness in our internal control over financial reporting, and if we are unable to remediate this material weakness, or if we experience additional material weaknesses or other deficiencies in the future or otherwise fail to maintain an effective system of internal control, we may not be able to accurately and timely report our financial results.</w:t>
      </w:r>
    </w:p>
    <w:p>
      <w:pPr>
        <w:spacing w:after="0" w:line="180" w:lineRule="exact"/>
        <w:rPr>
          <w:sz w:val="20"/>
          <w:szCs w:val="20"/>
          <w:color w:val="auto"/>
        </w:rPr>
      </w:pPr>
    </w:p>
    <w:p>
      <w:pPr>
        <w:ind w:left="60" w:right="51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the Company’s consolidated financial statements as of and for the year ended April 30, 2026, the Company identified an error in the calculation of the carrying value used in the goodwill impairment analysis for the Space reporting unit. The Company determined that this error originated from a newly identified material weakness related to the preparation and review of the goodwill impairment analysis.</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Remediation efforts place a significant burden on management and add increased pressure to our financial resources and processes. As a result, we may not be successful in making the improvements necessary to remediate the material weakness identified by management, be able to do so in a timely manner, or be able to identify and remediate additional control deficiencies, including material weaknesses, in the future. Additionally, completion of remediation does not provide assurance that our remediation or other controls will continue to operate properly or remain adequate and we cannot assure you that we will not identify additional material weaknesses in our internal control over financial reporting in the future.</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remediate our existing material weakness or any future material weaknesses or other deficiencies in our internal control over financial reporting or disclosure controls and procedures, our ability to record, process and report financial information accurately, and to prepare financial statements within the time periods specified by the rules and forms of the SEC, could be adversely affected. This failure could negatively affect the market price and trading liquidity of our common stock, cause investors to lose confidence in our reported financial information, subject us to civil and criminal investigations and penalties and generally materially and adversely impact our business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any cash dividends on our common stock and do not anticipate paying any cash dividends in the foreseeable future.</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have not declared any cash dividends since becoming a public company and currently intend to retain all earnings to finance the operation and expansion of our business. Therefore, we do not anticipate that we will pay any cash dividends on shares of our common stock in the foreseeable future. We also do not expect to buy back any of our common stock for the foreseeable future. In addition, our ability to pay dividends and buy back shares of our common stock is restricted by the Credit Agreement. Any determination to pay dividends or stock buybacks in the future will be at the discretion of our board of directors and will be dependent upon our future financial condition, results of operations, capital requirements, legal restrictions, general business conditions and other relevant factors as determined by our Board of Directors. See the section herein titled, “Dividends.”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anti-takeover provisions in our organizational documents may discourage our acquisition by a third party, which could make it more difficult to acquire us and limit your ability to sell your shares at a premium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176" w:lineRule="exact"/>
        <w:rPr>
          <w:sz w:val="20"/>
          <w:szCs w:val="20"/>
          <w:color w:val="auto"/>
        </w:rPr>
      </w:pPr>
    </w:p>
    <w:p>
      <w:pPr>
        <w:ind w:left="1040" w:right="19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preferred stock in one or more series of with such rights, obligations and preferences as the Board may determine, without further vote or action by our stockholders;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notice procedures for stockholders to nominate candidates for election to the Board of Directors and for stockholders to submit proposals for consideration at a meeting of stockholders;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cumulative voting rights for our stockholders;</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of Directors, which effectively prevents stockholders from electing a majority of the Directors at any one annual meeting of stockholders;</w:t>
      </w:r>
    </w:p>
    <w:p>
      <w:pPr>
        <w:spacing w:after="0" w:line="67" w:lineRule="exact"/>
        <w:rPr>
          <w:rFonts w:ascii="Times New Roman" w:cs="Times New Roman" w:eastAsia="Times New Roman" w:hAnsi="Times New Roman"/>
          <w:sz w:val="18"/>
          <w:szCs w:val="18"/>
          <w:color w:val="auto"/>
        </w:rPr>
      </w:pPr>
    </w:p>
    <w:p>
      <w:pPr>
        <w:ind w:left="1040" w:right="199" w:hanging="315"/>
        <w:spacing w:after="0" w:line="275"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that Directors may be removed only for cause by the affirmative vote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total voting power of all of our outstanding securities entitled to vote in the election of Directors, voting together as a single class; and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our stockholders to call a special meeting of stockholders.</w:t>
      </w:r>
    </w:p>
    <w:p>
      <w:pPr>
        <w:spacing w:after="0" w:line="22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are also subject to Section 203 of the Delaware General Corporation Law which, subject to certain exceptions, prohibits “business combinations” between a publicly-held Delaware corporation and an “interested stockholder,” which is generally defined as a stockholder who becomes a beneficial owner of 15% or more of a Delaware corporation’s voting stock for a three-year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inflation could adversely affect our business and financial results.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can adversely affect us by increasing our operating costs, including our materials, freight and labor costs, which are already under pressure due to supply chain constraints. As interest rates rise to address inflation, such increases will also impact the base rates applicable in our credit arrangements and will result in borrowed funds becoming more expensive to us over time; similar financing pressures from inflation also can have a negative impact on customers’ willingness to purchase our products in the same volumes and at the same rates as previously anticipated. In a highly inflationary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environment, we may be unable to raise the sales prices of our products at or above the rate of inflation, which could reduce our profit margins having a material adverse effect on our financial performance.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Recession, financial and credit market disruptions may adversely affect us.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another global recession emerges, we may experience declines in revenues, profitability and cash flows from reduced orders, payment delays, collection difficulties, increased price pressures for our products, increased risk of excess and obsolete inventories or other factors caused by the economic problems of our customers. If negative conditions in the global credit markets prevent our customers from having access to credit or render them insolvent, orders for our products may decrease, which would result in lower revenue. Likewise, if our suppliers face challenges in obtaining credit, selling their products, or otherwise in operating their businesses or remaining solvent, they may become unable to offer the materials we use to manufacture our products. An economic or credit crisis could also have an impact on our ability to raise capital when needed. These events could adversely impact our ability to manufacture affected products and could also result in reductions in our revenue, increased price competition, and increased operating costs, which could adversely affect our business, financial condition, operational results, and cash flows.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We face various cybersecurity threats as a prominent target, including denial-of-service attacks, ransomware, phishing, theft of intellectual property, and advanced persistent threats. As an aerospace and defense company providing advanced defense technologies and services to the U.S. and foreign governments, these threats are not just from low-level threat actors, but rise to the level of sophisticated threat actors from organized and funded adversaries, including groups affiliated with various nation states. Our customers, suppliers, subcontractors, and vendors also face similar threats. Cybersecurity incidents impacting us, or any of these third parties, could have a material adverse effect on our operations, financial condition, and results of operations. Given the cybersecurity risks we face, we believe we dedicate ample resources to addressing and mitigating our cyber risks.</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cybersecurity program is designed to identify, detect, protect against, respond to, and recover from cyber risks and incidents. Our cybersecurity program is part of our internal risk management processes, and we improve our cybersecurity practices as new threats and vulnerabilities emerge.</w:t>
      </w:r>
    </w:p>
    <w:p>
      <w:pPr>
        <w:spacing w:after="0" w:line="176"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Our Chief Information Officer (“CIO”) and Chief Information Security Officer (“CISO”) / Vice President of Cybersecurity, both within our CIO organization, are responsible for protecting the company from cybersecurity threats. Incidents are triaged, contained and remediated pursuant to our Incident Response Plan and playbooks. This process also includes leadership and members of our IT, Legal, Security, Marketing and Communications, and other departments responsible for supporting the technologies and processes to protect against, detect, contain, mitigate, and recover from cybersecurity incidents.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cybersecurity team proactively hunts for cyber threats and vulnerabilities in our networks and information systems as part of our cyber risk management program. This includes monitoring our networks and systems for indicators of compromise (“IOCs”), active intrusion attempts, and other suspicious activity, including insider threat risks. The Security Operations Center team evaluates and assigns severity levels to cybersecurity incidents and, based on the severity, escalates and engages incident response teams to respond to and mitigate the risks. The cybersecurity team stays apprised of existing and emerging cybersecurity threats through commercial threat intelligence feeds and by partnering and data sharing with third parties such as the U.S. government, law enforcement agencies, customers, and other Defense Industrial Base (“DIB”) participants. We also engage third parties to conduct evaluations of our cybersecurity controls by performing penetration testing and controlled cybersecurity framework audits. We also review the cybersecurity practices of our third-party service providers and suppliers.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require our employees to take cybersecurity-related training regularly to promote awareness of how to detect, report, and respond to cybersecurity threats. Employees with certain roles and responsibilities are also assigned cyber training for their specific functions. We also maintain an Insider Threat program, headed by our CISO, to identify, assess, and deal with potential risks from within our company, including cybersecurity risks.</w:t>
      </w:r>
    </w:p>
    <w:p>
      <w:pPr>
        <w:spacing w:after="0" w:line="18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have aligned our cybersecurity program to the Cybersecurity Maturity Model Certification (“CMMC”) program. Given the diverse nature of our U.S. business and foreign business, other frameworks and requirements may also be used and may impose compliance demands beyond those currently anticipated. We are also subject to numerous legal requirements, including those governing privacy and data protection requirements and others pursuant to the Federal Acquisition Regulation (“FAR”), agency supplements to the FAR, such as the Defense Federal Acquisition Regulation Supplement (“DFARS”), other regulatory requirements imposing controls for protecting information, including U.S. government Controlled Unclassified Information (“CUI”), International Traffic in Arms Regulations (“ITAR”), as well as requirements for reporting cybersecurity incidents to the relevant regulators.</w:t>
      </w:r>
    </w:p>
    <w:p>
      <w:pPr>
        <w:spacing w:after="0" w:line="192" w:lineRule="exact"/>
        <w:rPr>
          <w:sz w:val="20"/>
          <w:szCs w:val="20"/>
          <w:color w:val="auto"/>
        </w:rPr>
      </w:pPr>
    </w:p>
    <w:p>
      <w:pPr>
        <w:ind w:left="60" w:right="399" w:firstLine="648"/>
        <w:spacing w:after="0" w:line="253" w:lineRule="auto"/>
        <w:rPr>
          <w:sz w:val="20"/>
          <w:szCs w:val="20"/>
          <w:color w:val="auto"/>
        </w:rPr>
      </w:pPr>
      <w:r>
        <w:rPr>
          <w:rFonts w:ascii="Times New Roman" w:cs="Times New Roman" w:eastAsia="Times New Roman" w:hAnsi="Times New Roman"/>
          <w:sz w:val="18"/>
          <w:szCs w:val="18"/>
          <w:color w:val="auto"/>
        </w:rPr>
        <w:t>If we fail to achieve or maintain CMMC certification ahead of contract awards from the DoD, or if we fail to achieve the level required for a particular contract, we will be unable to bid on new contracts or follow-on efforts containing CMMC clauses, which could adversely impact the success of our operations. Due to the evolving nature of CMMC and other regulatory requirements, changing customer guidance on data designations, acquisitions, unexpected environments, and the potential for new cybersecurity requirements, there is a risk that we may not meet these new requirements and be unable to bid on certain contracts or be eligible for renewals of existing contracts. Government or business decisions could change which areas of the business need to be compliant, which can incur costs or delays in eligibility for the associated contracts. Failure to adhere to cybersecurity requirements during the performance of government contracts could also subject us to liability for such non-compliance. Additionally, our subcontractors and certain vendors may need to obtain CMMC or other certifications, and we may be negatively impacted if they are not compliant with these requirements.</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CIO and CISO / VP of Cybersecurity, each with 20+ years of related experience, are responsible for the day-to-day management of our cybersecurity program and cybersecurity risks. Our CISO and team are primarily responsible for our overall cybersecurity risk management program and supervise both internal and external resources to identify, protect against, detect, respond to, and recover from cybersecurity risks, threats, and incidents.</w:t>
      </w:r>
    </w:p>
    <w:p>
      <w:pPr>
        <w:spacing w:after="0" w:line="180"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monthly meetings of our internal Configuration Control Board to help communicate and manage changes to our enterprise cybersecurity strategy and ensure it is implemented across the business, as well as to maintain awareness of events and changes occurring throughout the business.</w:t>
      </w:r>
    </w:p>
    <w:p>
      <w:pPr>
        <w:spacing w:after="0" w:line="176"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CISO / VP of Cybersecurity reports cybersecurity incidents to members of the company’s senior management, including the CIO, Chief Executive Officer (“CEO”), and the Board of Directors based on the severity and type of the incident to ensure proper external reporting is completed thoroughly and timely.</w:t>
      </w:r>
    </w:p>
    <w:p>
      <w:pPr>
        <w:spacing w:after="0" w:line="17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Pursuant to its charter, the Cybersecurity Committee of our Board of Directors is responsible for reviewing, discussing, and making recommendations to the full board regarding cybersecurity matters. Our CIO and CISO / VP of Cybersecurity provide presentations to the Cybersecurity Committee on our cybersecurity program at each of the committee’s regularly scheduled quarterly meetings. These briefings include assessments of the cyber risk and threats landscape, updates on incidents, policies and procedures, and our investments and plans in cybersecurity risk mitigation and governance. The Cybersecurity Committee also meets with the CIO and CISO to discuss various aspects of our cybersecurity program between regular meetings. All members of the Board of Directors are invited to attend all meetings of the Cybersecurity Committee, and the committee regularly briefs the entire board regarding its oversight of our cybersecurity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Cybersecurity Threats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cybersecurity incidents in the past and will experience cybersecurity incidents in the future. Prior cybersecurity incidents have not materially affected, or are reasonably likely to affect, our business strategy, results of operations or financial condition; however, there is no guarantee that a future cybersecurity incident would not have a material adverse effect on such items. While our cybersecurity program is designed to mitigate cybersecurity risks, we cannot eliminate all risks from cybersecurity threats. See Item 1A. Risk Factors for more information on our cybersecurity risks.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April 30, 2026, our facilities are primarily leased. Our corporate headquarters are located in Arlington, Virginia where we currently occupy approximately 7,400 square feet under an amended lease agreement expiring in August 2030. We also lease (i) a total of approximately 280,000 square feet of space in Simi Valley, California, which leases expire between 2027 and 2030, (ii) a total of approximately 200,000 square feet of space in Albuquerque, New Mexico, which leases expire between 2028 and 2034, (iii) a total of approximately 150,000 square feet of space in Huntsville, Alabama, which leases expire between 2026 and 2029, and (iv) approximately 150,000 square feet of space in Moorpark, California, for which the lease expires in 2030. These locations are used for administration and to design, engineer, test and manufacture, and (v) other facilities in California, Maryland, Florida, Virginia, Pennsylvania, Kansas, Colorado, Minnesota, Oklahoma, Texas and Ohio. We have international locations in Hampton Bishop, United Kingdom, used for business development and program management support, and Stuttgart, Germany, which facilities are used for administration, research and development, logistics, testing and manufacturing of UGV products.</w:t>
      </w:r>
    </w:p>
    <w:p>
      <w:pPr>
        <w:spacing w:after="0" w:line="192"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As of April 30, 2026, our business segments of AxS and SCDE had significant operations at the following locations listed alphabetically:</w:t>
      </w:r>
    </w:p>
    <w:p>
      <w:pPr>
        <w:spacing w:after="0" w:line="162" w:lineRule="exact"/>
        <w:rPr>
          <w:sz w:val="20"/>
          <w:szCs w:val="20"/>
          <w:color w:val="auto"/>
        </w:rPr>
      </w:pPr>
    </w:p>
    <w:p>
      <w:pPr>
        <w:ind w:left="1040" w:right="63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 Centreville, VA; Huntsville, AL; Lawrence, KS; Leesburg, VA; Moorpark, CA; Petaluma, CA; ; Pottstown, PA; San Luis Obispo, CA; Simi Valley, CA; Sunrise, FL; Stuttgart, Germany.</w:t>
      </w:r>
    </w:p>
    <w:p>
      <w:pPr>
        <w:ind w:left="1040" w:right="979" w:hanging="315"/>
        <w:spacing w:after="0" w:line="250"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SCDE: Albuquerque, NM; Annapolis Junction, MD; Dayton, OH; Herndon, VA; Huntsville, AL; Germantown, MD.</w:t>
      </w: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Arlington, VA; Herndon, VA and Simi Valley, CA.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May 26, 2026, a securities class action complaint was filed in the U.S. District Court for the Eastern District of Virginia by Eric Norrell naming AeroVironment; Wahid Nawabi, our President and CEO; Kevin McDonnell, our former Executive Vice President and Chief Financial Officer; and Mary Clum, President of our Space, Cyber &amp; Directed Energy segment, as defendants. See Norell v. AeroVironment, Inc., No. 1:26-cv-01429 (E.D. Va.). The complaint asserts violations of Sections 10(b) and 20(a) of the Securities Exchange Act of 1934, as amended, and Rule 10b-5 promulgated thereunder, claiming that the defendants made false and materially misleading statements regarding our work for the U.S. Space Force’s Satellite Communication Augmentation Resource (“SCAR”) program. The plaintiff seeks to represent a proposed class of all persons who purchased or otherwise acquired our common stock during the period June 25, 2025 through March 10, 2026. The complaint seeks a jury trial and unspecified compensatory damages, interest, and attorneys’ fees and other costs.</w:t>
      </w:r>
    </w:p>
    <w:p>
      <w:pPr>
        <w:spacing w:after="0" w:line="194"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The parties participated in a mediation session on May 8, 2025, but did not reach a resolution during the session.</w:t>
      </w:r>
    </w:p>
    <w:p>
      <w:pPr>
        <w:spacing w:after="0" w:line="18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On March 29, 2024, a former employee filed a complaint against AeroVironment in the Ventura County Superior Court in California, alleging violations of the California Labor Code related to wages, meal breaks, overtime,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 The parties stipulated to stay this PAGA case ahead of the mediation in the class action matter listed in the immediately preceding paragraph above.</w:t>
      </w:r>
    </w:p>
    <w:p>
      <w:pPr>
        <w:spacing w:after="0" w:line="18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June 11, 2025, the parties reached an agreement in principle to settle all claims in the class action complaint and PAGA complaint pursuant to a mediator’s proposal made on such a date by the mediator from the May 8, 2025 class action mediation session. A court must approve the terms of the settlement before we will pay any amounts pursuant to the settlement. The estimated settlement was accrued in our consolidated statements of income(loss) for the year ended April 30, 2025. We are currently working with the plaintiff to seek preliminary approval of the settlement.</w:t>
      </w:r>
    </w:p>
    <w:p>
      <w:pPr>
        <w:spacing w:after="0" w:line="18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76" w:lineRule="exact"/>
        <w:rPr>
          <w:sz w:val="20"/>
          <w:szCs w:val="20"/>
          <w:color w:val="auto"/>
        </w:rPr>
      </w:pPr>
    </w:p>
    <w:p>
      <w:pPr>
        <w:jc w:val="center"/>
        <w:ind w:right="6459"/>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22" w:lineRule="exact"/>
        <w:rPr>
          <w:sz w:val="20"/>
          <w:szCs w:val="20"/>
          <w:color w:val="auto"/>
        </w:rPr>
      </w:pPr>
    </w:p>
    <w:p>
      <w:pPr>
        <w:ind w:left="760" w:right="459" w:hanging="71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On June 24, 2026, the closing sales price of our common stock as reported on the NASDAQ Global Select Market, where it trades under the symbol AVAV, was $142.18 per share. As of June 24, 2026, there were 435 holders of record of our common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 The terms of our Credit Agreement restrict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4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-13335</wp:posOffset>
            </wp:positionV>
            <wp:extent cx="5546090" cy="3188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460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value of $100 invested on April 30, 2021 in AeroVironment, Inc., the Russell 2000 Index and the SPADE Defense Index.</w:t>
      </w:r>
    </w:p>
    <w:p>
      <w:pPr>
        <w:spacing w:after="0" w:line="8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Performance Graph Table ($)</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AeroVironment, Inc. Stock</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Russell 2000 Index</w:t>
            </w: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SPADE Defense Index</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Reserved.</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notes thereto included herein as Item 8. This discussion contains forward-looking statements. Refer to Part I, “Forward-Looking Statements” on page 2 and Item 1A, “Risk Factors” beginning on page 14, for a discussion of the uncertainties, risks and assumptions associated with these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are a defense technology provider delivering integrated capabilities across air, land, sea, space, and cyber. We develop and deploy autonomous systems, precision strike systems, counter-UAS technologies, space-based platforms, directed energy systems, and cyber and electronic warfare capabilities. We operate an international manufacturing footprint, delivering proven systems and capabilities to markets that offer the potential for significant long-term growth. In addition, we believe that some of the innovative potential products, services and technologies in our R&amp;D pipeline will emerge as new growth platforms in the future, creating additional market opportunities.</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success of our current product and service offerings stems from our investments in R&amp;D to invent and deliver advanced solutions, utilizing proprietary and commercially available technologies, and in acquiring leading businesses that help our customers achieve their desired outcomes. We develop and acquire these highly innovative solutions by working closely with our key customers to solve their most important challenges related to our areas of expertise. Our core technological capabilities, developed by more than 50 years of innovation, include robotics and robotics systems autonomy; modular open systems architecture; sensor design, development, miniaturization and integration; embedded software and firmware; miniature, low power, secure wireless digital communications and networks; lightweight aerostructures; high-altitude systems design, integration and operations; machine vision, machine learning, AI and autonomy; land, maritime and air deployment of munitions and aircraft systems; design and qualification for robotics in extreme terrestrial and space environments; low SWaP (Size, Weight and Power) system design and integration; collaborative multi-robotic crewed and uncrewed mission operation; power electronics and electric propulsion systems; efficient electric power conversion, storage systems and high density energy packaging; controls and systems integration; vertical takeoff and landing for fixed wing and hybrid aircraft and rotocraft systems; image stabilization and target tracking; advanced flight control systems; fluid dynamics; human-machine interface development; modular dismounted, networked multi-domain robotic control interfaces and analytic processing architecture; and integrated mission solutions for austere environments.</w:t>
      </w:r>
    </w:p>
    <w:p>
      <w:pPr>
        <w:spacing w:after="0" w:line="195"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The BlueHalo acquisition significantly enhanced our core technological capabilities, which now include advanced RF system design and development, software defined digital phased array antennas and radars, space qualified electronics, laser communication technologies, software defined radios, electronic warfare technology, target acquisition and tracking, directed energy-based weapons systems for counter uncrewed systems, RF-based systems for counter uncrewed, next generation counter uncrewed system missile technology, extended reality and virtual reality systems for training, modeling and simulation, hardware in the loop simulations, C2 sensing and tracking, uncrewed maritime platforms, uncrewed aerial platforms, full spectrum cyber operations, tactical mission networks, multi-int data analytics and threat intelligence, tools and analytics for GEOINT, SIGNINT, MASINT and OSINT, aerospace power and propulsion, material and processes, directed energy, photonics and electronics, biological and nanoscale technology, and health and human performance.</w:t>
      </w:r>
    </w:p>
    <w:p>
      <w:pPr>
        <w:spacing w:after="0" w:line="173"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Our business focuses primarily on the design, development, production, marketing, support and operation of innovative autonomous systems, precision strike systems, counter-UAS technologies, space-based platforms, directed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energy systems and the provision of services for advanced cyber, intel, defense operations, solutions that deliver mission-critical expertise and prototype development.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generate our revenue primarily from the sale, support, design and operation of our UAS, PSDS, UUV, UGV, Space and Directed Energy products. Support for our products includes training, spare parts, product repair and product replacement. We refer to these support activities, in conjunction with customer-funded R&amp;D and services provided for our Cyber and Mission Solutions customers, as our services operation. We derive most of our revenue from fixed-price and cost-plus-fee contracts with the majority from U.S. government and allied foreign governments.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Cost of sales consists of direct costs and allocated indirect costs. Direct costs include labor, materials, travel, subcontracts and other costs directly related to the execution of a specific contract. Indirect costs include overhead expenses, fringe benefits, depreciation of in-service ISR assets, inventory reserve for excess and obsolescence charges, amortization of acquired intangible assets and other costs that are not directly charged to a specific contract.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Gross margin is equal to revenue minus cost of sales. We use gross margin as a financial metric to help us understand trends in our direct costs and allocated indirect costs when compared to the revenue we generate.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(“SG&amp;A”), include salaries, fringe benefits, and other expenses related to selling, marketing and proposal activities, and other administrative costs and amortization of acquired intangible assets. Some SG&amp;A expenses relate to marketing, commissions on certain direct commercial sales to international customers and business development activities that support both ongoing business areas as well as new and emerging market areas. These activities can be directly associated with developing requirements for and applications of capabilities created in our R&amp;D activities. SG&amp;A is an important financial metric that we analyze to help us evaluate the contribution of our selling, marketing and proposal activities to revenue generation.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229"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R&amp;D is an integral part of our business model. We normally conduct significant internally funded R&amp;D. Our R&amp;D activities focus specifically on creating capabilities that support our existing product portfolio as well as new solutions.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January 2026, a stop-work order was received on an OTA for the delivery of BADGER phased array antenna systems to support Space Force’s SCAR program. Additionally, in March 2026, the customer terminated the agreement for convenience. We concluded that the stop-work order represented a trigger event that indicated the carrying value of the Space reporting unit exceeded its fair value. As a result, we updated the estimates of the long-term cash flows of the Space reporting unit to reflect the reduced revenue associated with the stop-work order and termination for convenience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$241 million in the Space reporting unit.</w:t>
      </w:r>
    </w:p>
    <w:p>
      <w:pPr>
        <w:spacing w:after="0" w:line="192"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As part of our annual goodwill impairment and identifiable asset test during the fiscal quarter ended April 30, 2025, we determined the carrying value of the UGV reporting unit exceeded its fair value due to a decrease in forecasted results of the UGV reporting unit resulting from reduced probability and delays of obtaining certain opportunities as well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as an increase in forecast expenditures to support operational decisions identified during the fiscal quarter ended April 30, 2025. These changes in estimates resulted in the recognition of a goodwill impairment charge of $18.4 million during the three months ended April 30, 2025 in the UGV reporting unit.</w:t>
      </w:r>
    </w:p>
    <w:p>
      <w:pPr>
        <w:spacing w:after="0" w:line="1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 ended April 30, 2026, we determined that it was more likely than not that the fair value of each of the remaining reporting units were more than their carrying values as of the annual goodwill impairment test date.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(Loss) Income, net</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Other (loss) income, net includes unrealized gains and losses associated with changes in the fair market value for equity security investments, realized gains and losses for the disposition of available-for-sale debt securities, interest income, and interest expense.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rates for fiscal years 2026 and 2025 were lower than the U.S. federal statutory rate of 21% primarily due to tax benefits from the U.S. federal research tax credit, excess benefits from stock-based compensation, and Foreign Derived Intangible Income deduction (“FDII”).</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Method Investment (Loss) Income, Net of Tax</w:t>
      </w:r>
    </w:p>
    <w:p>
      <w:pPr>
        <w:spacing w:after="0" w:line="229"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Equity method investment (loss) income, net of tax, includes equity method income or loss related to our investment in limited partnership funds for which we have concluded we have influence for holding more than a minor interest.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believe the following critical accounting estimates affect our more significant judgments and estimates used in preparing our consolidated financial statements. Refer to Note 1 to our consolidated financial statements entitled “Organization and Significant Accounting Policies,” which is included in Part II, Item 8 “Financial Statements and Supplementary Data” of this Annual Report. There have been no material changes made to the critical accounting estimates during the periods presented in the consolidated financial statements.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first of those key factors is that a significant number of our contracts are typically less than six months. The short-term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cost-reimbursable, or time and materials. We account for all revenue contracts in accordance with ASC 606. 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For contracts with multiple performance obligations, we allocate the contract’s transaction price to each performance obligation using observable standalone selling prices for similar products and services. When the standalone selling price is not directly observable, we use our best estimate of the standalone selling price of each distinct good or service in the contract using the cost plus reasonable margin approach.</w:t>
      </w:r>
    </w:p>
    <w:p>
      <w:pPr>
        <w:spacing w:after="0" w:line="194"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Our performance obligations are satisfied over time or at a point in time. Product revenue for certain Precision Strike products including LMS, Space, Directed Energy and Cyber and Mission Solution product deliveries and customization of UGV transport vehicles is recognized over time as costs are incurred. Contract services revenue is recognized over time and composed of revenue recognized on contracts for the provision of services, including repairs and maintenance, training, engineering design, development and prototyping activities, technical support services, ISR services, and customer-funded R&amp;D contracts.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 We elected the right to invoice practical expedient in which if an entity has a right to consideration from a customer in an amount that corresponds directly with the value to the customer of the entity’s performance completed to date, the entity may recognize revenue in the amount to which the entity has a right to invoice. Certain training services are recognized over time using an output method based on days of training completed. Warranty agreements which meet the definition of a performance obligation are recognized straight line over the warranty period. LMS product revenue is currently recognized over time as the product is considered to not have alternative use as the U.S. government is the only current customer including FMS sales. Once LMS products receive a DCS contract, which is expected during fiscal year 2027, the products are considered to have alternative use and revenue will be recognized at a point in time.</w:t>
      </w:r>
    </w:p>
    <w:p>
      <w:pPr>
        <w:spacing w:after="0" w:line="39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Our product sales revenue is primarily composed of revenue recognized on contracts for the delivery of UAS, UGV, UUV, IAMD, and EW systems and spare parts, respectively. Revenue is recognized at the point in time when control transfers to the customer, which generally occurs when title and risk of loss have passed to the customer.</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review cost performance, estimates to 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or unpriced change orders could result in cumulative catch up adjustments to revenue that could be material. During the fiscal years ended April 30, 2026, 2025 and 2024,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estimating revenue and profit rates, and are recorded when there is sufficient information to assess anticipated contract performance.</w:t>
      </w:r>
    </w:p>
    <w:p>
      <w:pPr>
        <w:spacing w:after="0" w:line="162"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April 30, 2026, 2025 and 2024, favorable and unfavorable cumulative catch-up adjustments included in revenue were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
        </w:trPr>
        <w:tc>
          <w:tcPr>
            <w:tcW w:w="4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140" w:type="dxa"/>
            <w:vAlign w:val="bottom"/>
          </w:tcPr>
          <w:p>
            <w:pPr>
              <w:spacing w:after="0"/>
              <w:rPr>
                <w:sz w:val="12"/>
                <w:szCs w:val="12"/>
                <w:color w:val="auto"/>
              </w:rPr>
            </w:pPr>
          </w:p>
        </w:tc>
        <w:tc>
          <w:tcPr>
            <w:tcW w:w="2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bottom w:val="single" w:sz="8" w:color="CCEEFF"/>
            </w:tcBorders>
          </w:tcPr>
          <w:p>
            <w:pPr>
              <w:spacing w:after="0"/>
              <w:rPr>
                <w:sz w:val="18"/>
                <w:szCs w:val="18"/>
                <w:color w:val="auto"/>
              </w:rPr>
            </w:pPr>
          </w:p>
        </w:tc>
      </w:tr>
      <w:tr>
        <w:trPr>
          <w:trHeight w:val="210"/>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adjustments</w:t>
            </w:r>
          </w:p>
        </w:tc>
        <w:tc>
          <w:tcPr>
            <w:tcW w:w="2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April 30, 2026, favorable cumulative catch up adjustments of $14.3 million were primarily due to favorable adjustments on 18 contracts, of which one contract had individually material adjustments. A Space and Directed Energy contract had a favorable adjustment due to lower expected costs and an increase in profitability which increased revenue by approximately $6.7 million. For the same period, unfavorable cumulative catch up adjustments of $16.9 million were primarily related to unfavorable adjustments on 25 contracts, of which one contract had individually material adjustments. A Cyber and Mission Solutions contract had an adjustment due to revised estimates of the total expected costs to complete the contracts, which decreased revenue by approximately $(3.1) million.</w:t>
      </w:r>
    </w:p>
    <w:p>
      <w:pPr>
        <w:spacing w:after="0" w:line="12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April 30, 2025, favorable cumulative catch up adjustments of $11.1 million were primarily due to favorable adjustments on eight contracts, of which four LMS undefinitized contract actions were definitized during the year ended April 30, 2025, which resulted in cumulative catch-up revenue adjustments that increased revenue by approximately $9.9 million. The remaining adjustments individually were not material. For the same period, unfavorable cumulative catch up adjustments of $5.1 million were primarily related to unfavorable adjustments on 17 contracts for higher revised estimates of the total expected costs to complete the contract, including one LMS contract, which decreased revenue by approximately $2.9 million. The remaining adjustments individually were not material.</w:t>
      </w:r>
    </w:p>
    <w:p>
      <w:pPr>
        <w:spacing w:after="0" w:line="10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April 30, 2024, favorable cumulative catch up adjustments of $7.4 million were primarily due to final cost adjustments on 17 contracts, of which we revised our estimates of the total expected costs to complete two LMS contracts during the year ended April 30, 2024. The aggregate impact of these adjustments in contract estimates on revenue related to performance obligations satisfied or partially satisfied in previous periods was an increase to revenue of approximately $2.7 million. For the same period, unfavorable cumulative catch up adjustments of $2.0 million were primarily related to higher than expected costs on 11 contracts, which individually were not material.</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Inventories Reserves for Excess and Obsolescence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net realizable value based on assumptions about future demand and market conditions and record to cost of sales. We may be required to record additional inventory write-downs if actual market conditions are less favorable than those projected by our management.</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the manner of our use of the acquired assets or the strategy for our overall business, significant negative industry or economic trends or significant underperformance relative to projected future results of operations.</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its business.</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January 2026, a stop-work order was received on an OTA for the delivery of BADGER phased array antenna systems to support Space Force’s SCAR program. Additionally, in March 2026, the customer terminated the agreement for convenience. We concluded that the stop-work order represented a trigger event that indicated the carrying value of the Space reporting unit exceeded its fair value. As a result, we updated our estimates of the long-term cash flows of the Space reporting unit to reflect the reduced revenue associated with the stop-work order and termination for convenience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$241 million in the Space reporting unit. Due to the trigger event, we also performed a recoverability test on the long-lived assets, inclusive of the intangibles, of the Space reporting unit for impairment in accordance with ASC 360. The undiscounted cash flows exceeded the carrying value and no impairment was recorded.</w:t>
      </w:r>
    </w:p>
    <w:p>
      <w:pPr>
        <w:spacing w:after="0" w:line="192"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As part of our annual goodwill impairment and identifiable asset test during the fiscal quarter ended April 30, 2025, we determined the carrying value of the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the recognition of a full goodwill impairment charge of $18.4 million during the three months ended April 30, 2025 in the UGV reporting unit.</w:t>
      </w:r>
    </w:p>
    <w:p>
      <w:pPr>
        <w:spacing w:after="0" w:line="187" w:lineRule="exact"/>
        <w:rPr>
          <w:sz w:val="20"/>
          <w:szCs w:val="20"/>
          <w:color w:val="auto"/>
        </w:rPr>
      </w:pPr>
    </w:p>
    <w:p>
      <w:pPr>
        <w:ind w:left="60" w:right="199" w:firstLine="648"/>
        <w:spacing w:after="0" w:line="277" w:lineRule="auto"/>
        <w:rPr>
          <w:sz w:val="20"/>
          <w:szCs w:val="20"/>
          <w:color w:val="auto"/>
        </w:rPr>
      </w:pPr>
      <w:r>
        <w:rPr>
          <w:rFonts w:ascii="Times New Roman" w:cs="Times New Roman" w:eastAsia="Times New Roman" w:hAnsi="Times New Roman"/>
          <w:sz w:val="17"/>
          <w:szCs w:val="17"/>
          <w:color w:val="auto"/>
        </w:rPr>
        <w:t>As of April 30, 2026, our Space reporting unit has a goodwill balance of approximately $291 million. During the most recent annual impairment test during the fourth quarter of fiscal year 2026, the estimated fair value of all reporting units with goodwill from acquisitions in previous years substantially exceeded their carrying value. The reporting units from the BlueHalo and ESAero acquisitions were recently recorded at estimated fair value during the fiscal year ended April 30, 2026 and, other than the Space unit, no triggering event for goodwill impairment was since identified.</w:t>
      </w:r>
    </w:p>
    <w:p>
      <w:pPr>
        <w:spacing w:after="0" w:line="168"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Intangible Assets – Acquired in Business Combinations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backlog, in-process research and development, customer relationships, licenses, trademarks and tradenames, and non-compete agreements. We use valuation techniques to value these intangibles assets, with the primary technique being a discounted cash flow analysis. A discounted cash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of such assets are consumed. As part of our annual goodwill impairment and identifiable asset test, performed during the quarter ended April 30, 2025, a decrease in forecasted results for the UGV reporting unit resulting from reduced probability and delays of obtaining certain opportunities as well as an increase in forecast expenditures to support operational decisions identified during the fiscal quarter ended April 30, 2025 was concluded to be a triggering event for impairment assessment and resulted in accelerated intangible amortization expenses of $4.3 million which were recorded during the three months ended April 30, 2025. Due to the trigger event, the Company performed a recoverability test on the long-lived assets of the Space reporting unit, inclusive of the intangibles, for impairment in accordance with ASC 360. The undiscounted cash flows exceeded the carrying value and no impairment was recorded for long-lived assets. Due to the SCAR trigger event in January 2026, the Company performed a recoverability test on the long-lived assets of the Space reporting unit, inclusive of the intangibles, for impairment in accordance with ASC 360. The undiscounted cash flows exceeded the carrying value and no impairment was recorded for long-lived assets.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income tax provision and related income tax assets and liabilities are based on actual and expected future income, U.S. and foreign statutory income tax rates, and tax regulations and planning opportunities in the various jurisdictions in which it operates. Significant judgment is required in interpreting tax regulations in the United States and in foreign jurisdictions, evaluating our worldwide uncertain tax positions, and assessing the likelihood of realizing certain tax benefits. Actual results could differ materially from those judgments, and changes in judgments could materially affect our consolidated financial statements.</w:t>
      </w:r>
    </w:p>
    <w:p>
      <w:pPr>
        <w:spacing w:after="0" w:line="187" w:lineRule="exact"/>
        <w:rPr>
          <w:sz w:val="20"/>
          <w:szCs w:val="20"/>
          <w:color w:val="auto"/>
        </w:rPr>
      </w:pPr>
    </w:p>
    <w:p>
      <w:pPr>
        <w:ind w:left="60" w:right="199" w:firstLine="648"/>
        <w:spacing w:after="0" w:line="272" w:lineRule="auto"/>
        <w:rPr>
          <w:sz w:val="20"/>
          <w:szCs w:val="20"/>
          <w:color w:val="auto"/>
        </w:rPr>
      </w:pPr>
      <w:r>
        <w:rPr>
          <w:rFonts w:ascii="Times New Roman" w:cs="Times New Roman" w:eastAsia="Times New Roman" w:hAnsi="Times New Roman"/>
          <w:sz w:val="17"/>
          <w:szCs w:val="17"/>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tax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 We record a valuation allowance to reduce our deferred tax assets if, based on the weight of available evidence, we believe expected future taxable income is not likely to support the use of a deduction or credit in that jurisdiction. We evaluate the level of our valuation allowances during the interim and annually.</w:t>
      </w:r>
    </w:p>
    <w:p>
      <w:pPr>
        <w:spacing w:after="0" w:line="17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record unrecognized tax benefits for U.S. federal, state, local, and foreign tax positions related primarily to tax credits claimed and tax nexus. For each reporting period, we apply a consistent methodology to measure unrecognized tax benefits and all unrecognized tax benefits are reviewed periodically and adjusted as circumstances warrant. Our measurement of our unrecognized tax benefits is based on our assessment of all relevant information, including prior audit experience, the status of audits, conclusions of tax audits, lapsing of applicable statutes of limitations, identification of new issues, and any administrative guidance or developments. We recognize unrecognized tax benefits in the first financial reporting period in which information becomes available indicating that such benefits will more likely than not (a greater than 50% likelihood) be realized.</w:t>
      </w:r>
    </w:p>
    <w:p>
      <w:pPr>
        <w:spacing w:after="0" w:line="19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have various foreign subsidiaries to conduct or support our business outside the United States. We do not provide for U.S. income taxes on undistributed earnings for our foreign subsidiaries as we expect the foreign earnings will be indefinitely reinvested in such foreign jurisdictions.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61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42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1,976,845</w:t>
            </w:r>
          </w:p>
        </w:tc>
        <w:tc>
          <w:tcPr>
            <w:tcW w:w="15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​​​100 %$ 820,627</w:t>
            </w:r>
          </w:p>
        </w:tc>
        <w:tc>
          <w:tcPr>
            <w:tcW w:w="15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​​​100 %$ 716,720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1,476,203</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501,991</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432,789</w:t>
            </w: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500,642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443,251</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158,753</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114,420</w:t>
            </w: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127,678</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100,729</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97,687</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(310,995)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(5,613)</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(23,059)</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 income (loss), net of tax</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(1,674)</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Effective May 1, 2025, we reorganized our segments in connection with our acquisition of BlueHalo. The reorganization was implemented to drive additional operational improvements, foster synergies and provide leaders with greater autonomy over their business units. Our reportable segments are AxS and SCDE. AxS includes the historical AeroVironment businesses UxS, LMS and MW as well as IAMD, EW, UUV, and Autonomous R&amp;D from the BlueHalo acquisition. SCDE includes the Space, Cyber and Mission Solutions, and Directed Energy businesses from the BlueHalo acquisition. Effective May 1, 2026 Autonomous R&amp;D is included in the SCDE segment.</w:t>
      </w:r>
    </w:p>
    <w:p>
      <w:pPr>
        <w:spacing w:after="0" w:line="187" w:lineRule="exact"/>
        <w:rPr>
          <w:sz w:val="20"/>
          <w:szCs w:val="20"/>
          <w:color w:val="auto"/>
        </w:rPr>
      </w:pPr>
    </w:p>
    <w:p>
      <w:pPr>
        <w:ind w:left="60" w:right="139" w:firstLine="693"/>
        <w:spacing w:after="0" w:line="254" w:lineRule="auto"/>
        <w:rPr>
          <w:sz w:val="20"/>
          <w:szCs w:val="20"/>
          <w:color w:val="auto"/>
        </w:rPr>
      </w:pPr>
      <w:r>
        <w:rPr>
          <w:rFonts w:ascii="Times New Roman" w:cs="Times New Roman" w:eastAsia="Times New Roman" w:hAnsi="Times New Roman"/>
          <w:sz w:val="18"/>
          <w:szCs w:val="18"/>
          <w:color w:val="auto"/>
        </w:rPr>
        <w:t>Also effective May 1, 2025, due to the increased size and complexity of the businesses, the significant amount of debt to finance the acquisition and the related debt covenants, the Chief Operating Decision Maker’s (“CODM”) measure of profitability is Segment Adjusted EBITDA, defined as segment income (loss) from operations before depreciation and amortization and adjusted for the impact of certain other non-cash items, including goodwill impairment, amortization of implementation of cloud computing arrangements, stock-based compensation, other purchase accounting adjustments, and cash items including acquisition related expenses and certain one-time non-operating expense or income such as legal expense. The following table (in thousands) sets forth our revenue and segment adjusted EBITDA generated by each reporting segment for the periods indicated. Prior period segment information has been revised to align with the new segment measure of profitability and the new reportable segments.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AxS</w:t>
            </w:r>
          </w:p>
        </w:tc>
        <w:tc>
          <w:tcPr>
            <w:tcW w:w="1940" w:type="dxa"/>
            <w:vAlign w:val="bottom"/>
            <w:gridSpan w:val="8"/>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April 30, 2026</w:t>
            </w: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1,358,077</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618,768</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1,976,845</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8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288,652</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56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AxS</w:t>
            </w:r>
          </w:p>
        </w:tc>
        <w:tc>
          <w:tcPr>
            <w:tcW w:w="1940" w:type="dxa"/>
            <w:vAlign w:val="bottom"/>
            <w:gridSpan w:val="8"/>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April 30, 2025</w:t>
            </w: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gridSpan w:val="2"/>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146,424</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6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AxS</w:t>
            </w:r>
          </w:p>
        </w:tc>
        <w:tc>
          <w:tcPr>
            <w:tcW w:w="194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April 30, 2024</w:t>
            </w:r>
          </w:p>
        </w:tc>
        <w:tc>
          <w:tcPr>
            <w:tcW w:w="106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7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127,753</w:t>
            </w:r>
          </w:p>
        </w:tc>
        <w:tc>
          <w:tcPr>
            <w:tcW w:w="5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We recorded intangible amortization expense and other purchase accounting adjustments in the following categories on the accompanying consolidated statements of income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ind w:left="50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r>
      <w:tr>
        <w:trPr>
          <w:trHeight w:val="216"/>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r>
      <w:tr>
        <w:trPr>
          <w:trHeight w:val="20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w:t>
            </w: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 April 30, 2026 Compared to Fiscal Year Ended April 30, 2025</w:t>
      </w:r>
    </w:p>
    <w:p>
      <w:pPr>
        <w:spacing w:after="0" w:line="225" w:lineRule="exact"/>
        <w:rPr>
          <w:sz w:val="20"/>
          <w:szCs w:val="20"/>
          <w:color w:val="auto"/>
        </w:rPr>
      </w:pPr>
    </w:p>
    <w:p>
      <w:pPr>
        <w:ind w:left="60" w:right="159" w:firstLine="648"/>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Revenue for the fiscal year ended April 30, 2026 was $1,976.8 million, as compared to $820.6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fiscal year ended April 30, 2025, representing an increase of $1,156.2 million, or 141%. The increase in revenue was due to an increase in product revenue of $722.6 million, and an increase in service revenue of $433.6 million. The increase in product revenue was primarily due to an increase of $526.0 million related to the acquisitions of BlueHalo and ESAero. Legacy AV product revenue included in the AxS segment increased by $196.6 million driven by an increase in LMS, MacCready Works, and MUAS products due to increase in domestic and international demand, partially offset by a decrease in SUAS due to a decrease in international sales. The increase in service revenue was primarily due to the $413.2 million service revenue resulting from our acquisition of BlueHalo. Legacy AV service revenue, included in the AxS segment, increased by $20.4 million driven by an increase in customer funded R&amp;D and engineering services of $22.6 million, partially offset by a decrease training and repair services primarily due to the decrease in SUAS product revenue. The proportion of service revenue to product revenue is expected to remain higher following the acquisition of BlueHalo.</w:t>
      </w:r>
    </w:p>
    <w:p>
      <w:pPr>
        <w:spacing w:after="0" w:line="173"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for the fiscal year ended April 30, 2026 was $1,476.2 million, as compared to $502.0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2025, representing an increase of $974.2 million, or 194%. The increase in cost of sales was a result of an increase in product cost of sales of $554.9 million and an increase in service costs of sales of $419.3 million. The increase in product costs of sales was primarily due to an increase of $345.0 million related to the acquisitions of BlueHalo and ESAero and an increase of $66.2 million intangible amortization related to the BlueHalo and ESAero acquisitions. Legacy AV product cost of sales increased $143.7 million. The increase in legacy product costs of sales was primarily due to an increase of approximately $111 million due to the increase in sales volume and approximately $34 million due to mix shift to a higher proportion of lower margin products driven by the increase in Switchblade production. The increase in service cost of sales was primarily due to an increase of $398.8 million associated with the BlueHalo acquisition and an increase of $7.1 million intangible amortization related to the BlueHalo acquisition. Legacy AV service cost of sales increased $13.4 million primarily due to an increase of approximately $15 million related to service volume. Cost of sales for the fiscal year ended April 30, 2026 included $92.7 million of intangible amortization and other related non-cash purchase accounting expenses as compared to $19.4 million for the fiscal year ended April 30, 2025. As a percentage of revenue, cost of sales increased from 61% to 75% primarily due to increased amortization and other non-cash purchase accounting expenses and an increase in the proportion of service revenue resulting from the effect of the BlueHalo acquisition, resulting in gross margin decreasing from 39% to 25%.</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60" w:right="5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SG&amp;A expense for the fiscal year ended April 30, 2026 was $443.0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22% of revenue, as compared to SG&amp;A expense of $158.8 million, or 19% of revenue, for the fiscal year</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ended April 30, 2025. The increase in SG&amp;A expense was primarily due to an increase of $126.4 million of intangible amortization expense primarily related to the BlueHalo acquisition, an increase of approximately $48 million of employee related expenses related to the increase in headcount, and an increase of $26.4 million of acquisition related expenses related to the BlueHalo and ESAero acquisitions.</w:t>
      </w:r>
    </w:p>
    <w:p>
      <w:pPr>
        <w:spacing w:after="0" w:line="176"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R&amp;D expense for the fiscal year ended April 30, 2026 was $127.7 million, or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revenue, as compared to R&amp;D expense of $100.7 million, or 12% of revenue, for the fiscal year ended April 30, 2025. R&amp;D expense increased by $27 million, or 27%, for the fiscal year ended April 30, 2026, primarily due to an increase in development activities regarding enhanced capabilities for our products, development of new product lines and to support our acquired businesses.</w:t>
      </w:r>
    </w:p>
    <w:p>
      <w:pPr>
        <w:spacing w:after="0" w:line="179"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w:t>
      </w:r>
      <w:r>
        <w:rPr>
          <w:rFonts w:ascii="Times New Roman" w:cs="Times New Roman" w:eastAsia="Times New Roman" w:hAnsi="Times New Roman"/>
          <w:sz w:val="18"/>
          <w:szCs w:val="18"/>
          <w:color w:val="auto"/>
        </w:rPr>
        <w:t>During the fiscal year ended April 30, 2026, a goodwill impairment charge of $240.7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was recorded resulting from a decrease in forecasted results of the Space reporting unit due to the Space Force’s decision to cancel the contract related to the delivery of BADGER phased array antenna systems to support the SCAR program. During the fiscal year ended April 30, 2025, a goodwill impairment charge of $18.4 million was recorded resulting from a decrease in forecasted results of the UGV reporting unit.</w:t>
      </w:r>
    </w:p>
    <w:p>
      <w:pPr>
        <w:spacing w:after="0" w:line="17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Interest Expense, net. </w:t>
      </w:r>
      <w:r>
        <w:rPr>
          <w:rFonts w:ascii="Times New Roman" w:cs="Times New Roman" w:eastAsia="Times New Roman" w:hAnsi="Times New Roman"/>
          <w:sz w:val="18"/>
          <w:szCs w:val="18"/>
          <w:color w:val="auto"/>
        </w:rPr>
        <w:t>Interest expense, net for the fiscal year ended April 30, 2026 was $5.6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interest expense net of $2.2 million for the fiscal year ended April 30, 2025. The increase was driven by the interest expense related to the Term Loan and Revolver Facility obtained on May 1, 2025 in conjunction with the BlueHalo acquisition and the unamortized debt issuance costs allocated to the Term Loan Facility of $6.7 million, which were expensed upon repayment of the Term Loan Facility in July 2025 using the proceeds from the convertible notes and common stock issuances in July 2025. The increase in interest expense was partially offset by an increase in interest income due to a combination of higher cash and investment balances and lower interest bearing debt balances.</w:t>
      </w:r>
    </w:p>
    <w:p>
      <w:pPr>
        <w:spacing w:after="0" w:line="183"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net. </w:t>
      </w:r>
      <w:r>
        <w:rPr>
          <w:rFonts w:ascii="Times New Roman" w:cs="Times New Roman" w:eastAsia="Times New Roman" w:hAnsi="Times New Roman"/>
          <w:sz w:val="18"/>
          <w:szCs w:val="18"/>
          <w:color w:val="auto"/>
        </w:rPr>
        <w:t>Other income, net for the fiscal year ended April 30, 2026 was $11.0 million,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million for the fiscal year ended April 30, 2025. The increase in other income, net is primarily due to realized gains associated with the sale of equity security investments of $11.7 million.</w:t>
      </w:r>
    </w:p>
    <w:p>
      <w:pPr>
        <w:spacing w:after="0" w:line="171"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income tax rate was 7.5% for the fiscal year ended April 30, 2026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 for the fiscal year ended April 30, 2025. The change in our effective income tax rate was primarily attributable to the increase in net loss before income taxes, inclusive of the goodwill impairment loss which is non-deductible, combined with a decrease in FDII deductions. The effective income tax rate for the fiscal year ended April 30, 2026, was primarily attributable to the goodwill impairment loss, which is non-deductible, partially offset by R&amp;D tax credits.</w:t>
      </w:r>
    </w:p>
    <w:p>
      <w:pPr>
        <w:spacing w:after="0" w:line="179" w:lineRule="exact"/>
        <w:rPr>
          <w:sz w:val="20"/>
          <w:szCs w:val="20"/>
          <w:color w:val="auto"/>
        </w:rPr>
      </w:pPr>
    </w:p>
    <w:p>
      <w:pPr>
        <w:ind w:left="6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 income, net of tax. </w:t>
      </w:r>
      <w:r>
        <w:rPr>
          <w:rFonts w:ascii="Times New Roman" w:cs="Times New Roman" w:eastAsia="Times New Roman" w:hAnsi="Times New Roman"/>
          <w:sz w:val="18"/>
          <w:szCs w:val="18"/>
          <w:color w:val="auto"/>
        </w:rPr>
        <w:t>Equity method investment income, net of tax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April 30, 2026 was $17.4 million, as compared to $4.8 million for the fiscal year ended April 30, 2025.</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AxS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4"/>
                <w:szCs w:val="14"/>
                <w:color w:val="auto"/>
              </w:rPr>
            </w:pPr>
          </w:p>
        </w:tc>
      </w:tr>
      <w:tr>
        <w:trPr>
          <w:trHeight w:val="227"/>
        </w:trPr>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80" w:type="dxa"/>
            <w:vAlign w:val="bottom"/>
          </w:tcPr>
          <w:p>
            <w:pPr>
              <w:spacing w:after="0"/>
              <w:rPr>
                <w:sz w:val="19"/>
                <w:szCs w:val="19"/>
                <w:color w:val="auto"/>
              </w:rPr>
            </w:pPr>
          </w:p>
        </w:tc>
        <w:tc>
          <w:tcPr>
            <w:tcW w:w="10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800" w:type="dxa"/>
            <w:vAlign w:val="bottom"/>
            <w:tcBorders>
              <w:bottom w:val="single" w:sz="8" w:color="CCEEFF"/>
            </w:tcBorders>
          </w:tcPr>
          <w:p>
            <w:pPr>
              <w:ind w:left="55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820,627</w:t>
            </w:r>
          </w:p>
        </w:tc>
      </w:tr>
      <w:tr>
        <w:trPr>
          <w:trHeight w:val="216"/>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146,424</w:t>
            </w:r>
          </w:p>
        </w:tc>
      </w:tr>
    </w:tbl>
    <w:p>
      <w:pPr>
        <w:spacing w:after="0" w:line="194"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AxS Segment Revenue. </w:t>
      </w:r>
      <w:r>
        <w:rPr>
          <w:rFonts w:ascii="Times New Roman" w:cs="Times New Roman" w:eastAsia="Times New Roman" w:hAnsi="Times New Roman"/>
          <w:sz w:val="18"/>
          <w:szCs w:val="18"/>
          <w:color w:val="auto"/>
        </w:rPr>
        <w:t>AxS revenue for the year ended April 30, 2026 was $1,358.1 million,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$820.6 million for the year ended April 30, 2025, representing an increase of $537.5 million, or 65%. The increase in revenue was due to an increase in product and service revenues of $450.1 million and $87.4 million, respectively. The increase in product revenue was primarily due to the $253.5 million of product revenue resulting from our acquisitions of BlueHalo and ESAero. Legacy AV product revenue included in the AxS segment increased by $196.6 million driven by an increase in LMS, MacCready Works, and MUAS products due to increase in domestic and international demand,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56" w:lineRule="auto"/>
        <w:rPr>
          <w:sz w:val="20"/>
          <w:szCs w:val="20"/>
          <w:color w:val="auto"/>
        </w:rPr>
      </w:pPr>
      <w:r>
        <w:rPr>
          <w:rFonts w:ascii="Times New Roman" w:cs="Times New Roman" w:eastAsia="Times New Roman" w:hAnsi="Times New Roman"/>
          <w:sz w:val="18"/>
          <w:szCs w:val="18"/>
          <w:color w:val="auto"/>
        </w:rPr>
        <w:t>partially offset by a decrease in SUAS due to a decrease in international sales. The increase in service revenue was primarily due to the $67.0 million of service revenue resulting from our acquisition of BlueHalo. Legacy AV service revenue, included in the AxS segment, increased by $20.4 million driven by an increase in customer funded R&amp;D and engineering services of $22.6 million, partially offset by a decrease training and repair services primarily due to the decrease in SUAS product revenue. Proportion of service revenue to product revenue is expected to remain higher following the acquisition of BlueHalo.</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AxS Segment Adjusted EBITDA. </w:t>
      </w:r>
      <w:r>
        <w:rPr>
          <w:rFonts w:ascii="Times New Roman" w:cs="Times New Roman" w:eastAsia="Times New Roman" w:hAnsi="Times New Roman"/>
          <w:sz w:val="18"/>
          <w:szCs w:val="18"/>
          <w:color w:val="auto"/>
        </w:rPr>
        <w:t>AxS segment adjusted EBITDA for the year ended April 30, 2026 was $288.7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$146.4 million for the year ended April 30, 2025, representing an increase of $142.3 million, or 97%. The increase in AxS segment adjusted EBITDA was primarily due to an increase in revenue of $537.5 million. The increase in revenue was partially offset by an increase in adjusted cost of sales of $340.8 million, adjusted SG&amp;A of $36.7 million primarily due employee related costs driven by the increased headcount, and R&amp;D of $12.3 million. The increase in adjusted cost of sales was primarily due to an increase of approximately $197.7 million associated with the BlueHalo and ESAero acquisitions. Legacy AV adjusted cost of sales increased $157.8 million driven by approximately $127 million due to the increase in sales volume and approximately $30 million due to mix shift to a higher proportion of lower margin products driven by the increase in Switchblade production, partially offset by $14 million of stock-based compensation and depreciation not included in adjusted cost of sales.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SCDE</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4"/>
                <w:szCs w:val="14"/>
                <w:color w:val="auto"/>
              </w:rPr>
            </w:pPr>
          </w:p>
        </w:tc>
      </w:tr>
      <w:tr>
        <w:trPr>
          <w:trHeight w:val="227"/>
        </w:trPr>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80" w:type="dxa"/>
            <w:vAlign w:val="bottom"/>
          </w:tcPr>
          <w:p>
            <w:pPr>
              <w:spacing w:after="0"/>
              <w:rPr>
                <w:sz w:val="19"/>
                <w:szCs w:val="19"/>
                <w:color w:val="auto"/>
              </w:rPr>
            </w:pPr>
          </w:p>
        </w:tc>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800" w:type="dxa"/>
            <w:vAlign w:val="bottom"/>
            <w:tcBorders>
              <w:bottom w:val="single" w:sz="8" w:color="CCEEFF"/>
            </w:tcBorders>
          </w:tcPr>
          <w:p>
            <w:pPr>
              <w:ind w:left="55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618,768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(2,596)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60" w:right="1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SCDE revenue for the year ended April 30, 2026 was $618.8 million, as compared to $0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April 30, 2025. The SCDE segment consists of business units obtained in the BlueHalo acquisition on May 1, 2025, and the increase in revenue is a result of the acquisition.</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SCDE Segment Adjusted EBITDA. </w:t>
      </w:r>
      <w:r>
        <w:rPr>
          <w:rFonts w:ascii="Times New Roman" w:cs="Times New Roman" w:eastAsia="Times New Roman" w:hAnsi="Times New Roman"/>
          <w:sz w:val="18"/>
          <w:szCs w:val="18"/>
          <w:color w:val="auto"/>
        </w:rPr>
        <w:t>SCDE segment adjusted EBITDA for the year ended April 30, 2026 was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$(2.6) million, as compared to $0 for the year ended April 30, 2025. The SCDE segment consists of business units obtained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BlueHalo acquisition on May 1, 2025, and the increase in segment adjusted EBITDA is a result of the acquisition.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 April 30, 2025 Compared to Fiscal Year Ended April 30, 2024</w:t>
      </w:r>
    </w:p>
    <w:p>
      <w:pPr>
        <w:spacing w:after="0" w:line="225" w:lineRule="exact"/>
        <w:rPr>
          <w:sz w:val="20"/>
          <w:szCs w:val="20"/>
          <w:color w:val="auto"/>
        </w:rPr>
      </w:pPr>
    </w:p>
    <w:p>
      <w:pPr>
        <w:jc w:val="both"/>
        <w:ind w:left="60" w:right="259"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Revenue for the fiscal year ended April 30, 2025 was $820.6 million, as compared to $716.7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fiscal year ended April 30, 2024, representing an increase of $103.9 million, or 14%. The increase in revenue was due to an increase in product revenue of $107.0 million, partially offset by a decrease in service revenue of $3.0 million.</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The increase in product revenue was primarily due to an increase of $164.7 million from the production of our Switchblade products, driven by increased global demand for our LMS associated with the current global conflicts as well as U.S. DoD. resupply and an increase of $4.4 million from the delivery of MW products driven by demand for new product releases, partially offset by a decrease of $62.1 million of product deliveries of our UxS products, primarily due to a decrease in international sales to Ukraine. Fiscal 2025 also included favorable cumulative catch-up revenue adjustments of $12.0 million due to changes in estimates associated with the definitization of certain LMS contracts. The decrease in service revenue was primarily due to a decrease of $2.8 million in other engineering services and customer-funded R&amp;D activities primarily associated with the shift from development to production of certain LMS products.</w:t>
      </w:r>
    </w:p>
    <w:p>
      <w:pPr>
        <w:spacing w:after="0" w:line="190"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for the fiscal year ended April 30, 2025 was $502.0 million, as compared to $432.8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2024, representing an increase of $69.2 million, or 16%. The increase in cost of sales was a result of an increase in product cost of sales of $64.2 million and an increase in service costs of sales of $5.0 million. The increase in product cost of sales was primarily due to approximately $62 million associated with the increase in product sales volume, $4.6 million due to the UGV accelerated intangible amortization expenses, partially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offset by a decrease of approximately $3 million due to product mix shift primarily to the definitization of LMS contracts. The increase of $5.0 million in service costs of sales was primarily due to approximately $7 million increase due to mix shift associated with a higher proportion of engineering services, partially offset by approximately $2 million associated with the decreased service volume. Cost of sales for the fiscal year ended April 30, 2025 included $19.4 million of intangible amortization as compared to $13.5 million of intangible amortization and other related non-cash purchase accounting expenses for the fiscal year ended April 30, 2024. As a percentage of revenue, cost of sales increased from 60% to 61%, primarily due to the accelerated amortization of UGV intangibles of $4.6 million, partially offset by an increase in the proportion of product revenue to total revenue, resulting in a decrease in gross margin from 40% to 39%.</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SG&amp;A expense for the fiscal year ended April 30, 2025 was $158.8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19% of revenue, as compared to SG&amp;A expense of $114.4 million, or 16% of revenue, for the fiscal year ended April 30, 2024. The increase in SG&amp;A expense was primarily due to an increase of $17.2 million in acquisition related expenses related to the BlueHalo acquisition, an increase in employee related expenses of $10.0 million driven by an increase in average headcount and expansion of our global business development team, and an increase in sales and marketing expense of $9.4 million driven by an increase in bid and proposal efforts associated with the higher sales volume.</w:t>
      </w:r>
    </w:p>
    <w:p>
      <w:pPr>
        <w:spacing w:after="0" w:line="183" w:lineRule="exact"/>
        <w:rPr>
          <w:sz w:val="20"/>
          <w:szCs w:val="20"/>
          <w:color w:val="auto"/>
        </w:rPr>
      </w:pPr>
    </w:p>
    <w:p>
      <w:pPr>
        <w:ind w:left="60" w:right="13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R&amp;D expense for the fiscal year ended April 30, 2025 was $100.7 million, or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revenue, as compared to R&amp;D expense of $97.7 million, or 14% of revenue, for the fiscal year ended April 30, 2024. R&amp;D expense increased by $3.0 million, or 3%, for the fiscal year ended April 30, 2025, primarily due to an increase in development activities regarding enhanced capabilities for our products, development of new product lines and to support our acquired businesses.</w:t>
      </w:r>
    </w:p>
    <w:p>
      <w:pPr>
        <w:spacing w:after="0" w:line="17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w:t>
      </w:r>
      <w:r>
        <w:rPr>
          <w:rFonts w:ascii="Times New Roman" w:cs="Times New Roman" w:eastAsia="Times New Roman" w:hAnsi="Times New Roman"/>
          <w:sz w:val="18"/>
          <w:szCs w:val="18"/>
          <w:color w:val="auto"/>
        </w:rPr>
        <w:t>A goodwill impairment charge of $18.4 million resulting from a decrease in forecasted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the UGV reporting unit identified during our annual goodwill impairment test during the three months ended April 30, 2025 in the UGV reporting unit.</w:t>
      </w:r>
    </w:p>
    <w:p>
      <w:pPr>
        <w:spacing w:after="0" w:line="171"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Interest Expense, net. </w:t>
      </w:r>
      <w:r>
        <w:rPr>
          <w:rFonts w:ascii="Times New Roman" w:cs="Times New Roman" w:eastAsia="Times New Roman" w:hAnsi="Times New Roman"/>
          <w:sz w:val="18"/>
          <w:szCs w:val="18"/>
          <w:color w:val="auto"/>
        </w:rPr>
        <w:t>Interest expense, net for the fiscal year ended April 30, 2025 was $2.2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interest expense net of $4.2 million for the fiscal year ended April 30, 2024. The decrease in interest expense, net was primarily due to a decrease of $5.0 million in interest expense primarily due to lower average outstanding balances on our debt facility, partially offset by a decrease in interest income of $2.5 million primarily due to lower interest rates and a decrease in our average investment balances. On May 1, 2025, in connection with the closing of the BlueHalo acquisition, we entered into a new Term A Loan and borrowed from our revolving credit facility (the “Revolving Credit Facility,” and together with the Term A Loan, the “Credit Facilities”). As of May 1, 2025, the outstanding balance of the Credit Facilities was $955.0 million, which bears a variable interest rate.</w:t>
      </w:r>
    </w:p>
    <w:p>
      <w:pPr>
        <w:spacing w:after="0" w:line="185"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Income (Expense), net. </w:t>
      </w:r>
      <w:r>
        <w:rPr>
          <w:rFonts w:ascii="Times New Roman" w:cs="Times New Roman" w:eastAsia="Times New Roman" w:hAnsi="Times New Roman"/>
          <w:sz w:val="18"/>
          <w:szCs w:val="18"/>
          <w:color w:val="auto"/>
        </w:rPr>
        <w:t>Other income, net for the fiscal year ended April 30, 2025 was $1.1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other expense, net of $4.4 million for the fiscal year ended April 30, 2024. The increase in other income, net is primarily due to a decrease in unrealized losses associated with increases in fair market value for equity security investments of $4.1 million.</w:t>
      </w:r>
    </w:p>
    <w:p>
      <w:pPr>
        <w:spacing w:after="0" w:line="176" w:lineRule="exact"/>
        <w:rPr>
          <w:sz w:val="20"/>
          <w:szCs w:val="20"/>
          <w:color w:val="auto"/>
        </w:rPr>
      </w:pPr>
    </w:p>
    <w:p>
      <w:pPr>
        <w:ind w:left="60" w:right="2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income tax rate was 2.2% for the fiscal year ended April 30, 2025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for the fiscal year ended April 30, 2024. The decrease in our effective tax rate in fiscal 2025 compared with fiscal 2024 was primarily due to a decrease in net income, a decrease in our FDII deduction, offset by non-deductible goodwill impairment expense from our foreign subsidiary.</w:t>
      </w:r>
    </w:p>
    <w:p>
      <w:pPr>
        <w:spacing w:after="0" w:line="176" w:lineRule="exact"/>
        <w:rPr>
          <w:sz w:val="20"/>
          <w:szCs w:val="20"/>
          <w:color w:val="auto"/>
        </w:rPr>
      </w:pPr>
    </w:p>
    <w:p>
      <w:pPr>
        <w:jc w:val="both"/>
        <w:ind w:left="6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 gain (loss), net of tax. </w:t>
      </w:r>
      <w:r>
        <w:rPr>
          <w:rFonts w:ascii="Times New Roman" w:cs="Times New Roman" w:eastAsia="Times New Roman" w:hAnsi="Times New Roman"/>
          <w:sz w:val="18"/>
          <w:szCs w:val="18"/>
          <w:color w:val="auto"/>
        </w:rPr>
        <w:t>Equity method investment gain, net of tax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April 30, 2025 was $4.8 million, as compared to equity method investment loss of $(1.7) million for the fiscal year ended April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AxS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5"/>
                <w:szCs w:val="15"/>
                <w:color w:val="auto"/>
              </w:rPr>
            </w:pPr>
          </w:p>
        </w:tc>
      </w:tr>
      <w:tr>
        <w:trPr>
          <w:trHeight w:val="227"/>
        </w:trPr>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9"/>
                <w:szCs w:val="19"/>
                <w:color w:val="auto"/>
              </w:rPr>
            </w:pPr>
          </w:p>
        </w:tc>
        <w:tc>
          <w:tcPr>
            <w:tcW w:w="10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860" w:type="dxa"/>
            <w:vAlign w:val="bottom"/>
            <w:tcBorders>
              <w:bottom w:val="single" w:sz="8" w:color="CCEEFF"/>
            </w:tcBorders>
          </w:tcPr>
          <w:p>
            <w:pPr>
              <w:ind w:left="56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127,753</w:t>
            </w:r>
          </w:p>
        </w:tc>
      </w:tr>
    </w:tbl>
    <w:p>
      <w:pPr>
        <w:spacing w:after="0" w:line="19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AxS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AxS Revenue for the fiscal year ended April 30, 2025 was $820.6 million, as compared to $716.7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fiscal year ended April 30, 2024, representing an increase of $103.9 million, or 14%. The increase in revenue was due to an increase in product revenue of $107.0 million, partially offset by a decrease in service revenue of $3.0 million. The increase in product revenue was primarily due to an increase of $164.7 million from the production of our Switchblade products, driven by increased global demand for our LMS associated with the current global conflicts as well as U.S. DoD. resupply and an increase of $4.4 million from the delivery of MW products driven by demand for new product releases, partially offset by a decrease of $62.1 million of product deliveries of our UxS products, primarily due to a decrease in international sales to Ukraine. Fiscal 2025 also included favorable cumulative catch-up revenue adjustments of $12.0 million due to changes in estimates associated with the definitization of certain LMS contracts. The decrease in service revenue was primarily due to a decrease of $2.8 million in other engineering services and customer-funded R&amp;D activities primarily associated with the shift from development to production of certain LMS products.</w:t>
      </w:r>
    </w:p>
    <w:p>
      <w:pPr>
        <w:spacing w:after="0" w:line="18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AxS Segment Adjusted EBITDA. </w:t>
      </w:r>
      <w:r>
        <w:rPr>
          <w:rFonts w:ascii="Times New Roman" w:cs="Times New Roman" w:eastAsia="Times New Roman" w:hAnsi="Times New Roman"/>
          <w:sz w:val="18"/>
          <w:szCs w:val="18"/>
          <w:color w:val="auto"/>
        </w:rPr>
        <w:t>AxS segment adjusted EBITDA for the year ended April 30, 2025 was $146.4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$127.8 million for the year ended April 30, 2024, representing an increase of $18.6 million, or 15%. The increase in AxS segment adjusted EBITDA was primarily due to an increase in revenue of $103.9 million. The increase in revenue was partially offset by an increase in adjusted cost of sales of $60.1 million, adjusted SG&amp;A of $25.5 million primarily due employee related costs driven by the increased headcount, and R&amp;D of $3.0 million. The increase in adjusted cost of sales was primarily due to an increase of approximately $58 million due to the increase in sales volume and approximately $2 million due to mix shift to a higher proportion of lower margin products driven by the increase in Switchblade production.</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SCDE. </w:t>
      </w:r>
      <w:r>
        <w:rPr>
          <w:rFonts w:ascii="Times New Roman" w:cs="Times New Roman" w:eastAsia="Times New Roman" w:hAnsi="Times New Roman"/>
          <w:sz w:val="18"/>
          <w:szCs w:val="18"/>
          <w:color w:val="auto"/>
        </w:rPr>
        <w:t>SCDE was formed as a segment May 1, 2025 with no results prior to this date.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79" w:firstLine="863"/>
        <w:spacing w:after="0" w:line="254" w:lineRule="auto"/>
        <w:rPr>
          <w:sz w:val="20"/>
          <w:szCs w:val="20"/>
          <w:color w:val="auto"/>
        </w:rPr>
      </w:pPr>
      <w:r>
        <w:rPr>
          <w:rFonts w:ascii="Times New Roman" w:cs="Times New Roman" w:eastAsia="Times New Roman" w:hAnsi="Times New Roman"/>
          <w:sz w:val="18"/>
          <w:szCs w:val="18"/>
          <w:color w:val="auto"/>
        </w:rPr>
        <w:t>In May 2025, in connection with the consummation of the BlueHalo acquisition, the Company entered into a Fourth Amendment to Credit Agreement with BofA NA, the administrative agent and the swingline lender, JPM, U.S. Bank, Citibank, BMO, Citizens and RBC. The Amended Credit Agreement provides for an aggregate $700.0 million term loan and an aggregate $350.0 million revolving credit facility. Upon effectiveness of the Amended Credit Agreement, we drew $225.0 million from the amended Revolving Facility and the full $700.0 million of the Term Loan Facility. The proceeds from the Term Loan Facility and the Revolving Facility were used to repay certain outstanding indebtedness of BlueHalo and to pay for certain related transaction costs. In June 2025, we drew an additional $10.0 million under the Revolving Facility.</w:t>
      </w:r>
    </w:p>
    <w:p>
      <w:pPr>
        <w:spacing w:after="0" w:line="192"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July 2025, we issued 4,057,460 shares of common stock at a public offering price of $248.00 per share (the “Common Stock Offering”) and issued $747,500,000 aggregate principal amount of 0% convertible senior notes due 2030 (the “Notes Offering”). The aggregate net proceeds from the Common Stock Offering and the Notes Offering, after deducting underwriting discounts and debt and equity issuance costs, was approximately $1.70 billion. The Company used approximately $965.3 million of the net proceeds from the Common Stock Offering and the Notes Offering to repay indebtedness under the Term Loan Facility and outstanding borrowings under the Revolving Credit Facility, and the remainder is expected to be used for general corporate purposes, including to increase manufacturing capacity.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863"/>
        <w:spacing w:after="0" w:line="255" w:lineRule="auto"/>
        <w:rPr>
          <w:sz w:val="20"/>
          <w:szCs w:val="20"/>
          <w:color w:val="auto"/>
        </w:rPr>
      </w:pPr>
      <w:r>
        <w:rPr>
          <w:rFonts w:ascii="Times New Roman" w:cs="Times New Roman" w:eastAsia="Times New Roman" w:hAnsi="Times New Roman"/>
          <w:sz w:val="18"/>
          <w:szCs w:val="18"/>
          <w:color w:val="auto"/>
        </w:rPr>
        <w:t>The $700.0 million term loan has been repaid in full and closed; although new term loans can be renegotiated and issued under the Credit Facility. Our ability to borrow under the Revolving Facility is reduced by outstanding letters of credit of $13.2 million as of April 30, 2026. As of April 30, 2026, approximately $336.8 million was available under the Revolving Facility. Refer to Note 10—Debt to our unaudited condensed consolidated financial statements in Part I, Item 1 of this Annual Report on Form 10-K for further details. In addition, Telerob has a line of credit of €9.0 million ($10.5 million) available for borrowing or issuing letters of credit of which €2.2 million ($2.6 million) was outstanding as of April 30, 2026.</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is party to a receivables purchase agreement with Citibank, N.A., with an aggregate capacity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 million. As of April 30, 2026, no receivables have been sold, proceeds collected, or purchase discount fees incurred.</w:t>
      </w:r>
    </w:p>
    <w:p>
      <w:pPr>
        <w:spacing w:after="0" w:line="20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primary recurring liquidity needs are for financing working capital, investing in capital expenditures, supporting product development efforts, introducing new products and enhancing existing products, marketing acceptance and adoption of our products and services, and possible acquisitions of entities or strategic assets.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the Amended Credit Agreement. In addition, we may also need to seek additional equity funding or debt financing if we become a party to any agreement or letter of intent for potential investments in, or acquisitions of, businesses, services or technologies.</w:t>
      </w:r>
    </w:p>
    <w:p>
      <w:pPr>
        <w:spacing w:after="0" w:line="194"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 Plus and T&amp;M contracts, we typically bill our incurred costs and fees monthly as work progresses, and therefore working capital investment is minimal. On FFP contracts, we typically are paid as we deliver products, and working capital is needed to fund labor and expenses incurred during the lead time from contract award until contract deliveries begin. Certain contracts have negotiated progress payments, which facilitates billing and collection as work is completed.</w:t>
      </w:r>
    </w:p>
    <w:p>
      <w:pPr>
        <w:spacing w:after="0" w:line="183"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Due to the July 2025 reconciliation bill, commonly known as the One Big Beautiful Bill Act (“OBBA”), which allows R&amp;D expenditures to be deducted, our cash taxes paid for U.S. federal income taxes are significantly reduced for the fiscal year ending April 30, 2026.</w:t>
      </w:r>
    </w:p>
    <w:p>
      <w:pPr>
        <w:spacing w:after="0" w:line="176"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In May 2026, we notified the lessor of our intent to exercise the purchase option in the 100 Quality Circle, Huntsville, Alabama lease agreement and plan to purchase the building for $16.3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our cash flow data from continuing operations for the periods ended: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142"/>
        </w:trPr>
        <w:tc>
          <w:tcPr>
            <w:tcW w:w="4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1"/>
        </w:trPr>
        <w:tc>
          <w:tcPr>
            <w:tcW w:w="4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8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(1,232,671)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(51,714)</w:t>
            </w:r>
          </w:p>
        </w:tc>
        <w:tc>
          <w:tcPr>
            <w:tcW w:w="8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1,647,178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Cash (Used in) Provided by Operating Activities. </w:t>
      </w:r>
      <w:r>
        <w:rPr>
          <w:rFonts w:ascii="Times New Roman" w:cs="Times New Roman" w:eastAsia="Times New Roman" w:hAnsi="Times New Roman"/>
          <w:sz w:val="18"/>
          <w:szCs w:val="18"/>
          <w:color w:val="auto"/>
        </w:rPr>
        <w:t>Net cash used in operating activities for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30, 2026 increased by $77.1 million to $78.4 million, as compared to net used in operating activities of $1.3 million for the fiscal year ended April 30, 2025. This decrease in net cash provided by operating activities was primarily due to a decrease in changes in operating assets and liabilities of $236.6 million, largely resulting from increases in inventories due to increased demand and accounts receivable and unbilled receivables and retentions due to year over year timing differences, and a decrease in net income of $308.7 million. The decrease in cash provided by operating activities was partially offset by an increase in non-cash expenses of $468.3 million, primarily due to an increase in depreciation and amortization and goodwill impairment charges.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 for the fiscal year ended April 30, 2025 increased by $16.6 million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 million, as compared to net cash provided by operating activities of $15.3 million for the fiscal year ended April 30,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This decrease in net cash provided by operating activities was primarily due to a decrease in net income of $16.0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and changes in operating assets and liabilities, largely resulting from increases in accounts receivable and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receivable and a decrease in other liabilities, partially offset by a decrease in inventories and an increase in accounts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payable due to year over year timing differences. The decrease in cash provided by operating activities was partially offset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an increase in non-cash expenses of $10.9 million, primarily due to a goodwill impairment of $18.4 million in the fiscal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ended April 30, 2025, an increase in stock-based compensation and depreciation and amortization, partially offset by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decrease in stock inventory reserve charges.</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Cash Used in Investing Activities. </w:t>
      </w:r>
      <w:r>
        <w:rPr>
          <w:rFonts w:ascii="Times New Roman" w:cs="Times New Roman" w:eastAsia="Times New Roman" w:hAnsi="Times New Roman"/>
          <w:sz w:val="18"/>
          <w:szCs w:val="18"/>
          <w:color w:val="auto"/>
        </w:rPr>
        <w:t>Net cash used in investing activities increased by $1,204.2 million to</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$1,232.7 million for the fiscal year ended April 30, 2026, compared to $28.5 million for the fiscal year ended April 30,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 The increase in net cash used in investing activities was primarily due to business acquisitions, net of cash acquired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$871.5 million related to the BlueHalo and ESAero acquisitions in the fiscal year ended April 30, 2026 and net purchase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investments of $283.4 million. During the fiscal years ended April 30, 2026 and 2025, we used cash to purchase property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equipment totaling $62.5 million and $22.8 million, respectively.</w:t>
      </w:r>
    </w:p>
    <w:p>
      <w:pPr>
        <w:spacing w:after="0" w:line="20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decreased by $23.2 million to $28.5 million for the fiscal year ended April 30, 2025, compared to $51.7 million for the fiscal year ended April 30, 2024. The decrease in net cash used in investing activities was primarily due to a decrease in business acquisitions, net of cash acquired of $24.2 million related to the Tomahawk acquisition in the fiscal year ended April 30, 2024. During the fiscal years ended April 30, 2025 and 2024, we used cash to purchase property and equipment totaling $22.8 million and $23.0 million, respectively.</w:t>
      </w:r>
    </w:p>
    <w:p>
      <w:pPr>
        <w:spacing w:after="0" w:line="179"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Cash Provided by (Used in) Financing Activities. </w:t>
      </w:r>
      <w:r>
        <w:rPr>
          <w:rFonts w:ascii="Times New Roman" w:cs="Times New Roman" w:eastAsia="Times New Roman" w:hAnsi="Times New Roman"/>
          <w:sz w:val="18"/>
          <w:szCs w:val="18"/>
          <w:color w:val="auto"/>
        </w:rPr>
        <w:t>Net cash provided by financing activities increased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$1,650.0 million to $1,647.2 million for the fiscal year ended April 30, 2026, compared to net cash used in financing activities of $2.9 million for the fiscal year ended April 30, 2025. The increase in net cash used in financing activities was primarily due to proceeds from shares issued, net of issuance costs of $968.5 million proceeds and proceeds from the convertible notes of $726.9 million, partially offset by net principal payments of the credit facility of $39.9 million.</w:t>
      </w:r>
    </w:p>
    <w:p>
      <w:pPr>
        <w:spacing w:after="0" w:line="18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decreased by $20.0 million to $2.9 million for the fiscal year ended April 30, 2025, compared to net cash provided by financing activities of $22.9 million for the fiscal year ended April 30, 2024. The decrease in net cash used in financing activities was primarily due to a decrease in the principal payments on the credit facility of $69.0 million and an increase in proceeds from the credit facility of $40.0 million, partially offset by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decrease in the proceeds from shares issued, net of issuance costs of $88.4 million in the fiscal year ended April 30,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describes our commitments to settle contractual obligations as of April 30, 2026:</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Payments Due By Period (2)</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3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Less Than</w:t>
            </w:r>
          </w:p>
        </w:tc>
        <w:tc>
          <w:tcPr>
            <w:tcW w:w="60" w:type="dxa"/>
            <w:vAlign w:val="bottom"/>
          </w:tcPr>
          <w:p>
            <w:pPr>
              <w:spacing w:after="0"/>
              <w:rPr>
                <w:sz w:val="10"/>
                <w:szCs w:val="10"/>
                <w:color w:val="auto"/>
              </w:rPr>
            </w:pPr>
          </w:p>
        </w:tc>
        <w:tc>
          <w:tcPr>
            <w:tcW w:w="860" w:type="dxa"/>
            <w:vAlign w:val="bottom"/>
            <w:gridSpan w:val="2"/>
          </w:tcPr>
          <w:p>
            <w:pPr>
              <w:jc w:val="right"/>
              <w:ind w:right="5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gridSpan w:val="2"/>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0"/>
                <w:szCs w:val="10"/>
                <w:color w:val="auto"/>
              </w:rPr>
            </w:pPr>
          </w:p>
        </w:tc>
        <w:tc>
          <w:tcPr>
            <w:tcW w:w="8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1"/>
              </w:rPr>
              <w:t>(In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 to 3 Years</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4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$ 47,592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obligations(1)</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662,673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1,562,003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685,936</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$ 65,078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776,900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$ 34,089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30"/>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all cancelable and non-cancelable purchase orders as of April 30, 2026.</w:t>
      </w:r>
    </w:p>
    <w:p>
      <w:pPr>
        <w:spacing w:after="0" w:line="27" w:lineRule="exact"/>
        <w:rPr>
          <w:rFonts w:ascii="Times New Roman" w:cs="Times New Roman" w:eastAsia="Times New Roman" w:hAnsi="Times New Roman"/>
          <w:sz w:val="18"/>
          <w:szCs w:val="18"/>
          <w:color w:val="auto"/>
        </w:rPr>
      </w:pPr>
    </w:p>
    <w:p>
      <w:pPr>
        <w:ind w:left="380" w:right="79" w:hanging="330"/>
        <w:spacing w:after="0" w:line="277" w:lineRule="auto"/>
        <w:tabs>
          <w:tab w:leader="none" w:pos="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included in the table above is additional capital contributions of $0.9 million committed under the terms of a limited partnership agreement. Additionally, subsequent to the reporting period in May 2026, the Company entered into a new limited partnership and committed to contributions totaling $20.0 million over an expected five year period.</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ind w:left="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updates to the rate reconciliation, income taxes paid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Effective April 30, 2026, we adopted the ASU 2023-09 retrospectively. The Company’s adoption of ASU 2023-07 did not have a material impact on the Company’s consolidated financial statements.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Disaggregation of Income Statement Expenses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We do not expect this guidance to have a material impact on our financial position or results of operations; however, it will result in additional disclosures in the notes to our consolidated financial statements.</w:t>
      </w:r>
    </w:p>
    <w:p>
      <w:pPr>
        <w:spacing w:after="0" w:line="188" w:lineRule="exact"/>
        <w:rPr>
          <w:sz w:val="20"/>
          <w:szCs w:val="20"/>
          <w:color w:val="auto"/>
        </w:rPr>
      </w:pPr>
    </w:p>
    <w:p>
      <w:pPr>
        <w:ind w:left="60" w:right="27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(“ASU 2025-06”), which better aligns the accounting guidance to how software is developed by eliminating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We are currently evaluating the impact of adopting this new pronouncement.</w:t>
      </w:r>
    </w:p>
    <w:p>
      <w:pPr>
        <w:spacing w:after="0" w:line="182"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(“ASU 2025-11”), which is intended to improve the navigability of required interim disclosures and clarify when that guidance is applicable, and also to provide additional guidance on what disclosures should be provided in interim reporting periods. The new standard is effective for annual reporting periods beginning after December 15, 2027 and interim periods within those annual reporting periods. The standard allows for prospective or retrospective transition. Early adoption is permitted. We do not expect this guidance to have a material impact on our financial position or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July 2025, we issued $747.5 million of convertible notes. We used the proceeds from the Notes Offering as well as the Common Stock Offering to repay indebtedness under our Term Loan Facility and outstanding borrowings under the Revolving Facility. The convertible notes have a zero percent coupon rate. The Revolving Facility has no current outstanding balance.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We currently do not engage in forward contracts or other derivatives in foreign currencies to limit our exposure on non-U.S. dollar transactions. As our German subsidiary, Telerob conducts sales denominated in Euros, we are exposed to future foreign exchange gains or losses, and we will consider methods to limit our exposure on non-U.S. dollar transactions in the future.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Supplementary Data</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34)</w:t>
            </w:r>
          </w:p>
        </w:tc>
        <w:tc>
          <w:tcPr>
            <w:tcW w:w="700" w:type="dxa"/>
            <w:vAlign w:val="bottom"/>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42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April 30, 2026 and 2025</w:t>
            </w:r>
          </w:p>
        </w:tc>
        <w:tc>
          <w:tcPr>
            <w:tcW w:w="3980" w:type="dxa"/>
            <w:vAlign w:val="bottom"/>
            <w:tcBorders>
              <w:top w:val="single" w:sz="8" w:color="CCEEFF"/>
            </w:tcBorders>
            <w:gridSpan w:val="7"/>
          </w:tcPr>
          <w:p>
            <w:pPr>
              <w:spacing w:after="0"/>
              <w:rPr>
                <w:sz w:val="15"/>
                <w:szCs w:val="15"/>
                <w:color w:val="auto"/>
              </w:rPr>
            </w:pPr>
          </w:p>
        </w:tc>
        <w:tc>
          <w:tcPr>
            <w:tcW w:w="700" w:type="dxa"/>
            <w:vAlign w:val="bottom"/>
            <w:tcBorders>
              <w:top w:val="single" w:sz="8" w:color="CCEEFF"/>
            </w:tcBorders>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Income (Loss) for the Years Ended April 30, 2026, 2025 and 2024</w:t>
            </w:r>
          </w:p>
        </w:tc>
        <w:tc>
          <w:tcPr>
            <w:tcW w:w="1400" w:type="dxa"/>
            <w:vAlign w:val="bottom"/>
            <w:tcBorders>
              <w:bottom w:val="single" w:sz="8" w:color="CCEEFF"/>
            </w:tcBorders>
            <w:gridSpan w:val="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April 30, 2026, 2025 and</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0000EE"/>
            </w:tcBorders>
            <w:gridSpan w:val="4"/>
          </w:tcPr>
          <w:p>
            <w:pPr>
              <w:jc w:val="right"/>
              <w:ind w:right="258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7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April 30, 2026, 2025 and 2024</w:t>
            </w:r>
          </w:p>
        </w:tc>
        <w:tc>
          <w:tcPr>
            <w:tcW w:w="92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April 30, 2026, 2025 and 2024</w:t>
            </w:r>
          </w:p>
        </w:tc>
        <w:tc>
          <w:tcPr>
            <w:tcW w:w="700" w:type="dxa"/>
            <w:vAlign w:val="bottom"/>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1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00" w:type="dxa"/>
            <w:vAlign w:val="bottom"/>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Supplementary Data</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Financial Statement Schedule</w:t>
            </w:r>
            <w:r>
              <w:rPr>
                <w:rFonts w:ascii="Arial" w:cs="Arial" w:eastAsia="Arial" w:hAnsi="Arial"/>
                <w:sz w:val="18"/>
                <w:szCs w:val="18"/>
                <w:b w:val="1"/>
                <w:bCs w:val="1"/>
                <w:color w:val="0000EE"/>
              </w:rPr>
              <w:t>:</w:t>
            </w:r>
            <w:r>
              <w:rPr>
                <w:rFonts w:ascii="Times New Roman" w:cs="Times New Roman" w:eastAsia="Times New Roman" w:hAnsi="Times New Roman"/>
                <w:sz w:val="18"/>
                <w:szCs w:val="18"/>
                <w:color w:val="0000EE"/>
              </w:rPr>
              <w:t xml:space="preserve"> Schedule II—Valuation and Qualifying Accounts</w:t>
            </w:r>
          </w:p>
        </w:tc>
        <w:tc>
          <w:tcPr>
            <w:tcW w:w="700" w:type="dxa"/>
            <w:vAlign w:val="bottom"/>
            <w:shd w:val="clear" w:color="auto" w:fill="CCEEFF"/>
          </w:tcPr>
          <w:p>
            <w:pPr>
              <w:jc w:val="right"/>
              <w:ind w:right="92"/>
              <w:spacing w:after="0" w:line="189"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right="119"/>
        <w:spacing w:after="0" w:line="286" w:lineRule="auto"/>
        <w:rPr>
          <w:sz w:val="20"/>
          <w:szCs w:val="20"/>
          <w:color w:val="auto"/>
        </w:rPr>
      </w:pPr>
      <w:r>
        <w:rPr>
          <w:rFonts w:ascii="Times New Roman" w:cs="Times New Roman" w:eastAsia="Times New Roman" w:hAnsi="Times New Roman"/>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AeroVironment,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AeroVironment, Inc. and subsidiaries (the "Company") as of April 30, 2026 and 2025, the related consolidated statements of income (loss), comprehensive income (loss), stockholders' equity, and cash flows, for each of the three years in the period ended April 30, 2026, and the related notes and the schedule listed in the Index at Item 15(a) (collectively referred to as the "financial statements"). In our opinion, the financial statements present fairly, in all material respects, the financial position of the Company as of April 30, 2026 and 2025, and the results of its operations and its cash flows for each of the three years in the period ended April 30, 2026, in conformity with accounting principles generally accepted in the United States of America.</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April 30, 2026, based on criteria established in Internal Control — Integrated Framework (2013) issued by the Committee of Sponsoring Organizations of the Treadway Commission and our report dated June 29, 2026, expressed an adverse opinion on the Company's internal control over financial reporting because of material weaknesses.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83" w:lineRule="exact"/>
        <w:rPr>
          <w:sz w:val="20"/>
          <w:szCs w:val="20"/>
          <w:color w:val="auto"/>
        </w:rPr>
      </w:pPr>
    </w:p>
    <w:p>
      <w:pPr>
        <w:ind w:left="60" w:right="939"/>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Contract Estimates on Select Contracts - Refer to Note 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further described in Note 1 to the financial statements, for performance obligations satisfied over time, revenue is generally recognized using costs incurred to date relative to total estimated costs at completion to measure progress. Contract estimates are based on various assumptions to project the outcome of future events that may span several years. Contract costs include labor, materials, subcontractors’ costs, other direct costs, and indirect costs applicable on government and commercial contracts. Additionally, the nature of the Company’s contracts gives rise to several types of variable consideration, which are within the scope of ASC 606 with final contract values to be negotiated, penalty fees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incentive awards generally for late delivery and early delivery, respectively. The Company regularly reviews and updates its contract-related estimates. Changes in cumulative revenue estimates, due to changes in the estimated transaction price or cost estimates, are recorded using a cumulative catch-up adjustment in the period identified. We analyzed the Company’s contract portfolio to identify contracts that we believe had elevated financial or performance risk. For those contracts identified, the evaluation of one or more contract estimate assumptions used to recognize revenue required extensive audit effort due to the complexity of the contracts and a high degree of auditor judgments.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audit procedures related to the contract estimates for these contracts identified included the following, among others:</w:t>
      </w:r>
    </w:p>
    <w:p>
      <w:pPr>
        <w:spacing w:after="0" w:line="144" w:lineRule="exact"/>
        <w:rPr>
          <w:sz w:val="20"/>
          <w:szCs w:val="20"/>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management’s controls over the significant assumptions and judgments underlying the contract estimates associated with these contracts.</w:t>
      </w:r>
    </w:p>
    <w:p>
      <w:pPr>
        <w:spacing w:after="0" w:line="8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risk characteristic identified on an individual contract, we evaluated certain contract estimates by:</w:t>
      </w:r>
    </w:p>
    <w:p>
      <w:pPr>
        <w:spacing w:after="0" w:line="225" w:lineRule="exact"/>
        <w:rPr>
          <w:sz w:val="20"/>
          <w:szCs w:val="20"/>
          <w:color w:val="auto"/>
        </w:rPr>
      </w:pPr>
    </w:p>
    <w:p>
      <w:pPr>
        <w:ind w:left="1380" w:right="79" w:hanging="331"/>
        <w:spacing w:after="0" w:line="264" w:lineRule="auto"/>
        <w:tabs>
          <w:tab w:leader="none" w:pos="1380" w:val="left"/>
        </w:tabs>
        <w:numPr>
          <w:ilvl w:val="0"/>
          <w:numId w:val="4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Reading the underlying contract and any amendments or modifications to understand the contractual requirements and performance obligations.</w:t>
      </w:r>
    </w:p>
    <w:p>
      <w:pPr>
        <w:spacing w:after="0" w:line="95" w:lineRule="exact"/>
        <w:rPr>
          <w:rFonts w:ascii="Courier New" w:cs="Courier New" w:eastAsia="Courier New" w:hAnsi="Courier New"/>
          <w:sz w:val="18"/>
          <w:szCs w:val="18"/>
          <w:color w:val="auto"/>
        </w:rPr>
      </w:pPr>
    </w:p>
    <w:p>
      <w:pPr>
        <w:jc w:val="both"/>
        <w:ind w:left="1380" w:right="79" w:hanging="331"/>
        <w:spacing w:after="0" w:line="254" w:lineRule="auto"/>
        <w:tabs>
          <w:tab w:leader="none" w:pos="1380" w:val="left"/>
        </w:tabs>
        <w:numPr>
          <w:ilvl w:val="0"/>
          <w:numId w:val="4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Assessing the reasonableness of the contract estimates based on contract terms, relevant historical trends, and performing inquiries with the Company’s program and business management regarding their basis of estimates including work plans and supplier status, actual performance to date, and any recent correspondence between the company and the customer.</w:t>
      </w:r>
    </w:p>
    <w:p>
      <w:pPr>
        <w:spacing w:after="0" w:line="187" w:lineRule="exact"/>
        <w:rPr>
          <w:rFonts w:ascii="Courier New" w:cs="Courier New" w:eastAsia="Courier New" w:hAnsi="Courier New"/>
          <w:sz w:val="18"/>
          <w:szCs w:val="18"/>
          <w:color w:val="auto"/>
        </w:rPr>
      </w:pPr>
    </w:p>
    <w:p>
      <w:pPr>
        <w:ind w:left="1380" w:right="79" w:hanging="331"/>
        <w:spacing w:after="0" w:line="264" w:lineRule="auto"/>
        <w:tabs>
          <w:tab w:leader="none" w:pos="1380" w:val="left"/>
        </w:tabs>
        <w:numPr>
          <w:ilvl w:val="0"/>
          <w:numId w:val="4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appropriateness of the timing and amounts of changes in select contract estimates by obtaining supporting documentation.</w:t>
      </w:r>
    </w:p>
    <w:p>
      <w:pPr>
        <w:spacing w:after="0" w:line="176" w:lineRule="exact"/>
        <w:rPr>
          <w:rFonts w:ascii="Courier New" w:cs="Courier New" w:eastAsia="Courier New" w:hAnsi="Courier New"/>
          <w:sz w:val="18"/>
          <w:szCs w:val="18"/>
          <w:color w:val="auto"/>
        </w:rPr>
      </w:pPr>
    </w:p>
    <w:p>
      <w:pPr>
        <w:ind w:left="1380" w:hanging="331"/>
        <w:spacing w:after="0"/>
        <w:tabs>
          <w:tab w:leader="none" w:pos="1380" w:val="left"/>
        </w:tabs>
        <w:numPr>
          <w:ilvl w:val="0"/>
          <w:numId w:val="4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Assessing the completeness and accuracy of information utilized to develop contract estimates.</w:t>
      </w:r>
    </w:p>
    <w:p>
      <w:pPr>
        <w:spacing w:after="0" w:line="209" w:lineRule="exact"/>
        <w:rPr>
          <w:rFonts w:ascii="Courier New" w:cs="Courier New" w:eastAsia="Courier New" w:hAnsi="Courier New"/>
          <w:sz w:val="18"/>
          <w:szCs w:val="18"/>
          <w:color w:val="auto"/>
        </w:rPr>
      </w:pPr>
    </w:p>
    <w:p>
      <w:pPr>
        <w:ind w:left="1380" w:right="79" w:hanging="331"/>
        <w:spacing w:after="0" w:line="264" w:lineRule="auto"/>
        <w:tabs>
          <w:tab w:leader="none" w:pos="1380" w:val="left"/>
        </w:tabs>
        <w:numPr>
          <w:ilvl w:val="0"/>
          <w:numId w:val="4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Testing the mathematical accuracy of management’s calculation of revenue recognized during the period for the selected contracts, and the cumulative catch-up adjustment.</w:t>
      </w:r>
    </w:p>
    <w:p>
      <w:pPr>
        <w:spacing w:after="0" w:line="172" w:lineRule="exact"/>
        <w:rPr>
          <w:sz w:val="20"/>
          <w:szCs w:val="20"/>
          <w:color w:val="auto"/>
        </w:rPr>
      </w:pPr>
    </w:p>
    <w:p>
      <w:pPr>
        <w:ind w:left="60" w:right="4059"/>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Refer to Note 1 and Note 6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January 2026, a stop-work order was received on the Company’s Other Transaction Agreement for the delivery of BADGER phased array antenna systems to support Space Force’s Satellite Communication Augmentation Resource (“SCAR”) program. The Company concluded that the stop-work order represented a trigger event that indicated the carrying value of the Space reporting unit exceeded its fair value. The Company estimates the fair value by weighting the results from the income approach and the market approach. These valuation approaches consider a number of factors that include prospective financial information, growth rates, terminal value, discount rates, and comparable multiples from publicly traded companies in the Company’s industry. The Company updated their estimates of the long-term cash flows of the Space reporting unit to reflect the reduced revenue associated with the stop-work order as well as an increase in expected research and development and capital investments to achieve product commercialization. The changes in estimates resulted in the recognition of a goodwill impairment charge of approximately $240,708,000 in the Space reporting unit.</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identified the significant judgments made by management related to the amount and timing of future revenue projections used to determine the fair value of the Space reporting unit as a critical audit matter. This required a high degree of auditor judgment and an increased extent of effort, including the need to involve our fair value specialists, when performing audit procedures to evaluate the reasonableness of management’s estimates and assumptions related to future revenue projections.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expected amount and timing of future revenue projections used to estimate the fair value of the Space reporting unit included the following, among others:</w:t>
      </w:r>
    </w:p>
    <w:p>
      <w:pPr>
        <w:spacing w:after="0" w:line="81" w:lineRule="exact"/>
        <w:rPr>
          <w:sz w:val="20"/>
          <w:szCs w:val="20"/>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management’s controls over their goodwill impairment evaluation, including those over the determination of the fair value of the Space reporting unit, such as controls related to management’s review of forecasts of future revenues.</w:t>
      </w:r>
    </w:p>
    <w:p>
      <w:pPr>
        <w:spacing w:after="0" w:line="9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appropriate individuals, both within and outside of finance, regarding the revenue projections.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forecasts of future revenues by comparing the projections to historical results, third-party industry forecasts, contractual agreements and internal communications to management and the Company’s Board of Directors.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compared applicable industry forecasted long-term revenue growth rates to management’s projected revenues used within the valuation model.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future revenues by comparing actual revenues to management’s historical forecasts.</w:t>
      </w:r>
    </w:p>
    <w:p>
      <w:pPr>
        <w:spacing w:after="0" w:line="158" w:lineRule="exact"/>
        <w:rPr>
          <w:sz w:val="20"/>
          <w:szCs w:val="20"/>
          <w:color w:val="auto"/>
        </w:rPr>
      </w:pPr>
    </w:p>
    <w:p>
      <w:pPr>
        <w:ind w:left="60" w:right="2999"/>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Acquisitions — Refer to Note 1 and Note 19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1, 2025, the Company closed its acquisition of BlueHalo for merger consideration, net of cash acquired, of $3,484,945,000. The Company accounted for the acquisition under the acquisition method of accounting for business combinations. Accordingly, the purchase price was allocated to the fair value of the assets acquired and liabilities assumed, resulting in developed technology of $480,400,000, customer relationships of $499,500,000, backlog of $49,900,000, and goodwill of $2,367,428,000.</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used valuation techniques to value these intangibles assets, with the primary technique being a discounted cash flow analysis. A discounted cash flow analysis requires Management to make various assumptions and estimates including projected revenue, gross margins, operating costs, growth rates, useful lives and discount rates.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identified the significant judgements made by management related to the amount and timing of future revenue projections used in the valuation of certain developed technology and customer relationship assets to be a critical audit matter. This required a high degree of auditor judgment and an increased extent of effort, including the need to involve our fair value specialists, when performing audit procedures to evaluate the reasonableness of management’s estimates and assumptions related to future revenue projections.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expected amount and timing of future revenue used to estimate the fair value of the intangible assets acquired included the following, among others:</w:t>
      </w:r>
    </w:p>
    <w:p>
      <w:pPr>
        <w:spacing w:after="0" w:line="81" w:lineRule="exact"/>
        <w:rPr>
          <w:sz w:val="20"/>
          <w:szCs w:val="20"/>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management’s controls over the valuation of intangibles, including management’s controls over the estimates of the amount and timing of expected future revenues.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forecasts of future revenues relating to certain developed technology and customer relationship assets by performing inquiries of appropriate individuals outside of the accounting organization, comparing the projections to historical results, contractual agreements, third-party industry forecasts, and internal communications to management and the Company’s Board of Directors.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compared applicable industry forecasted long-term revenue growth rates to management’s projected revenues used within the valuation model.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future revenues by comparing actual revenues to estimates assumed in the valuation model.</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29, 2026</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9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377,325</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40,862</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254,972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$1,961 at April 30, 2026 and $203 at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April 30, 2025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101,967</w:t>
            </w:r>
          </w:p>
        </w:tc>
        <w:tc>
          <w:tcPr>
            <w:tcW w:w="120" w:type="dxa"/>
            <w:vAlign w:val="bottom"/>
            <w:shd w:val="clear" w:color="auto" w:fill="CCEEFF"/>
          </w:tcPr>
          <w:p>
            <w:pPr>
              <w:spacing w:after="0"/>
              <w:rPr>
                <w:sz w:val="18"/>
                <w:szCs w:val="18"/>
                <w:color w:val="auto"/>
              </w:rPr>
            </w:pPr>
          </w:p>
        </w:tc>
      </w:tr>
      <w:tr>
        <w:trPr>
          <w:trHeight w:val="203"/>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570,408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290,009</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312,856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144,090</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28,966</w:t>
            </w:r>
          </w:p>
        </w:tc>
        <w:tc>
          <w:tcPr>
            <w:tcW w:w="120" w:type="dxa"/>
            <w:vAlign w:val="bottom"/>
            <w:shd w:val="clear" w:color="auto" w:fill="CCEEFF"/>
          </w:tcPr>
          <w:p>
            <w:pPr>
              <w:spacing w:after="0"/>
              <w:rPr>
                <w:sz w:val="17"/>
                <w:szCs w:val="17"/>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606,516</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31,627</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50,704</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31,879</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61,460</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929,826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48,711</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2,493,678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256,781</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32,889</w:t>
            </w:r>
          </w:p>
        </w:tc>
        <w:tc>
          <w:tcPr>
            <w:tcW w:w="120" w:type="dxa"/>
            <w:vAlign w:val="bottom"/>
            <w:shd w:val="clear" w:color="auto" w:fill="CCEEFF"/>
          </w:tcPr>
          <w:p>
            <w:pPr>
              <w:spacing w:after="0"/>
              <w:rPr>
                <w:sz w:val="17"/>
                <w:szCs w:val="17"/>
                <w:color w:val="auto"/>
              </w:rPr>
            </w:pPr>
          </w:p>
        </w:tc>
      </w:tr>
      <w:tr>
        <w:trPr>
          <w:trHeight w:val="23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5,716,742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120" w:type="dxa"/>
            <w:vAlign w:val="bottom"/>
            <w:tcBorders>
              <w:bottom w:val="single" w:sz="8" w:color="CCEEFF"/>
            </w:tcBorders>
          </w:tcPr>
          <w:p>
            <w:pPr>
              <w:spacing w:after="0"/>
              <w:rPr>
                <w:sz w:val="20"/>
                <w:szCs w:val="20"/>
                <w:color w:val="auto"/>
              </w:rPr>
            </w:pPr>
          </w:p>
        </w:tc>
      </w:tr>
      <w:tr>
        <w:trPr>
          <w:trHeight w:val="183"/>
        </w:trPr>
        <w:tc>
          <w:tcPr>
            <w:tcW w:w="64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160,507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72,462</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44,253</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79,607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15,952</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82,949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28,659</w:t>
            </w:r>
          </w:p>
        </w:tc>
        <w:tc>
          <w:tcPr>
            <w:tcW w:w="120" w:type="dxa"/>
            <w:vAlign w:val="bottom"/>
            <w:tcBorders>
              <w:bottom w:val="single" w:sz="8" w:color="CCEEFF"/>
            </w:tcBorders>
          </w:tcPr>
          <w:p>
            <w:pPr>
              <w:spacing w:after="0"/>
              <w:rPr>
                <w:sz w:val="17"/>
                <w:szCs w:val="17"/>
                <w:color w:val="auto"/>
              </w:rPr>
            </w:pPr>
          </w:p>
        </w:tc>
      </w:tr>
      <w:tr>
        <w:trPr>
          <w:trHeight w:val="19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439,237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172,161</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728,967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88,228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23,812</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9"/>
        </w:trPr>
        <w:tc>
          <w:tcPr>
            <w:tcW w:w="6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April 30, 2026 and April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30,2025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Issued and outstanding shares—50,610,514 shares at April 30, 2026 and 28,267,517 shares at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April 30, 2025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r>
      <w:tr>
        <w:trPr>
          <w:trHeight w:val="203"/>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4,396,845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618,711</w:t>
            </w: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274,306</w:t>
            </w:r>
          </w:p>
        </w:tc>
        <w:tc>
          <w:tcPr>
            <w:tcW w:w="120" w:type="dxa"/>
            <w:vAlign w:val="bottom"/>
            <w:tcBorders>
              <w:bottom w:val="single" w:sz="8" w:color="CCEEFF"/>
            </w:tcBorders>
          </w:tcPr>
          <w:p>
            <w:pPr>
              <w:spacing w:after="0"/>
              <w:rPr>
                <w:sz w:val="17"/>
                <w:szCs w:val="17"/>
                <w:color w:val="auto"/>
              </w:rPr>
            </w:pPr>
          </w:p>
        </w:tc>
      </w:tr>
      <w:tr>
        <w:trPr>
          <w:trHeight w:val="19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4,400,400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886,507</w:t>
            </w:r>
          </w:p>
        </w:tc>
        <w:tc>
          <w:tcPr>
            <w:tcW w:w="120" w:type="dxa"/>
            <w:vAlign w:val="bottom"/>
            <w:shd w:val="clear" w:color="auto" w:fill="CCEEFF"/>
          </w:tcPr>
          <w:p>
            <w:pPr>
              <w:spacing w:after="0"/>
              <w:rPr>
                <w:sz w:val="17"/>
                <w:szCs w:val="17"/>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5,716,742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120" w:type="dxa"/>
            <w:vAlign w:val="bottom"/>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 sales</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1,415,349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services</w:t>
            </w:r>
          </w:p>
        </w:tc>
        <w:tc>
          <w:tcPr>
            <w:tcW w:w="1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561,496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127,905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1,976,845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820,627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716,720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 sales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services</w:t>
            </w:r>
          </w:p>
        </w:tc>
        <w:tc>
          <w:tcPr>
            <w:tcW w:w="1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516,973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97,644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1,476,203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 sales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services</w:t>
            </w:r>
          </w:p>
        </w:tc>
        <w:tc>
          <w:tcPr>
            <w:tcW w:w="1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500,642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318,636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283,931</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(310,995)</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40,795</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(loss):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Equity method investment income (loss), net of tax</w:t>
            </w: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49,087,346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28,018,656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27,203,417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49,087,346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28,173,488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27,327,993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 investments, net of deferred tax</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of $0 for the fiscal year ended April 30, 2026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(264,243)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3"/>
                <w:szCs w:val="13"/>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7"/>
              </w:rPr>
              <w:t>ComprehensiveAeroVironment, Inc.</w:t>
            </w:r>
          </w:p>
        </w:tc>
        <w:tc>
          <w:tcPr>
            <w:tcW w:w="0" w:type="dxa"/>
            <w:vAlign w:val="bottom"/>
          </w:tcPr>
          <w:p>
            <w:pPr>
              <w:spacing w:after="0"/>
              <w:rPr>
                <w:sz w:val="1"/>
                <w:szCs w:val="1"/>
                <w:color w:val="auto"/>
              </w:rPr>
            </w:pPr>
          </w:p>
        </w:tc>
      </w:tr>
      <w:tr>
        <w:trPr>
          <w:trHeight w:val="129"/>
        </w:trPr>
        <w:tc>
          <w:tcPr>
            <w:tcW w:w="3800" w:type="dxa"/>
            <w:vAlign w:val="bottom"/>
            <w:gridSpan w:val="2"/>
          </w:tcPr>
          <w:p>
            <w:pPr>
              <w:ind w:left="36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gridSpan w:val="2"/>
          </w:tcPr>
          <w:p>
            <w:pPr>
              <w:jc w:val="right"/>
              <w:ind w:right="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gridSpan w:val="2"/>
          </w:tcPr>
          <w:p>
            <w:pPr>
              <w:jc w:val="right"/>
              <w:ind w:right="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160" w:type="dxa"/>
            <w:vAlign w:val="bottom"/>
            <w:gridSpan w:val="3"/>
          </w:tcPr>
          <w:p>
            <w:pPr>
              <w:jc w:val="right"/>
              <w:ind w:right="188"/>
              <w:spacing w:after="0" w:line="129" w:lineRule="exact"/>
              <w:rPr>
                <w:sz w:val="20"/>
                <w:szCs w:val="20"/>
                <w:color w:val="auto"/>
              </w:rPr>
            </w:pPr>
            <w:r>
              <w:rPr>
                <w:rFonts w:ascii="Times New Roman" w:cs="Times New Roman" w:eastAsia="Times New Roman" w:hAnsi="Times New Roman"/>
                <w:sz w:val="13"/>
                <w:szCs w:val="13"/>
                <w:b w:val="1"/>
                <w:bCs w:val="1"/>
                <w:color w:val="auto"/>
              </w:rPr>
              <w:t>​​​(Loss) Income</w:t>
            </w:r>
          </w:p>
        </w:tc>
        <w:tc>
          <w:tcPr>
            <w:tcW w:w="94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3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2023</w:t>
            </w: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26,216,897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384,397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171,021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(4,452)$</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550,970</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(11,470)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0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(15,471)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(1,596)</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807,370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87,956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985,999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2024</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28,134,438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597,646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230,687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(5,592)$</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822,745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43,619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43,619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75,499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(10,453)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0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(12,729)</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(4,147)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(4,147)</w:t>
            </w:r>
          </w:p>
        </w:tc>
        <w:tc>
          <w:tcPr>
            <w:tcW w:w="0" w:type="dxa"/>
            <w:vAlign w:val="bottom"/>
          </w:tcPr>
          <w:p>
            <w:pPr>
              <w:spacing w:after="0"/>
              <w:rPr>
                <w:sz w:val="1"/>
                <w:szCs w:val="1"/>
                <w:color w:val="auto"/>
              </w:rPr>
            </w:pPr>
          </w:p>
        </w:tc>
      </w:tr>
      <w:tr>
        <w:trPr>
          <w:trHeight w:val="171"/>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2025</w:t>
            </w: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28,267,517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618,711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274,306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(6,514)$</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886,507</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(265,122)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(265,122)</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27,737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186,855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(18,010)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0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(7,972)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(10,928)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(10,928)</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18,096,927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2,779,527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2,779,529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4,057,460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966,846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966,846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38,334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38,334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2026</w:t>
            </w: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50,610,514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4,396,845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(5,635)$</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4,400,400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2"/>
          </w:tcPr>
          <w:p>
            <w:pPr>
              <w:jc w:val="right"/>
              <w:ind w:right="28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r>
      <w:tr>
        <w:trPr>
          <w:trHeight w:val="142"/>
        </w:trPr>
        <w:tc>
          <w:tcPr>
            <w:tcW w:w="54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9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11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(265,122)</w:t>
            </w:r>
          </w:p>
        </w:tc>
        <w:tc>
          <w:tcPr>
            <w:tcW w:w="5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43,619</w:t>
            </w:r>
          </w:p>
        </w:tc>
        <w:tc>
          <w:tcPr>
            <w:tcW w:w="50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cash used in operating activities: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265,037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40,998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35,749</w:t>
            </w:r>
          </w:p>
        </w:tc>
        <w:tc>
          <w:tcPr>
            <w:tcW w:w="140" w:type="dxa"/>
            <w:vAlign w:val="bottom"/>
          </w:tcPr>
          <w:p>
            <w:pPr>
              <w:spacing w:after="0"/>
              <w:rPr>
                <w:sz w:val="12"/>
                <w:szCs w:val="12"/>
                <w:color w:val="auto"/>
              </w:rPr>
            </w:pPr>
          </w:p>
        </w:tc>
      </w:tr>
      <w:tr>
        <w:trPr>
          <w:trHeight w:val="149"/>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240,708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(Gain)/Loss from equity method investments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13,937</w:t>
            </w:r>
          </w:p>
        </w:tc>
        <w:tc>
          <w:tcPr>
            <w:tcW w:w="140" w:type="dxa"/>
            <w:vAlign w:val="bottom"/>
            <w:shd w:val="clear" w:color="auto" w:fill="CCEEFF"/>
          </w:tcPr>
          <w:p>
            <w:pPr>
              <w:spacing w:after="0"/>
              <w:rPr>
                <w:sz w:val="12"/>
                <w:szCs w:val="12"/>
                <w:color w:val="auto"/>
              </w:rPr>
            </w:pPr>
          </w:p>
        </w:tc>
      </w:tr>
      <w:tr>
        <w:trPr>
          <w:trHeight w:val="149"/>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10,163</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10,400</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on sale of equity securities, net</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3,945</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(27,111)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(23,290)</w:t>
            </w:r>
          </w:p>
        </w:tc>
        <w:tc>
          <w:tcPr>
            <w:tcW w:w="140" w:type="dxa"/>
            <w:vAlign w:val="bottom"/>
          </w:tcPr>
          <w:p>
            <w:pPr>
              <w:spacing w:after="0"/>
              <w:rPr>
                <w:sz w:val="12"/>
                <w:szCs w:val="12"/>
                <w:color w:val="auto"/>
              </w:rPr>
            </w:pPr>
          </w:p>
        </w:tc>
      </w:tr>
      <w:tr>
        <w:trPr>
          <w:trHeight w:val="149"/>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38,334</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securities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(128,697)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(31,761)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19,208</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(158,980)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(90,514)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(92,850)</w:t>
            </w:r>
          </w:p>
        </w:tc>
        <w:tc>
          <w:tcPr>
            <w:tcW w:w="140" w:type="dxa"/>
            <w:vAlign w:val="bottom"/>
          </w:tcPr>
          <w:p>
            <w:pPr>
              <w:spacing w:after="0"/>
              <w:rPr>
                <w:sz w:val="12"/>
                <w:szCs w:val="12"/>
                <w:color w:val="auto"/>
              </w:rPr>
            </w:pPr>
          </w:p>
        </w:tc>
      </w:tr>
      <w:tr>
        <w:trPr>
          <w:trHeight w:val="149"/>
        </w:trPr>
        <w:tc>
          <w:tcPr>
            <w:tcW w:w="54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(111,610)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(23,045)</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(20,279)</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28,081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22,331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12,968</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9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37,560</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(2,832)</w:t>
            </w:r>
          </w:p>
        </w:tc>
        <w:tc>
          <w:tcPr>
            <w:tcW w:w="140" w:type="dxa"/>
            <w:vAlign w:val="bottom"/>
            <w:shd w:val="clear" w:color="auto" w:fill="CCEEFF"/>
          </w:tcPr>
          <w:p>
            <w:pPr>
              <w:spacing w:after="0"/>
              <w:rPr>
                <w:sz w:val="12"/>
                <w:szCs w:val="12"/>
                <w:color w:val="auto"/>
              </w:rPr>
            </w:pPr>
          </w:p>
        </w:tc>
      </w:tr>
      <w:tr>
        <w:trPr>
          <w:trHeight w:val="142"/>
        </w:trPr>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(78,404)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15,292</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(22,983)</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capitalized software to be sold</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(23,674)</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in equity method investments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available-for-sale investments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(369,867)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 of available-for-sale investments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94,500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equity and debt investments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equity securities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2"/>
                <w:szCs w:val="12"/>
                <w:color w:val="auto"/>
              </w:rPr>
            </w:pPr>
          </w:p>
        </w:tc>
      </w:tr>
      <w:tr>
        <w:trPr>
          <w:trHeight w:val="149"/>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9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(871,507)</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(24,157)</w:t>
            </w:r>
          </w:p>
        </w:tc>
        <w:tc>
          <w:tcPr>
            <w:tcW w:w="140" w:type="dxa"/>
            <w:vAlign w:val="bottom"/>
            <w:shd w:val="clear" w:color="auto" w:fill="CCEEFF"/>
          </w:tcPr>
          <w:p>
            <w:pPr>
              <w:spacing w:after="0"/>
              <w:rPr>
                <w:sz w:val="12"/>
                <w:szCs w:val="12"/>
                <w:color w:val="auto"/>
              </w:rPr>
            </w:pPr>
          </w:p>
        </w:tc>
      </w:tr>
      <w:tr>
        <w:trPr>
          <w:trHeight w:val="142"/>
        </w:trPr>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(1,232,671)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(28,490)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(51,714)</w:t>
            </w:r>
          </w:p>
        </w:tc>
        <w:tc>
          <w:tcPr>
            <w:tcW w:w="140" w:type="dxa"/>
            <w:vAlign w:val="bottom"/>
          </w:tcPr>
          <w:p>
            <w:pPr>
              <w:spacing w:after="0"/>
              <w:rPr>
                <w:sz w:val="12"/>
                <w:szCs w:val="12"/>
                <w:color w:val="auto"/>
              </w:rPr>
            </w:pPr>
          </w:p>
        </w:tc>
      </w:tr>
      <w:tr>
        <w:trPr>
          <w:trHeight w:val="149"/>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233,939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(107,000)</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revolver</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(265,000)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693,202</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underwriter costs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968,515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88,437</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contingent consideration</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convertible debt, net of underwriter costs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726,944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Holdback and retention payments for business acquisition</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CEEFF"/>
          </w:tcPr>
          <w:p>
            <w:pPr>
              <w:spacing w:after="0"/>
              <w:rPr>
                <w:sz w:val="12"/>
                <w:szCs w:val="12"/>
                <w:color w:val="auto"/>
              </w:rPr>
            </w:pPr>
          </w:p>
        </w:tc>
      </w:tr>
      <w:tr>
        <w:trPr>
          <w:trHeight w:val="149"/>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9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2"/>
                <w:szCs w:val="12"/>
                <w:color w:val="auto"/>
              </w:rPr>
            </w:pPr>
          </w:p>
        </w:tc>
      </w:tr>
      <w:tr>
        <w:trPr>
          <w:trHeight w:val="142"/>
        </w:trPr>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1,647,178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(2,856)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(22,852)</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9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40" w:type="dxa"/>
            <w:vAlign w:val="bottom"/>
            <w:shd w:val="clear" w:color="auto" w:fill="CCEEFF"/>
          </w:tcPr>
          <w:p>
            <w:pPr>
              <w:spacing w:after="0"/>
              <w:rPr>
                <w:sz w:val="12"/>
                <w:szCs w:val="12"/>
                <w:color w:val="auto"/>
              </w:rPr>
            </w:pPr>
          </w:p>
        </w:tc>
      </w:tr>
      <w:tr>
        <w:trPr>
          <w:trHeight w:val="142"/>
        </w:trPr>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336,463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(32,439)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(59,558)</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40,862</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73,301</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132,859</w:t>
            </w:r>
          </w:p>
        </w:tc>
        <w:tc>
          <w:tcPr>
            <w:tcW w:w="140" w:type="dxa"/>
            <w:vAlign w:val="bottom"/>
            <w:shd w:val="clear" w:color="auto" w:fill="CCEEFF"/>
          </w:tcPr>
          <w:p>
            <w:pPr>
              <w:spacing w:after="0"/>
              <w:rPr>
                <w:sz w:val="12"/>
                <w:szCs w:val="12"/>
                <w:color w:val="auto"/>
              </w:rPr>
            </w:pPr>
          </w:p>
        </w:tc>
      </w:tr>
      <w:tr>
        <w:trPr>
          <w:trHeight w:val="182"/>
        </w:trPr>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377,325</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40,862</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73,301</w:t>
            </w:r>
          </w:p>
        </w:tc>
        <w:tc>
          <w:tcPr>
            <w:tcW w:w="140" w:type="dxa"/>
            <w:vAlign w:val="bottom"/>
            <w:tcBorders>
              <w:bottom w:val="single" w:sz="8" w:color="CCEEFF"/>
            </w:tcBorders>
          </w:tcPr>
          <w:p>
            <w:pPr>
              <w:spacing w:after="0"/>
              <w:rPr>
                <w:sz w:val="15"/>
                <w:szCs w:val="15"/>
                <w:color w:val="auto"/>
              </w:rPr>
            </w:pPr>
          </w:p>
        </w:tc>
      </w:tr>
      <w:tr>
        <w:trPr>
          <w:trHeight w:val="129"/>
        </w:trPr>
        <w:tc>
          <w:tcPr>
            <w:tcW w:w="54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18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3,606</w:t>
            </w:r>
          </w:p>
        </w:tc>
        <w:tc>
          <w:tcPr>
            <w:tcW w:w="5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24,631</w:t>
            </w:r>
          </w:p>
        </w:tc>
        <w:tc>
          <w:tcPr>
            <w:tcW w:w="50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20,438</w:t>
            </w:r>
          </w:p>
        </w:tc>
        <w:tc>
          <w:tcPr>
            <w:tcW w:w="140" w:type="dxa"/>
            <w:vAlign w:val="bottom"/>
            <w:shd w:val="clear" w:color="auto" w:fill="CCEEFF"/>
          </w:tcPr>
          <w:p>
            <w:pPr>
              <w:spacing w:after="0"/>
              <w:rPr>
                <w:sz w:val="12"/>
                <w:szCs w:val="12"/>
                <w:color w:val="auto"/>
              </w:rPr>
            </w:pPr>
          </w:p>
        </w:tc>
      </w:tr>
      <w:tr>
        <w:trPr>
          <w:trHeight w:val="149"/>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1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12,847</w:t>
            </w:r>
          </w:p>
        </w:tc>
        <w:tc>
          <w:tcPr>
            <w:tcW w:w="5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w:t>
            </w:r>
          </w:p>
        </w:tc>
        <w:tc>
          <w:tcPr>
            <w:tcW w:w="50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w:t>
            </w:r>
          </w:p>
        </w:tc>
        <w:tc>
          <w:tcPr>
            <w:tcW w:w="140" w:type="dxa"/>
            <w:vAlign w:val="bottom"/>
          </w:tcPr>
          <w:p>
            <w:pPr>
              <w:spacing w:after="0"/>
              <w:rPr>
                <w:sz w:val="12"/>
                <w:szCs w:val="12"/>
                <w:color w:val="auto"/>
              </w:rPr>
            </w:pPr>
          </w:p>
        </w:tc>
      </w:tr>
      <w:tr>
        <w:trPr>
          <w:trHeight w:val="148"/>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2,782,553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109,820</w:t>
            </w:r>
          </w:p>
        </w:tc>
        <w:tc>
          <w:tcPr>
            <w:tcW w:w="140" w:type="dxa"/>
            <w:vAlign w:val="bottom"/>
          </w:tcPr>
          <w:p>
            <w:pPr>
              <w:spacing w:after="0"/>
              <w:rPr>
                <w:sz w:val="12"/>
                <w:szCs w:val="12"/>
                <w:color w:val="auto"/>
              </w:rPr>
            </w:pPr>
          </w:p>
        </w:tc>
      </w:tr>
      <w:tr>
        <w:trPr>
          <w:trHeight w:val="149"/>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11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5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50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140" w:type="dxa"/>
            <w:vAlign w:val="bottom"/>
          </w:tcPr>
          <w:p>
            <w:pPr>
              <w:spacing w:after="0"/>
              <w:rPr>
                <w:sz w:val="12"/>
                <w:szCs w:val="12"/>
                <w:color w:val="auto"/>
              </w:rPr>
            </w:pPr>
          </w:p>
        </w:tc>
      </w:tr>
      <w:tr>
        <w:trPr>
          <w:trHeight w:val="149"/>
        </w:trPr>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118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3,610</w:t>
            </w:r>
          </w:p>
        </w:tc>
        <w:tc>
          <w:tcPr>
            <w:tcW w:w="5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2,204</w:t>
            </w:r>
          </w:p>
        </w:tc>
        <w:tc>
          <w:tcPr>
            <w:tcW w:w="50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140" w:type="dxa"/>
            <w:vAlign w:val="bottom"/>
            <w:shd w:val="clear" w:color="auto" w:fill="CCEEFF"/>
          </w:tcPr>
          <w:p>
            <w:pPr>
              <w:spacing w:after="0"/>
              <w:rPr>
                <w:sz w:val="12"/>
                <w:szCs w:val="12"/>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40" w:right="4559" w:firstLine="4"/>
        <w:spacing w:after="0" w:line="495" w:lineRule="auto"/>
        <w:tabs>
          <w:tab w:leader="none" w:pos="67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Significant Accounting Policies Organization</w:t>
      </w:r>
    </w:p>
    <w:p>
      <w:pPr>
        <w:spacing w:after="0" w:line="1"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AeroVironment, Inc., a Delaware corporation and its fully owned subsidiaries (collectively referred to herein as the “Company”), is engaged in the design, development, production, delivery and support of autonomous systems, precision strike systems, Counter-Uncrewed Aircraft Systems (“C-UAS”) technologies, space-based platforms, directed energy systems, and cyber and electronic warfare capabilities. The Company provides these products and services primarily to organizations within or supplying the U.S. Department of Defense (“DoD”), other federal agencies and to international allied governments.</w:t>
      </w:r>
    </w:p>
    <w:p>
      <w:pPr>
        <w:spacing w:after="0" w:line="187" w:lineRule="exact"/>
        <w:rPr>
          <w:sz w:val="20"/>
          <w:szCs w:val="20"/>
          <w:color w:val="auto"/>
        </w:rPr>
      </w:pPr>
    </w:p>
    <w:p>
      <w:pPr>
        <w:ind w:left="40" w:right="219" w:firstLine="863"/>
        <w:spacing w:after="0" w:line="261" w:lineRule="auto"/>
        <w:rPr>
          <w:sz w:val="20"/>
          <w:szCs w:val="20"/>
          <w:color w:val="auto"/>
        </w:rPr>
      </w:pPr>
      <w:r>
        <w:rPr>
          <w:rFonts w:ascii="Times New Roman" w:cs="Times New Roman" w:eastAsia="Times New Roman" w:hAnsi="Times New Roman"/>
          <w:sz w:val="18"/>
          <w:szCs w:val="18"/>
          <w:color w:val="auto"/>
        </w:rPr>
        <w:t>Effective May 1, 2025, the Company reorganized its segments. In connection with the Company’s acquisition of BlueHalo Financing Topco, LLC (“BlueHalo”), the reorganization was implemented to drive additional operational improvements, foster synergies and provide leaders with greater autonomy over their product lines. The Company’s reportable segments are as follows:</w:t>
      </w:r>
    </w:p>
    <w:p>
      <w:pPr>
        <w:spacing w:after="0" w:line="178" w:lineRule="exact"/>
        <w:rPr>
          <w:sz w:val="20"/>
          <w:szCs w:val="20"/>
          <w:color w:val="auto"/>
        </w:rPr>
      </w:pPr>
    </w:p>
    <w:p>
      <w:pPr>
        <w:ind w:left="40" w:right="79" w:firstLine="863"/>
        <w:spacing w:after="0" w:line="255" w:lineRule="auto"/>
        <w:rPr>
          <w:sz w:val="20"/>
          <w:szCs w:val="20"/>
          <w:color w:val="auto"/>
        </w:rPr>
      </w:pPr>
      <w:r>
        <w:rPr>
          <w:rFonts w:ascii="Times New Roman" w:cs="Times New Roman" w:eastAsia="Times New Roman" w:hAnsi="Times New Roman"/>
          <w:sz w:val="18"/>
          <w:szCs w:val="18"/>
          <w:i w:val="1"/>
          <w:iCs w:val="1"/>
          <w:color w:val="auto"/>
        </w:rPr>
        <w:t>Autonomous Systems (“AxS”)</w:t>
      </w:r>
      <w:r>
        <w:rPr>
          <w:rFonts w:ascii="Times New Roman" w:cs="Times New Roman" w:eastAsia="Times New Roman" w:hAnsi="Times New Roman"/>
          <w:sz w:val="18"/>
          <w:szCs w:val="18"/>
          <w:color w:val="auto"/>
        </w:rPr>
        <w:t>— The AxS segment focuses on the design, development, production,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 of intelligent, multi-domain robotic systems, including UAS, uncrewed underwater vehicles and ground robot systems. The segment includes the Company’s former Uncrewed Systems (“UxS”), Loitering Munitions Systems (“LMS”), and MacCready Works (“MW”) segments as well as Integrated Air and Missile Defense (“IAMD”), Electronic Warfare Systems (“EW”) and Uncrewed Maritime (“UUV”) products and services from the BlueHalo acquisition. It primarily serves organizations within or supplying the DoD, other federal agencies, and international allied governments. This segment encompasses the Company’s core autonomous platforms, such as drones and robotic systems, tailored for mission-critical applications across air, land and sea domains.</w:t>
      </w:r>
    </w:p>
    <w:p>
      <w:pPr>
        <w:spacing w:after="0" w:line="185" w:lineRule="exact"/>
        <w:rPr>
          <w:sz w:val="20"/>
          <w:szCs w:val="20"/>
          <w:color w:val="auto"/>
        </w:rPr>
      </w:pPr>
    </w:p>
    <w:p>
      <w:pPr>
        <w:ind w:left="40" w:right="179" w:firstLine="863"/>
        <w:spacing w:after="0" w:line="257" w:lineRule="auto"/>
        <w:rPr>
          <w:sz w:val="20"/>
          <w:szCs w:val="20"/>
          <w:color w:val="auto"/>
        </w:rPr>
      </w:pPr>
      <w:r>
        <w:rPr>
          <w:rFonts w:ascii="Times New Roman" w:cs="Times New Roman" w:eastAsia="Times New Roman" w:hAnsi="Times New Roman"/>
          <w:sz w:val="18"/>
          <w:szCs w:val="18"/>
          <w:i w:val="1"/>
          <w:iCs w:val="1"/>
          <w:color w:val="auto"/>
        </w:rPr>
        <w:t>Space, Cyber, and Directed Energy (“SCDE”)</w:t>
      </w:r>
      <w:r>
        <w:rPr>
          <w:rFonts w:ascii="Times New Roman" w:cs="Times New Roman" w:eastAsia="Times New Roman" w:hAnsi="Times New Roman"/>
          <w:sz w:val="18"/>
          <w:szCs w:val="18"/>
          <w:color w:val="auto"/>
        </w:rPr>
        <w:t>— The SCDE segment focuses on advanced technologies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space domain providing space-based and ground-based platforms, cyber capabilities, and directed energy systems. This segment positions the Company in high-growth areas of next-generation defense technology, addressing emerging threats and mission requirements in space, cyber warfare, and directed energy applications (e.g., high-energy lasers). It also primarily serves organizations within or supplying the U.S. DoD, other federal agencies, and international allied governments.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16"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AeroVironment, Inc. and its wholly-owned subsidiaries. Consolidated results include that of the Company and subsidiaries. The assets, liabilities and operating results of acquired companies have been included in the Company’s consolidated financial statements. Refer to Note 19— Business Acquisitions for further details. The Company eliminates intercompany balances and transactions in consolidation.</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Companies Accounted for Using the Equity or Cost Method</w:t>
      </w:r>
    </w:p>
    <w:p>
      <w:pPr>
        <w:spacing w:after="0" w:line="22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Investments in other non-consolidated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82" w:lineRule="auto"/>
        <w:rPr>
          <w:sz w:val="20"/>
          <w:szCs w:val="20"/>
          <w:color w:val="auto"/>
        </w:rPr>
      </w:pPr>
      <w:r>
        <w:rPr>
          <w:rFonts w:ascii="Times New Roman" w:cs="Times New Roman" w:eastAsia="Times New Roman" w:hAnsi="Times New Roman"/>
          <w:sz w:val="18"/>
          <w:szCs w:val="18"/>
          <w:color w:val="auto"/>
        </w:rPr>
        <w:t>subsequently reports net income and the Company’s share of that net income exceeds the share of net losses not recognized during the period the equity method was suspended.</w:t>
      </w:r>
    </w:p>
    <w:p>
      <w:pPr>
        <w:spacing w:after="0" w:line="162"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When an investment accounted for using the equity method issues its own shares, the subsequent reduction in the Company’s proportionate interest in the investee is reflected in equity as an adjustment to paid-in-capital. The Company evaluates its investments in companies accounted for by the equity or cost method for impairment when there is evidence or indicators that a decrease in value may be other than temporary. Refer to Note 8—Investments in Companies Accounted for Using the Equity Method for further details. For investments accounted for using the cost basis, refer to Note 2— Investments for further details.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40" w:right="159" w:firstLine="648"/>
        <w:spacing w:after="0" w:line="277"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and other significant expenses, leading to decisions related to resource allocations in relation to profit and loss.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(“GAAP”)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acquired intangibles, goodwill, deferred tax assets and liabilities, useful lives of property, plant and equipment, medical and dental liabilities, warranty liabilities, long-term incentive plan liabilities and estimates of anticipated contract costs and transaction price utilized in the revenue recognition process. Actual results could differ from those estimates.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Specifically, the Company’s disaggregated revenue disclosure has been recast to conform to the new disaggregation by operating groups and presentation of capitalized software to be sold in the statement of cash flows has been recast to conform to current year presentation.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29" w:lineRule="exact"/>
        <w:rPr>
          <w:sz w:val="20"/>
          <w:szCs w:val="20"/>
          <w:color w:val="auto"/>
        </w:rPr>
      </w:pPr>
    </w:p>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Investments in equity securities and warrants are measured at fair value with net unrealized gains and losses from changes in the fair value recognized in other (expense) income, net.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 Approximating Cost</w:t>
      </w:r>
    </w:p>
    <w:p>
      <w:pPr>
        <w:spacing w:after="0" w:line="229" w:lineRule="exact"/>
        <w:rPr>
          <w:sz w:val="20"/>
          <w:szCs w:val="20"/>
          <w:color w:val="auto"/>
        </w:rPr>
      </w:pPr>
    </w:p>
    <w:p>
      <w:pPr>
        <w:ind w:left="40" w:right="619" w:firstLine="648"/>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retentions and accounts payable approximate cost due to the short period of time to maturity.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left="40" w:right="199" w:firstLine="648"/>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corporate bonds, and accounts receivable. The Company currently invests in equity securities and limited partnership funds. The Company’s revenue and accounts receivable are with a limited number of corporations and governmental entities. In the aggregate, 85%, 75% and 76% of the Company’s revenue came from agencies of the U.S. government for the years ended April 30, 2026, 2025 and 2024, respectively. These agencies accounted for 76% and 75% of the accounts receivable balances at April 30, 2026 and 2025, respectively. One such agency, the U.S. Army, accounted for 25%, 20% and 11% of the Company’s consolidated revenue for the years ended April 30, 2026, 2025 and 2024, respectively. The Company performs ongoing credit evaluations of its commercial customers and maintains an allowance for potential losses.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Accounts Receivable, Unbilled Receivables and Retentions</w:t>
      </w:r>
    </w:p>
    <w:p>
      <w:pPr>
        <w:spacing w:after="0" w:line="22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represents primarily U.S. government and allied foreign governments,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 Unbilled receivables are considered contract assets.</w:t>
      </w:r>
    </w:p>
    <w:p>
      <w:pPr>
        <w:spacing w:after="0" w:line="183"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Retentions represent amounts withheld by customers until contract completion. At April 30, 2026 and 2025, the retention balances were $3,416,000 and $746,000, respectively. The Company determines the allowance for credit losses based on historical customer experience, age of receivable and other currently available evidence. When a specific account is deemed uncollectible, the account is written off against the allowance. The allowance for credit losses reflects the Company’s best estimate of expected credit losses over the life of the receivable; such losses have historically been within management’s expectations. An account is deemed past due based on contractual terms rather than on how recently payments have been received.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40" w:right="259"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(using the weighted average costing method and the first in first out or FIFO method) or net realizable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left="40" w:right="139" w:firstLine="648"/>
        <w:spacing w:after="0" w:line="312" w:lineRule="auto"/>
        <w:rPr>
          <w:sz w:val="20"/>
          <w:szCs w:val="20"/>
          <w:color w:val="auto"/>
        </w:rPr>
      </w:pPr>
      <w:r>
        <w:rPr>
          <w:rFonts w:ascii="Times New Roman" w:cs="Times New Roman" w:eastAsia="Times New Roman" w:hAnsi="Times New Roman"/>
          <w:sz w:val="17"/>
          <w:szCs w:val="17"/>
          <w:color w:val="auto"/>
        </w:rPr>
        <w:t>Property, plant and equipment are carried at cost. Depreciation of property and equipment, including amortization of leasehold improvements, are provided using the straight-line method over the following estimated useful lives:</w:t>
      </w:r>
    </w:p>
    <w:p>
      <w:pPr>
        <w:spacing w:after="0" w:line="172"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18"/>
                <w:szCs w:val="18"/>
                <w:color w:val="auto"/>
              </w:rPr>
            </w:pPr>
          </w:p>
        </w:tc>
        <w:tc>
          <w:tcPr>
            <w:tcW w:w="27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3 – 5 years</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In-service ISR assets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 years</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0"/>
                <w:szCs w:val="20"/>
                <w:color w:val="auto"/>
              </w:rPr>
            </w:pPr>
          </w:p>
        </w:tc>
        <w:tc>
          <w:tcPr>
            <w:tcW w:w="27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Lesser of useful life or term of lease</w:t>
            </w:r>
          </w:p>
        </w:tc>
      </w:tr>
    </w:tbl>
    <w:p>
      <w:pPr>
        <w:spacing w:after="0" w:line="17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other income (expense), net in the period incurred with the exception of in-service intelligence, surveillance and reconnaissance (“ISR”) assets which is included in cost of sales in the period incurred.</w:t>
      </w:r>
    </w:p>
    <w:p>
      <w:pPr>
        <w:spacing w:after="0" w:line="183"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Cloud Computing Arrangements</w:t>
      </w:r>
    </w:p>
    <w:p>
      <w:pPr>
        <w:spacing w:after="0" w:line="22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Implementation costs incurred in a cloud computing arrangement that is a service contract are capitalized and recorded on the consolidated balance sheets in prepaid expenses and other current assets and other assets. The amounts capitalized are amortized on a straight-line basis over the estimated useful life of the service arrangement, which generally range from three to seven years. As of April 30, 2026 and 2025, capitalized costs related to cloud computing arrangements was $46,170,000 and $33,656,000, respectively, net of accumulated amortization of $10,349,000 and $4,887,000, respectively. Amortization expense related to cloud computing arrangements for the fiscal years ended April 30, 2026, 2025 and 2024 was $5,536,000, $2,541,000 and $1,440,000.</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Costs of Software to Be Sold</w:t>
      </w:r>
    </w:p>
    <w:p>
      <w:pPr>
        <w:spacing w:after="0" w:line="229"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Costs incurred for internally developed and produced or purchased software to be sold, leased or marketed once the software has established technological feasibility are capitalized and recorded on the consolidated balance sheets in other assets. The amounts capitalized are amortized according to the greater of a straight-line basis over the estimated useful life of the service arrangement, which generally range from two to five years, or the ratio that current gross revenues for a product bear to the total of current and anticipated future gross revenues for that product. As of April 30, 2026 and 2025, capitalized costs of software to be sold, leased or marketed was $27,410,000 and $3,269,000 respectively, net of accumulated amortization of $6,718,000 and $460,000, respectively.</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Intangibles Assets — Acquired in Business Combinations</w:t>
      </w:r>
    </w:p>
    <w:p>
      <w:pPr>
        <w:spacing w:after="0" w:line="229"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backlog, licenses, customer relationships, in-process research and development, trademarks and tradenames, and non-compete agreements. The Company determines the appropriate useful life by performing an analysis of expected cash flows based on historical experience of the acquired businesses. Intangible assets are amortized over their estimated useful lives using the straight-line method which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approximates the pattern in which the economic benefits are consumed. The estimated useful life for the Company’s intangible assets are as follows:</w:t>
      </w:r>
    </w:p>
    <w:p>
      <w:pPr>
        <w:spacing w:after="0" w:line="193"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 12 years</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 3 years</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 – 9 years</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Contractual term</w:t>
            </w:r>
          </w:p>
        </w:tc>
      </w:tr>
    </w:tbl>
    <w:p>
      <w:pPr>
        <w:spacing w:after="0" w:line="198"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As part of the Company’s annual goodwill impairment and identifiable asset test during the fiscal quarter ended April 30, 2025, a decrease in forecasted results of the Uncrewed Ground Vehicles (“UGV”) reporting unit resulted in accelerated intangible amortization expenses of $4,258,000, which was recorded during the three months ended April 30, 2025. Refer to Note 6—Goodwill for further details.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40" w:right="79" w:firstLine="648"/>
        <w:spacing w:after="0" w:line="273" w:lineRule="auto"/>
        <w:rPr>
          <w:sz w:val="20"/>
          <w:szCs w:val="20"/>
          <w:color w:val="auto"/>
        </w:rPr>
      </w:pPr>
      <w:r>
        <w:rPr>
          <w:rFonts w:ascii="Times New Roman" w:cs="Times New Roman" w:eastAsia="Times New Roman" w:hAnsi="Times New Roman"/>
          <w:sz w:val="17"/>
          <w:szCs w:val="17"/>
          <w:color w:val="auto"/>
        </w:rPr>
        <w:t>Goodwill represents the excess of the cost of an acquired entity over the fair value of the acquired net assets. The Company tests goodwill for impairment annually during the fourth quarter of the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the Company’s overall business, significant negative industry or economic trends or significant underperformance relative to projected future results of operations.</w:t>
      </w:r>
    </w:p>
    <w:p>
      <w:pPr>
        <w:spacing w:after="0" w:line="171"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For the impairment test, the Company first assesses qualitative factors, macroeconomic conditions, industry and market considerations, triggering events, cost factors, and overall financial performance, to determine whether it is necessary to perform a quantitative goodwill impairment test. Alternatively, the Company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the Company’s industry and require the Company to make certain assumptions and estimates regarding industry economic factors and future profitability of its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January 2026, a stop-work order was received on the Company’s Other Transaction Agreement (“OTA”) for the delivery of BADGER phased array antenna systems to support Space Force’s SCAR program. Additionally, in March 2026, the customer terminated the agreement for convenience. The Company concluded that the stop-work order represented a trigger event that indicated the carrying value of the Space reporting unit exceeded its fair value. As a result, the Company updated the estimates of the long-term cash flows of the Space reporting unit to reflect the reduced revenue associated with the stop-work order and termination for convenience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$240,708,000 in the Space reporting unit. Due to the trigger event, the Company also performed a recoverability test on the long-lived assets, inclusive of the intangibles, of the Space reporting unit for impairment in accordance with ASC 360. The undiscounted cash flows exceeded the carrying value and no impairment was recorded. As of April 30, 2026, our Space reporting unit has a goodwill balance of approximately $291,000,000.</w:t>
      </w:r>
    </w:p>
    <w:p>
      <w:pPr>
        <w:spacing w:after="0" w:line="190"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During the Company’s annual impairment test during the fiscal quarter ended April 30, 2025, the Company determined the carrying value of the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a full impairment and the recognition of a goodwill impairment charge of $18,359,000 in the UGV reporting unit.</w:t>
      </w:r>
    </w:p>
    <w:p>
      <w:pPr>
        <w:spacing w:after="0" w:line="187"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During the most recent annual impairment test during the fourth quarter of fiscal year 2026, the estimated fair value of all reporting units with goodwill from acquisitions in previous years substantially exceeded their carrying value. The reporting units from the BlueHalo acquisition and the acquisition of Empirical Systems Aerospace, Inc. (“ESAero”) were recently recorded at estimated fair value during the fiscal year ended April 30, 2026 and, other than the Space unit, no triggering event for goodwill impairment was since identified.</w:t>
      </w:r>
    </w:p>
    <w:p>
      <w:pPr>
        <w:spacing w:after="0" w:line="183" w:lineRule="exact"/>
        <w:rPr>
          <w:sz w:val="20"/>
          <w:szCs w:val="20"/>
          <w:color w:val="auto"/>
        </w:rPr>
      </w:pPr>
    </w:p>
    <w:p>
      <w:pPr>
        <w:ind w:left="40" w:right="279" w:firstLine="648"/>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the Company could recognize future impairment charges, the amount of which could be material.</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9"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 accrues an estimate of its exposure to warranty claims based upon both current and historical product sales data and warranty costs incurred. Product warranty reserves are recorded in other current liabilities. The majority of warranties provided do not provide for services beyond standard assurances. However, certain warranties are considered to be separate performance obligations.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Accrued Sales Commissions</w:t>
      </w:r>
    </w:p>
    <w:p>
      <w:pPr>
        <w:spacing w:after="0" w:line="229"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As of April 30, 2026 and 2025, the Company accrued sales commissions in other current liabilities of $14,974,000 and $6,535,000,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Self-Insurance Liability</w:t>
      </w:r>
    </w:p>
    <w:p>
      <w:pPr>
        <w:spacing w:after="0" w:line="22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2026 and 2025, the Company estimated and recorded a self-insurance liability in wages and related accruals of approximately $4,343,000 and $1,559,000,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Employee Savings Plan</w:t>
      </w:r>
    </w:p>
    <w:p>
      <w:pPr>
        <w:spacing w:after="0" w:line="229" w:lineRule="exact"/>
        <w:rPr>
          <w:sz w:val="20"/>
          <w:szCs w:val="20"/>
          <w:color w:val="auto"/>
        </w:rPr>
      </w:pPr>
    </w:p>
    <w:p>
      <w:pPr>
        <w:jc w:val="both"/>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employee 401(k) savings plan covering all eligible employees. The Company expensed approximately $29,137,000, $9,679,000 and $8,554,000 in contributions to the plan for the years ended April 30, 2026, 2025 and 2024, respectively.</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Interest expense, net includes interest expense and interest income. Interest expense for the fiscal year ended April 30, 2026 was $24,197,000. Interest expense includes interest charges from the Credit Facilities as well as the amortization of debt issuance costs for the issuance of the Convertible Notes and the Fourth Amendment to the Credit Agreement, which upon effectiveness of the Amended Credit Agreement, the Company drew $225,000,000 from the amended Revolving Facility and the full $700,000,000 of the Term Loan Facility.</w:t>
      </w:r>
    </w:p>
    <w:p>
      <w:pPr>
        <w:spacing w:after="0" w:line="183"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Interest income for the fiscal year ended April 30, 2026 was $18,581,000. Interest income includes interest income earned on available-for-sale debt securities.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 The Company records a deferred tax asset for acquisition-related costs incurred for an acquisition that closes in a subsequent reporting period. The Company reevaluates the deferred tax asset in the period the acquisition closes and reverses the deferred tax asset to tax expense for deductible expenses.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Customer Advances</w:t>
      </w:r>
    </w:p>
    <w:p>
      <w:pPr>
        <w:spacing w:after="0" w:line="22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receives advances, performance-based payments and progress payments from customers that may exceed costs incurred on certain contracts, including contracts with agencies of the U.S. government resulting in contract liabilities. These advances are classified as customer advances and will be offset against billings.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cost-plus-fixed fee, cost-plus-award fee, and cost-plus-incentive fee (“Cost Plus”), or time and materials (“T&amp;M”). The Company considers all such contracts to be within the scope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229"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good or service in the contract using the cost plus reasonable margin approach. This approach estimates the Company’s expected costs of satisfying the performance obligation and then adds an appropriate margin for that distinct good or service.</w:t>
      </w:r>
    </w:p>
    <w:p>
      <w:pPr>
        <w:spacing w:after="0" w:line="176" w:lineRule="exact"/>
        <w:rPr>
          <w:sz w:val="20"/>
          <w:szCs w:val="20"/>
          <w:color w:val="auto"/>
        </w:rPr>
      </w:pPr>
    </w:p>
    <w:p>
      <w:pPr>
        <w:ind w:left="40" w:right="419" w:firstLine="648"/>
        <w:spacing w:after="0" w:line="312" w:lineRule="auto"/>
        <w:rPr>
          <w:sz w:val="20"/>
          <w:szCs w:val="20"/>
          <w:color w:val="auto"/>
        </w:rPr>
      </w:pPr>
      <w:r>
        <w:rPr>
          <w:rFonts w:ascii="Times New Roman" w:cs="Times New Roman" w:eastAsia="Times New Roman" w:hAnsi="Times New Roman"/>
          <w:sz w:val="17"/>
          <w:szCs w:val="17"/>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40"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Product revenue for certain Precision Strike products including LMS, Space, Directed Energy and Cyber and Mission Solutions product deliveries and customization of UGV transport vehicles is recognized over time as costs are incurred. Contract services revenue is recognized over time and composed of revenue recognized on contracts for the provision of services, including repairs and maintenance, training, engineering design, development and prototyping activities, technical support services, ISR services, and customer-funded R&amp;D contracts. Contract services revenue is recognized over time as services are rendered. Typically, revenue is recognized over time using an input measure (e.g., costs incurred to date relative to total estimated costs at completion) to measure progress. Certain contract services revenue is recognized over time as services are rendered. The Company elected the right to invoice practical expedient in which if an entity has a right to consideration from a customer in an amount that corresponds directly with the value to the customer of the entity’s performance completed to date, the entity may recognize revenue in the amount to which the entity has a right to invoice. Certain training services are recognized over time using an output method based on days of training completed. LMS product revenue is currently recognized over time as the product is considered to not have alternative use as the U.S. government is the only current customer including FMS sales. Once LMS products receive a DCS contract, which is expected during fiscal year 2027, the products are considered to have alternative use and revenue will be recognized at a point in time.</w:t>
      </w:r>
    </w:p>
    <w:p>
      <w:pPr>
        <w:spacing w:after="0" w:line="189" w:lineRule="exact"/>
        <w:rPr>
          <w:sz w:val="20"/>
          <w:szCs w:val="20"/>
          <w:color w:val="auto"/>
        </w:rPr>
      </w:pPr>
    </w:p>
    <w:p>
      <w:pPr>
        <w:ind w:left="40" w:right="519" w:firstLine="648"/>
        <w:spacing w:after="0" w:line="281" w:lineRule="auto"/>
        <w:rPr>
          <w:sz w:val="20"/>
          <w:szCs w:val="20"/>
          <w:color w:val="auto"/>
        </w:rPr>
      </w:pPr>
      <w:r>
        <w:rPr>
          <w:rFonts w:ascii="Times New Roman" w:cs="Times New Roman" w:eastAsia="Times New Roman" w:hAnsi="Times New Roman"/>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64" w:lineRule="exact"/>
        <w:rPr>
          <w:sz w:val="20"/>
          <w:szCs w:val="20"/>
          <w:color w:val="auto"/>
        </w:rPr>
      </w:pPr>
    </w:p>
    <w:p>
      <w:pPr>
        <w:ind w:left="40" w:right="279" w:firstLine="648"/>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The Company’s product sales revenue is primarily composed of revenue recognized on contracts for the delivery of UAS, UGV, UUV, IAMD, and EW systems and spare parts, respectively. Revenue is recognized at the point in time when control transfers to the customer, which generally occurs when title and risk of loss have passed to the customer.</w:t>
      </w:r>
    </w:p>
    <w:p>
      <w:pPr>
        <w:spacing w:after="0" w:line="183"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On April 30, 2026, the Company had approximately $1,176,192,000 of remaining performance obligations under contracts with its customers, which the Company also refers to as backlog. The Company currently expects to recognize approximately 85% of the remaining performance obligations as revenue in fiscal 2027, an additional 15% in fiscal 2028 and thereafter.</w:t>
      </w:r>
    </w:p>
    <w:p>
      <w:pPr>
        <w:spacing w:after="0" w:line="180"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Estimates</w:t>
      </w:r>
    </w:p>
    <w:p>
      <w:pPr>
        <w:spacing w:after="0" w:line="229"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Accounting for contracts and programs involves the use of various techniques to estimate total contract revenue and costs. For long-term contracts, the Company estimates the total expected costs to complete the contract and recognizes revenue based on the percentage of costs incurred at period end.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80"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undefinitized contract actions and unpriced change orders,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88"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including definitization of contracts, are recorded using a cumulative catch-up adjustment in the period identified. In the period undefinitized contract actions or unpriced change orders become definitized, a cumulative catch-up adjustment is recorded to reflect the final consideration, which could have a material positive or negative impact.</w:t>
      </w:r>
    </w:p>
    <w:p>
      <w:pPr>
        <w:spacing w:after="0" w:line="18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If at any time the estimate of contract profitability indicates an anticipated loss on the contract and the contract falls under the scope of onerous contract guidance, contracts for which specifications are provided by the customer for the construction of facilities or the production of goods or the provision of related services, the Company recognizes the total loss in the quarter it is identified, and it is recorded in other current liabilities. The balance of forward loss reserves as of April 30, 2026 and April 30, 2025 was $6,103,000 and $104,000, respectively. The Company records forward loss reserves when the total estimated costs to complete the contracts are in excess of the total remaining consideration of the contracts. As of April 30, 2026, one IAMD contract had a forward loss reserve of $3,889,000 due to increase estimated costs to complete the project. No other individual contract in the forward loss reserve was material to the Company’s consolidated financial statements for the fiscal years ended April 30, 2026, 2025 or 2024.</w:t>
      </w:r>
    </w:p>
    <w:p>
      <w:pPr>
        <w:spacing w:after="0" w:line="188"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a decrease to revenue of $(2,557,000) for the year ended April 30, 2026 and an increase to revenue of $6,002,000, and $5,408,000 for the years ended April 30, 2025, and 2024, respectively. For the year ended April 30, 2026, the Company had two individual contracts with material adjustments. One Cyber and Mission Solutions contract had an adjustment due to revised estimates of the total expected costs to complete contracts, which decreased revenue by approximately $(3,091,000). One Space and Directed Energy contract had a favorable adjustment due to lower expected costs and an increase in profitability which increased revenue by approximately $6,659,000. During the year ended April 30, 2025, the Company definitized four LMS undefinitized contract actions, which resulted in a cumulative catch-up revenue adjustment of $9,870,000 increase to revenue, and eight LMS unpriced change orders, which resulted in a cumulative catch-up revenue adjustment of $2,177,000 increase to revenue. The Company also had one LMS contract with a material adjustment due to revised estimates of the total expected costs to complete contracts, which decreased revenue by approximately $2,874,000. During the year ended April 30, 2024, the Company had two LMS contracts with a material adjustment due to revised estimates of the total expected costs to complete contracts, which increased revenue by approximately $2,672,000.</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by Category</w:t>
      </w:r>
    </w:p>
    <w:p>
      <w:pPr>
        <w:spacing w:after="0" w:line="229"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operating group,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operating group</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Uncrewed Aircraft Systems</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363,878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$ 352,019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Precision Strike and Defense Systems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Space and Directed Energy</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Cyber and Mission Solutions</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1,976,845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$ 820,627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1,384,333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$ 746,190</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634,266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Plus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138,399</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1,976,845</w:t>
            </w:r>
          </w:p>
        </w:tc>
        <w:tc>
          <w:tcPr>
            <w:tcW w:w="1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$ 820,627</w:t>
            </w:r>
          </w:p>
        </w:tc>
        <w:tc>
          <w:tcPr>
            <w:tcW w:w="180" w:type="dxa"/>
            <w:vAlign w:val="bottom"/>
            <w:gridSpan w:val="2"/>
          </w:tcPr>
          <w:p>
            <w:pPr>
              <w:spacing w:after="0"/>
              <w:rPr>
                <w:sz w:val="18"/>
                <w:szCs w:val="18"/>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4"/>
        </w:trPr>
        <w:tc>
          <w:tcPr>
            <w:tcW w:w="4680" w:type="dxa"/>
            <w:vAlign w:val="bottom"/>
            <w:vMerge w:val="continue"/>
          </w:tcPr>
          <w:p>
            <w:pPr>
              <w:spacing w:after="0"/>
              <w:rPr>
                <w:sz w:val="15"/>
                <w:szCs w:val="15"/>
                <w:color w:val="auto"/>
              </w:rPr>
            </w:pPr>
          </w:p>
        </w:tc>
        <w:tc>
          <w:tcPr>
            <w:tcW w:w="2300" w:type="dxa"/>
            <w:vAlign w:val="bottom"/>
            <w:gridSpan w:val="3"/>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$ 1,688,719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$ 613,053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544,885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288,126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171,835</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$ 1,976,845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$ 820,627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2300" w:type="dxa"/>
            <w:vAlign w:val="bottom"/>
            <w:gridSpan w:val="3"/>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$ 1,420,437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$ 390,744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271,727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556,408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444,993</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$ 1,976,845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$ 820,627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auto"/>
            </w:tcBorders>
            <w:gridSpan w:val="8"/>
          </w:tcPr>
          <w:p>
            <w:pPr>
              <w:jc w:val="center"/>
              <w:ind w:left="624"/>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percentage by recognition method</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13"/>
        </w:trPr>
        <w:tc>
          <w:tcPr>
            <w:tcW w:w="4680" w:type="dxa"/>
            <w:vAlign w:val="bottom"/>
            <w:vMerge w:val="continue"/>
          </w:tcPr>
          <w:p>
            <w:pPr>
              <w:spacing w:after="0"/>
              <w:rPr>
                <w:sz w:val="18"/>
                <w:szCs w:val="18"/>
                <w:color w:val="auto"/>
              </w:rPr>
            </w:pPr>
          </w:p>
        </w:tc>
        <w:tc>
          <w:tcPr>
            <w:tcW w:w="2300" w:type="dxa"/>
            <w:vAlign w:val="bottom"/>
            <w:gridSpan w:val="3"/>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48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40" w:right="439"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consolidated balance sheets. In the Company’s services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sheets. However, the Company sometimes receives advances or deposits from its customers before revenue is recognized, resulting in contract liabilities recorded in customer advances on the consolidated balance sheets.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sheets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years ended April 30, 2026 or 2025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87" w:lineRule="exact"/>
        <w:rPr>
          <w:sz w:val="20"/>
          <w:szCs w:val="20"/>
          <w:color w:val="auto"/>
        </w:rPr>
      </w:pPr>
    </w:p>
    <w:p>
      <w:pPr>
        <w:ind w:left="40" w:right="419" w:firstLine="648"/>
        <w:spacing w:after="0" w:line="282" w:lineRule="auto"/>
        <w:rPr>
          <w:sz w:val="20"/>
          <w:szCs w:val="20"/>
          <w:color w:val="auto"/>
        </w:rPr>
      </w:pPr>
      <w:r>
        <w:rPr>
          <w:rFonts w:ascii="Times New Roman" w:cs="Times New Roman" w:eastAsia="Times New Roman" w:hAnsi="Times New Roman"/>
          <w:sz w:val="18"/>
          <w:szCs w:val="18"/>
          <w:color w:val="auto"/>
        </w:rPr>
        <w:t>Revenue recognized for the years ended April 30, 2026, 2025, and 2024 that was included in contract liability balances at the beginning of each year were $12,331,000, $9,980,000 and $13,757,000,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Cost to Fulfill a Contract with a Customer</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assets for the costs to fulfill a contract with a customer if the costs are specifically identifiable, generate or enhance resources used to satisfy future performance obligations, and are expected to be recovered in accordance with ASC 340-40 </w:t>
      </w:r>
      <w:r>
        <w:rPr>
          <w:rFonts w:ascii="Times New Roman" w:cs="Times New Roman" w:eastAsia="Times New Roman" w:hAnsi="Times New Roman"/>
          <w:sz w:val="18"/>
          <w:szCs w:val="18"/>
          <w:i w:val="1"/>
          <w:iCs w:val="1"/>
          <w:color w:val="auto"/>
        </w:rPr>
        <w:t>Other Assets and Deferred Costs: Contracts with Customers</w:t>
      </w:r>
      <w:r>
        <w:rPr>
          <w:rFonts w:ascii="Times New Roman" w:cs="Times New Roman" w:eastAsia="Times New Roman" w:hAnsi="Times New Roman"/>
          <w:sz w:val="18"/>
          <w:szCs w:val="18"/>
          <w:color w:val="auto"/>
        </w:rPr>
        <w:t>. The assets related to costs to fulfill contracts with customers are capitalized and amortized over the period the related performance obligations are satisfied. As of April 30, 2026 and 2025, the Company’s costs to fulfill were $0 and $1,948,000, respectively.</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Long-Term Incentive Awards</w:t>
      </w:r>
    </w:p>
    <w:p>
      <w:pPr>
        <w:spacing w:after="0" w:line="229" w:lineRule="exact"/>
        <w:rPr>
          <w:sz w:val="20"/>
          <w:szCs w:val="20"/>
          <w:color w:val="auto"/>
        </w:rPr>
      </w:pPr>
    </w:p>
    <w:p>
      <w:pPr>
        <w:ind w:left="40" w:right="359" w:firstLine="648"/>
        <w:spacing w:after="0" w:line="258" w:lineRule="auto"/>
        <w:rPr>
          <w:sz w:val="20"/>
          <w:szCs w:val="20"/>
          <w:color w:val="auto"/>
        </w:rPr>
      </w:pPr>
      <w:r>
        <w:rPr>
          <w:rFonts w:ascii="Times New Roman" w:cs="Times New Roman" w:eastAsia="Times New Roman" w:hAnsi="Times New Roman"/>
          <w:sz w:val="18"/>
          <w:szCs w:val="18"/>
          <w:color w:val="auto"/>
        </w:rPr>
        <w:t>For long-term incentive awards outstanding as of April 30, 2026,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shares of restricted stock which become immediately vested upon issuance.</w:t>
      </w:r>
    </w:p>
    <w:p>
      <w:pPr>
        <w:spacing w:after="0" w:line="183"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6"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Internally funded R&amp;D costs sponsored by the Company relate to both U.S. government products and services and those for commercial and foreign customers. Internally funded R&amp;D costs for the Company are recoverable and allocable under government contracts in accordance with U.S. government procurement regulations.</w:t>
      </w:r>
    </w:p>
    <w:p>
      <w:pPr>
        <w:spacing w:after="0" w:line="162" w:lineRule="exact"/>
        <w:rPr>
          <w:sz w:val="20"/>
          <w:szCs w:val="20"/>
          <w:color w:val="auto"/>
        </w:rPr>
      </w:pPr>
    </w:p>
    <w:p>
      <w:pPr>
        <w:jc w:val="both"/>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are performed. Revenue from customer-funded R&amp;D was $240,889,000, $78,491,000 and $82,104,000 for the years ended April 30, 2026, 2025 and 2024, respectively. The related cost of sales for customer-funded R&amp;D totaled $209,656,000, $58,028,000 and $62,181,000 for the years ended April 30, 2026, 2025 and 2024,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216"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66"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ten years, and some of which may include options to terminate the lease after one to twelve months.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75"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the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5" w:lineRule="exact"/>
        <w:rPr>
          <w:sz w:val="20"/>
          <w:szCs w:val="20"/>
          <w:color w:val="auto"/>
        </w:rPr>
      </w:pPr>
    </w:p>
    <w:p>
      <w:pPr>
        <w:ind w:left="40" w:right="719"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restrictions or covenants in its lease agreements, sale-leaseback transactions, land easements or residual value guarantees.</w:t>
      </w:r>
    </w:p>
    <w:p>
      <w:pPr>
        <w:spacing w:after="0" w:line="148"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or purchase the underlying asset. Additionally, the Company makes judgments around contractual asset substitution rights in determining whether a contract contains a lease.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16"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included in SG&amp;A expenses were $1,445,000, $416,000 and $457,000 for the years ended April 30, 2026, 2025 and 2024, respectively.</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jc w:val="both"/>
        <w:ind w:left="40" w:right="219" w:firstLine="648"/>
        <w:spacing w:after="0" w:line="289" w:lineRule="auto"/>
        <w:rPr>
          <w:sz w:val="20"/>
          <w:szCs w:val="20"/>
          <w:color w:val="auto"/>
        </w:rPr>
      </w:pPr>
      <w:r>
        <w:rPr>
          <w:rFonts w:ascii="Times New Roman" w:cs="Times New Roman" w:eastAsia="Times New Roman" w:hAnsi="Times New Roman"/>
          <w:sz w:val="17"/>
          <w:szCs w:val="17"/>
          <w:color w:val="auto"/>
        </w:rPr>
        <w:t>Foreign currency transaction gains and losses are charged or credited to earnings as incurred. For the fiscal years ended April 30, 2026, 2025 and 2024, foreign currency transaction losses that are included in other income (expense), net in the accompanying consolidated statements of (loss) income were $102,000, $491,000, and $22,000, respectively.</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Basic (loss) earnings per share are computed using the weighted-average number of common shares outstanding and excludes any anti-dilutive effects of options, restricted stock and restricted stock units. The dilutive effect of potential common shares outstanding is included in diluted (loss) earnings per share.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reconciliation of diluted to basic shares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w w:val="99"/>
              </w:rPr>
              <w:t>Year Ended April 30,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52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AeroVironment, Inc.</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(265,122,000)</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$ 43,619,000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$ 59,666,000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49,087,346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28,018,656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27,203,417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restricted stock and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49,087,346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28,173,488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27,327,993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April 30, 2026, 2025 and 2024, certain options, shares of restricted stock and restricted stock units were not included in the computation of diluted earnings per share because their inclusion would have been anti-dilutive. Due to the net loss for the fiscal year ended April 30, 2026, no shares reserved for issuance upon exercise of stock options or shares of unvested restricted stock were included in the computation of diluted loss per share as their inclusion would have been anti-dilutive. The number of options, restricted stock and restricted stock units which met this anti-dilutive criterion was approximately 344,578; 393 and 1,000 for the years ended April 30, 2026, 2025 and 2024, respectively.</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ind w:left="40" w:right="2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updates to the rate reconciliation, income taxes paid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Effective April 30, 2026, the Company adopted the ASU 2023-09. The Company is evaluating the potential impact of this adoption on its consolidated financial statements. The Company’s adoption of ASU 2023-07 did not have a material impact on the Company’s consolidated financial statements but did result in additional disclosures in the notes to the Company’s consolidated financial statements.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(“ASU 2024-03”). ASU 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and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The Company does not expect the adoption of ASU 2024-03 to have a material impact on its consolidated financial statements; however, the ASU will result in additional disclosures in the notes to our consolidated financial statements.</w:t>
      </w:r>
    </w:p>
    <w:p>
      <w:pPr>
        <w:spacing w:after="0" w:line="194" w:lineRule="exact"/>
        <w:rPr>
          <w:sz w:val="20"/>
          <w:szCs w:val="20"/>
          <w:color w:val="auto"/>
        </w:rPr>
      </w:pPr>
    </w:p>
    <w:p>
      <w:pPr>
        <w:ind w:left="40" w:right="299"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Targeted Improvements to the Accounting for Internal-Use Software (“ASU 2025-06”),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The Company is currently evaluating the impact of adopting this new pronouncement.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(“ASU 2025-11”), which is intended to improve the navigability of required interim disclosures and clarify when that guidance is applicable, and also to provide additional guidance on what disclosures should be provided in interim reporting periods. The new standard is effective for annual reporting periods beginning after December 15, 2027 and interim periods within those annual reporting periods. The standard allows for prospective or retrospective transition. Early adoption is permitted. The Company does not expect the adoption of ASU 2024-03 to have a material impact on its consolidated financial statements.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5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5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Investments consist of the following:</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CCEEFF"/>
            </w:tcBorders>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gridSpan w:val="2"/>
          </w:tcPr>
          <w:p>
            <w:pPr>
              <w:jc w:val="center"/>
              <w:ind w:lef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7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investments:</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254,972</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at cost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22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81,128</w:t>
            </w:r>
          </w:p>
        </w:tc>
        <w:tc>
          <w:tcPr>
            <w:tcW w:w="22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As of April 30, 2026, the balance of available-for-sale securities consisted of U.S. government securities and high-grade corporate bonds. Interest earned from these investments is recorded in interest expense, net. Realized gains on sales of these investments on the basis of specific identification are recorded in interest expense, net. As of April 30, 2025, the company held no available-for-sale securities.</w:t>
      </w:r>
    </w:p>
    <w:p>
      <w:pPr>
        <w:spacing w:after="0" w:line="180"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activity related to the available-for-sale investments recorded in short-term and long-term investments as of April 30, 2026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6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6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left="18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960" w:type="dxa"/>
            <w:vAlign w:val="bottom"/>
          </w:tcPr>
          <w:p>
            <w:pPr>
              <w:jc w:val="center"/>
              <w:ind w:left="18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124,165</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151,940</w:t>
            </w:r>
          </w:p>
        </w:tc>
        <w:tc>
          <w:tcPr>
            <w:tcW w:w="180" w:type="dxa"/>
            <w:vAlign w:val="bottom"/>
          </w:tcPr>
          <w:p>
            <w:pPr>
              <w:spacing w:after="0"/>
              <w:rPr>
                <w:sz w:val="18"/>
                <w:szCs w:val="18"/>
                <w:color w:val="auto"/>
              </w:rPr>
            </w:pPr>
          </w:p>
        </w:tc>
        <w:tc>
          <w:tcPr>
            <w:tcW w:w="980" w:type="dxa"/>
            <w:vAlign w:val="bottom"/>
            <w:gridSpan w:val="2"/>
          </w:tcPr>
          <w:p>
            <w:pPr>
              <w:jc w:val="right"/>
              <w:ind w:right="80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151,866</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and 500,000 privately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placed, redeemable warrants of Amprius Technologies, Inc. On April 16, 2026, the Company sold 500,000 shares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$9,350,000, net of commission and fee, and on April 22, 2026, the Company exercised its right to redeem the warrants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500,000 shares at an exercise of $12.50 for $6,250,000 and sold the received 500,000 shares on April 29, 2026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$9,824,000.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gains (losses) from changes in the fair value recognized in other income (expense), net.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8"/>
        </w:trPr>
        <w:tc>
          <w:tcPr>
            <w:tcW w:w="36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gain (loss) recognized during the period on</w:t>
            </w:r>
          </w:p>
        </w:tc>
        <w:tc>
          <w:tcPr>
            <w:tcW w:w="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1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11,720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gain recognized during the period 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securities sold during the period</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11,720</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3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 (loss) recognized during the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on equity securities still held at the</w:t>
            </w:r>
          </w:p>
        </w:tc>
        <w:tc>
          <w:tcPr>
            <w:tcW w:w="1160" w:type="dxa"/>
            <w:vAlign w:val="bottom"/>
            <w:gridSpan w:val="2"/>
            <w:vMerge w:val="restart"/>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21"/>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date</w:t>
            </w:r>
          </w:p>
        </w:tc>
        <w:tc>
          <w:tcPr>
            <w:tcW w:w="116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Measured at Cost</w:t>
      </w:r>
    </w:p>
    <w:p>
      <w:pPr>
        <w:spacing w:after="0" w:line="229" w:lineRule="exact"/>
        <w:rPr>
          <w:sz w:val="20"/>
          <w:szCs w:val="20"/>
          <w:color w:val="auto"/>
        </w:rPr>
      </w:pPr>
    </w:p>
    <w:p>
      <w:pPr>
        <w:ind w:left="40" w:right="319" w:firstLine="648"/>
        <w:spacing w:after="0" w:line="258" w:lineRule="auto"/>
        <w:rPr>
          <w:sz w:val="20"/>
          <w:szCs w:val="20"/>
          <w:color w:val="auto"/>
        </w:rPr>
      </w:pPr>
      <w:r>
        <w:rPr>
          <w:rFonts w:ascii="Times New Roman" w:cs="Times New Roman" w:eastAsia="Times New Roman" w:hAnsi="Times New Roman"/>
          <w:sz w:val="18"/>
          <w:szCs w:val="18"/>
          <w:color w:val="auto"/>
        </w:rPr>
        <w:t>On December 22, 2025, the Company invested $3,000,000 in a privately-held technology company through Simple Agreement for Future Equity (“SAFE”) arrangement. The SAFE provides the Company with the right to receive equity in the issuing company upon the occurrence of certain future events, including a qualifying equity financing or a liquidity event. The Company measures the investment at cost, less any impairment and are recorded in long-term investments and included in Equity securities and warrants line in the investments table above.</w:t>
      </w:r>
    </w:p>
    <w:p>
      <w:pPr>
        <w:spacing w:after="0" w:line="183"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On April 13, 2026, the Company invested $5,000,000 in a privately-held technology company through a convertible promissory note. The note bears interest at 4.03% annually, matures in 3 years, automatically converts into preferred equity upon a qualified financing event subject to a conversion discount, optional conversion into preferred equity upon a non-qualified financing event subject to a conversion discount, or optional conversion into preferred equity absent subsequent financing without a conversion discount.</w:t>
      </w:r>
    </w:p>
    <w:p>
      <w:pPr>
        <w:spacing w:after="0" w:line="193" w:lineRule="exact"/>
        <w:rPr>
          <w:sz w:val="20"/>
          <w:szCs w:val="20"/>
          <w:color w:val="auto"/>
        </w:rPr>
      </w:pPr>
    </w:p>
    <w:p>
      <w:pPr>
        <w:ind w:left="680" w:hanging="636"/>
        <w:spacing w:after="0"/>
        <w:tabs>
          <w:tab w:leader="none" w:pos="6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62"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08" w:lineRule="exact"/>
        <w:rPr>
          <w:sz w:val="20"/>
          <w:szCs w:val="20"/>
          <w:color w:val="auto"/>
        </w:rPr>
      </w:pPr>
    </w:p>
    <w:p>
      <w:pPr>
        <w:ind w:left="1040" w:right="339" w:hanging="321"/>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1040" w:right="99" w:hanging="321"/>
        <w:spacing w:after="0" w:line="266"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0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158"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2026,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spacing w:after="0"/>
              <w:rPr>
                <w:sz w:val="10"/>
                <w:szCs w:val="10"/>
                <w:color w:val="auto"/>
              </w:rPr>
            </w:pPr>
          </w:p>
        </w:tc>
        <w:tc>
          <w:tcPr>
            <w:tcW w:w="960" w:type="dxa"/>
            <w:vAlign w:val="bottom"/>
            <w:gridSpan w:val="2"/>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 Significant</w:t>
            </w:r>
          </w:p>
        </w:tc>
        <w:tc>
          <w:tcPr>
            <w:tcW w:w="26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10"/>
                <w:szCs w:val="10"/>
                <w:color w:val="auto"/>
              </w:rPr>
            </w:pPr>
          </w:p>
        </w:tc>
        <w:tc>
          <w:tcPr>
            <w:tcW w:w="960" w:type="dxa"/>
            <w:vAlign w:val="bottom"/>
            <w:gridSpan w:val="2"/>
          </w:tcPr>
          <w:p>
            <w:pPr>
              <w:jc w:val="right"/>
              <w:ind w:right="69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gridSpan w:val="3"/>
          </w:tcPr>
          <w:p>
            <w:pPr>
              <w:jc w:val="center"/>
              <w:ind w:left="71"/>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80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3"/>
          </w:tcPr>
          <w:p>
            <w:pPr>
              <w:jc w:val="center"/>
              <w:ind w:left="71"/>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7"/>
              </w:rPr>
              <w:t>$ 276,031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$ 276,031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97"/>
              </w:rPr>
              <w:t>$ 276,031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$ 276,031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2026.</w:t>
      </w:r>
    </w:p>
    <w:p>
      <w:pPr>
        <w:spacing w:after="0" w:line="158"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2025, were as follows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spacing w:after="0"/>
              <w:rPr>
                <w:sz w:val="10"/>
                <w:szCs w:val="10"/>
                <w:color w:val="auto"/>
              </w:rPr>
            </w:pPr>
          </w:p>
        </w:tc>
        <w:tc>
          <w:tcPr>
            <w:tcW w:w="9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0"/>
                <w:szCs w:val="10"/>
                <w:color w:val="auto"/>
              </w:rPr>
            </w:pPr>
          </w:p>
        </w:tc>
        <w:tc>
          <w:tcPr>
            <w:tcW w:w="300" w:type="dxa"/>
            <w:vAlign w:val="bottom"/>
            <w:gridSpan w:val="2"/>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80" w:type="dxa"/>
            <w:vAlign w:val="bottom"/>
            <w:gridSpan w:val="3"/>
          </w:tcPr>
          <w:p>
            <w:pPr>
              <w:jc w:val="center"/>
              <w:ind w:left="91"/>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2025.</w:t>
      </w:r>
    </w:p>
    <w:p>
      <w:pPr>
        <w:spacing w:after="0" w:line="221" w:lineRule="exact"/>
        <w:rPr>
          <w:sz w:val="20"/>
          <w:szCs w:val="20"/>
          <w:color w:val="auto"/>
        </w:rPr>
      </w:pPr>
    </w:p>
    <w:p>
      <w:pPr>
        <w:ind w:left="680" w:hanging="636"/>
        <w:spacing w:after="0"/>
        <w:tabs>
          <w:tab w:leader="none" w:pos="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16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 of the following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28"/>
        </w:trPr>
        <w:tc>
          <w:tcPr>
            <w:tcW w:w="5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5"/>
          </w:tcPr>
          <w:p>
            <w:pPr>
              <w:jc w:val="center"/>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156,200</w:t>
            </w:r>
          </w:p>
        </w:tc>
        <w:tc>
          <w:tcPr>
            <w:tcW w:w="40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73,434</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120" w:type="dxa"/>
            <w:vAlign w:val="bottom"/>
            <w:shd w:val="clear" w:color="auto" w:fill="CCEEFF"/>
          </w:tcPr>
          <w:p>
            <w:pPr>
              <w:spacing w:after="0"/>
              <w:rPr>
                <w:sz w:val="18"/>
                <w:szCs w:val="18"/>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172,762</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(28,672)</w:t>
            </w:r>
          </w:p>
        </w:tc>
        <w:tc>
          <w:tcPr>
            <w:tcW w:w="120" w:type="dxa"/>
            <w:vAlign w:val="bottom"/>
            <w:shd w:val="clear" w:color="auto" w:fill="CCEEFF"/>
          </w:tcPr>
          <w:p>
            <w:pPr>
              <w:spacing w:after="0"/>
              <w:rPr>
                <w:sz w:val="18"/>
                <w:szCs w:val="18"/>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312,856</w:t>
            </w:r>
          </w:p>
        </w:tc>
        <w:tc>
          <w:tcPr>
            <w:tcW w:w="24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144,090</w:t>
            </w:r>
          </w:p>
        </w:tc>
        <w:tc>
          <w:tcPr>
            <w:tcW w:w="12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years ended April 30, 2026, 2025 and 2024, the Company recorded inventory reserve charges of $8,460,000, $2,882,000 and $13,937,000, respectively.</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Intangibles, net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40" w:type="dxa"/>
            <w:vAlign w:val="bottom"/>
          </w:tcPr>
          <w:p>
            <w:pPr>
              <w:spacing w:after="0"/>
              <w:rPr>
                <w:sz w:val="24"/>
                <w:szCs w:val="24"/>
                <w:color w:val="auto"/>
              </w:rPr>
            </w:pPr>
          </w:p>
        </w:tc>
        <w:tc>
          <w:tcPr>
            <w:tcW w:w="6100" w:type="dxa"/>
            <w:vAlign w:val="bottom"/>
            <w:vMerge w:val="restart"/>
          </w:tcPr>
          <w:p>
            <w:pPr>
              <w:ind w:left="59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4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6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vMerge w:val="continue"/>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585,970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8"/>
              </w:rPr>
              <w:t>Licenses</w:t>
            </w: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6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at April 30, 2026 and 2025 was 6 years. Amortization expense for the years ended April 30, 2026, 2025 and 2024 was $203,984,000, $23,391,000 and $17,954,000,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In January 2026, a stop-work order was received on the Company’s OTA for the delivery of BADGER phased array antenna systems to support Space Force’s Satellite Communication Augmentation Resource (“SCAR”) program. Additionally, in March 2026, the customer terminated the agreement for convenience. The Company concluded that the stop-work order represented a trigger event that indicated the carrying value of the Space reporting unit exceeded its fair value. Due to the trigger event, the Company performed a recoverability test on the long-lived assets of the Space reporting unit, inclusive of the intangibles, for impairment in accordance with ASC 360. The undiscounted cash flows exceeded the carrying value and no impairment was recorded for long-lived assets.</w:t>
      </w:r>
    </w:p>
    <w:p>
      <w:pPr>
        <w:spacing w:after="0" w:line="18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As part of the Company’s annual goodwill impairment and identifiable assets test during the fiscal quarter ended April 30, 2025, a decrease in forecasted results of the UGV reporting unit resulted in accelerated intangible amortization expenses of $4,258,000, or loss per diluted share of $0.12, which was during the three months ended April 30, 2025. Refer to Note 6—Goodwill for further details.</w:t>
      </w:r>
    </w:p>
    <w:p>
      <w:pPr>
        <w:spacing w:after="0" w:line="180"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Customer relationships, backlog, technology, non-compete agreements, and tradename intangibles were recognized in conjunction with the Company’s acquisition of ESAero on March 16, 2026. Technology, backlog and customer relationships intangibles were recognized in conjunction with the Company’s acquisition of Blue Halo on May 1, 2025. Refer to Note 19—Business Acquisitions for further details.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3900" w:type="dxa"/>
            <w:vAlign w:val="bottom"/>
            <w:gridSpan w:val="3"/>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 ending</w:t>
            </w:r>
          </w:p>
        </w:tc>
      </w:tr>
      <w:tr>
        <w:trPr>
          <w:trHeight w:val="173"/>
        </w:trPr>
        <w:tc>
          <w:tcPr>
            <w:tcW w:w="39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09"/>
        </w:trPr>
        <w:tc>
          <w:tcPr>
            <w:tcW w:w="3960" w:type="dxa"/>
            <w:vAlign w:val="bottom"/>
            <w:tcBorders>
              <w:top w:val="single" w:sz="8" w:color="CCEEFF"/>
            </w:tcBorders>
            <w:shd w:val="clear" w:color="auto" w:fill="CCEEFF"/>
          </w:tcPr>
          <w:p>
            <w:pPr>
              <w:jc w:val="right"/>
              <w:ind w:right="3510"/>
              <w:spacing w:after="0"/>
              <w:rPr>
                <w:sz w:val="20"/>
                <w:szCs w:val="20"/>
                <w:color w:val="auto"/>
              </w:rPr>
            </w:pPr>
            <w:r>
              <w:rPr>
                <w:rFonts w:ascii="Times New Roman" w:cs="Times New Roman" w:eastAsia="Times New Roman" w:hAnsi="Times New Roman"/>
                <w:sz w:val="18"/>
                <w:szCs w:val="18"/>
                <w:color w:val="auto"/>
                <w:w w:val="94"/>
              </w:rPr>
              <w:t>2027</w:t>
            </w:r>
          </w:p>
        </w:tc>
        <w:tc>
          <w:tcPr>
            <w:tcW w:w="38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w w:val="94"/>
              </w:rPr>
              <w:t>2028</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165,242</w:t>
            </w:r>
          </w:p>
        </w:tc>
        <w:tc>
          <w:tcPr>
            <w:tcW w:w="140" w:type="dxa"/>
            <w:vAlign w:val="bottom"/>
          </w:tcPr>
          <w:p>
            <w:pPr>
              <w:spacing w:after="0"/>
              <w:rPr>
                <w:sz w:val="18"/>
                <w:szCs w:val="18"/>
                <w:color w:val="auto"/>
              </w:rPr>
            </w:pPr>
          </w:p>
        </w:tc>
      </w:tr>
      <w:tr>
        <w:trPr>
          <w:trHeight w:val="216"/>
        </w:trPr>
        <w:tc>
          <w:tcPr>
            <w:tcW w:w="3960" w:type="dxa"/>
            <w:vAlign w:val="bottom"/>
            <w:shd w:val="clear" w:color="auto" w:fill="CCEEFF"/>
          </w:tcPr>
          <w:p>
            <w:pPr>
              <w:jc w:val="right"/>
              <w:ind w:right="3510"/>
              <w:spacing w:after="0"/>
              <w:rPr>
                <w:sz w:val="20"/>
                <w:szCs w:val="20"/>
                <w:color w:val="auto"/>
              </w:rPr>
            </w:pPr>
            <w:r>
              <w:rPr>
                <w:rFonts w:ascii="Times New Roman" w:cs="Times New Roman" w:eastAsia="Times New Roman" w:hAnsi="Times New Roman"/>
                <w:sz w:val="18"/>
                <w:szCs w:val="18"/>
                <w:color w:val="auto"/>
                <w:w w:val="94"/>
              </w:rPr>
              <w:t>2029</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160,271</w:t>
            </w:r>
          </w:p>
        </w:tc>
        <w:tc>
          <w:tcPr>
            <w:tcW w:w="140" w:type="dxa"/>
            <w:vAlign w:val="bottom"/>
            <w:shd w:val="clear" w:color="auto" w:fill="CCEEFF"/>
          </w:tcPr>
          <w:p>
            <w:pPr>
              <w:spacing w:after="0"/>
              <w:rPr>
                <w:sz w:val="18"/>
                <w:szCs w:val="18"/>
                <w:color w:val="auto"/>
              </w:rPr>
            </w:pPr>
          </w:p>
        </w:tc>
      </w:tr>
      <w:tr>
        <w:trPr>
          <w:trHeight w:val="216"/>
        </w:trPr>
        <w:tc>
          <w:tcPr>
            <w:tcW w:w="396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w w:val="94"/>
              </w:rPr>
              <w:t>2030</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140" w:type="dxa"/>
            <w:vAlign w:val="bottom"/>
          </w:tcPr>
          <w:p>
            <w:pPr>
              <w:spacing w:after="0"/>
              <w:rPr>
                <w:sz w:val="18"/>
                <w:szCs w:val="18"/>
                <w:color w:val="auto"/>
              </w:rPr>
            </w:pPr>
          </w:p>
        </w:tc>
      </w:tr>
      <w:tr>
        <w:trPr>
          <w:trHeight w:val="216"/>
        </w:trPr>
        <w:tc>
          <w:tcPr>
            <w:tcW w:w="3960" w:type="dxa"/>
            <w:vAlign w:val="bottom"/>
            <w:shd w:val="clear" w:color="auto" w:fill="CCEEFF"/>
          </w:tcPr>
          <w:p>
            <w:pPr>
              <w:jc w:val="right"/>
              <w:ind w:right="3510"/>
              <w:spacing w:after="0"/>
              <w:rPr>
                <w:sz w:val="20"/>
                <w:szCs w:val="20"/>
                <w:color w:val="auto"/>
              </w:rPr>
            </w:pPr>
            <w:r>
              <w:rPr>
                <w:rFonts w:ascii="Times New Roman" w:cs="Times New Roman" w:eastAsia="Times New Roman" w:hAnsi="Times New Roman"/>
                <w:sz w:val="18"/>
                <w:szCs w:val="18"/>
                <w:color w:val="auto"/>
                <w:w w:val="94"/>
              </w:rPr>
              <w:t>2031</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78,624</w:t>
            </w:r>
          </w:p>
        </w:tc>
        <w:tc>
          <w:tcPr>
            <w:tcW w:w="140" w:type="dxa"/>
            <w:vAlign w:val="bottom"/>
            <w:shd w:val="clear" w:color="auto" w:fill="CCEEFF"/>
          </w:tcPr>
          <w:p>
            <w:pPr>
              <w:spacing w:after="0"/>
              <w:rPr>
                <w:sz w:val="18"/>
                <w:szCs w:val="18"/>
                <w:color w:val="auto"/>
              </w:rPr>
            </w:pPr>
          </w:p>
        </w:tc>
      </w:tr>
      <w:tr>
        <w:trPr>
          <w:trHeight w:val="210"/>
        </w:trPr>
        <w:tc>
          <w:tcPr>
            <w:tcW w:w="3960" w:type="dxa"/>
            <w:vAlign w:val="bottom"/>
          </w:tcPr>
          <w:p>
            <w:pPr>
              <w:spacing w:after="0"/>
              <w:rPr>
                <w:sz w:val="18"/>
                <w:szCs w:val="18"/>
                <w:color w:val="auto"/>
              </w:rPr>
            </w:pPr>
          </w:p>
        </w:tc>
        <w:tc>
          <w:tcPr>
            <w:tcW w:w="38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714,405</w:t>
            </w:r>
          </w:p>
        </w:tc>
        <w:tc>
          <w:tcPr>
            <w:tcW w:w="14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1" w:lineRule="exact"/>
        <w:rPr>
          <w:sz w:val="20"/>
          <w:szCs w:val="20"/>
          <w:color w:val="auto"/>
        </w:rPr>
      </w:pPr>
    </w:p>
    <w:p>
      <w:pPr>
        <w:ind w:left="680" w:hanging="636"/>
        <w:spacing w:after="0"/>
        <w:tabs>
          <w:tab w:leader="none" w:pos="6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Company’s goodwill balance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AxS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SCDE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r>
      <w:tr>
        <w:trPr>
          <w:trHeight w:val="216"/>
        </w:trPr>
        <w:tc>
          <w:tcPr>
            <w:tcW w:w="3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(174,376)</w:t>
            </w:r>
          </w:p>
        </w:tc>
      </w:tr>
      <w:tr>
        <w:trPr>
          <w:trHeight w:val="210"/>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April 30, 2025</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r>
      <w:tr>
        <w:trPr>
          <w:trHeight w:val="216"/>
        </w:trPr>
        <w:tc>
          <w:tcPr>
            <w:tcW w:w="3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to goodwill</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1,027,665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1,449,940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2,477,605</w:t>
            </w: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to goodwill</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(240,708)</w:t>
            </w:r>
          </w:p>
        </w:tc>
      </w:tr>
      <w:tr>
        <w:trPr>
          <w:trHeight w:val="216"/>
        </w:trPr>
        <w:tc>
          <w:tcPr>
            <w:tcW w:w="3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1,458,822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1,449,940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2,908,762</w:t>
            </w: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(415,084)</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30, 2026</w:t>
            </w:r>
          </w:p>
        </w:tc>
        <w:tc>
          <w:tcPr>
            <w:tcW w:w="2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1,284,446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1,209,232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2,493,678</w:t>
            </w:r>
          </w:p>
        </w:tc>
      </w:tr>
      <w:tr>
        <w:trPr>
          <w:trHeight w:val="858"/>
        </w:trPr>
        <w:tc>
          <w:tcPr>
            <w:tcW w:w="3380" w:type="dxa"/>
            <w:vAlign w:val="bottom"/>
          </w:tcPr>
          <w:p>
            <w:pPr>
              <w:spacing w:after="0"/>
              <w:rPr>
                <w:sz w:val="24"/>
                <w:szCs w:val="24"/>
                <w:color w:val="auto"/>
              </w:rPr>
            </w:pPr>
          </w:p>
        </w:tc>
        <w:tc>
          <w:tcPr>
            <w:tcW w:w="25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60"/>
        </w:trPr>
        <w:tc>
          <w:tcPr>
            <w:tcW w:w="33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AxS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431,669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431,669</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(156,017)</w:t>
            </w:r>
          </w:p>
        </w:tc>
      </w:tr>
      <w:tr>
        <w:trPr>
          <w:trHeight w:val="209"/>
        </w:trPr>
        <w:tc>
          <w:tcPr>
            <w:tcW w:w="4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April 30, 2024</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275,652</w:t>
            </w:r>
          </w:p>
        </w:tc>
      </w:tr>
      <w:tr>
        <w:trPr>
          <w:trHeight w:val="210"/>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to goodwill</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r>
      <w:tr>
        <w:trPr>
          <w:trHeight w:val="216"/>
        </w:trPr>
        <w:tc>
          <w:tcPr>
            <w:tcW w:w="4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431,157</w:t>
            </w: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(174,376)</w:t>
            </w: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30, 2025</w:t>
            </w:r>
          </w:p>
        </w:tc>
        <w:tc>
          <w:tcPr>
            <w:tcW w:w="17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256,781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256,781</w:t>
            </w:r>
          </w:p>
        </w:tc>
      </w:tr>
      <w:tr>
        <w:trPr>
          <w:trHeight w:val="20"/>
        </w:trPr>
        <w:tc>
          <w:tcPr>
            <w:tcW w:w="4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AxS segment includes goodwill from the acquisitions of ESAero, Pulse Aerospace, LLC, Arcturus UAV, Inc., Telerob Gesellschaft für Fernhantierungstechnik mbH (“Telerob”), which has since been fully impaired, Planck Aerosystems, Inc., Tomahawk Robotics, Inc. (“Tomahawk”), certain reporting units from BlueHalo and includes goodwill from the purchase of certain assets of Intelligent Systems Group business segment of Progeny Systems Corporation. The SCDE segment includes goodwill from certain reporting units from BlueHalo.</w:t>
      </w:r>
    </w:p>
    <w:p>
      <w:pPr>
        <w:spacing w:after="0" w:line="183"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30, 2026, the additions relate to the BlueHalo and ESAero acquisitions. Refer to Note 19—Business Acquisitions for further details.</w:t>
      </w:r>
    </w:p>
    <w:p>
      <w:pPr>
        <w:spacing w:after="0" w:line="16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The impairment during the fiscal year ended April 30, 2026 relates to the impairment of the Space reporting unit. In January 2026, a stop-work order was received on the Company’s Other Transaction Agreement for the delivery of BADGER phased array antenna systems to support Space Force’s SCAR program. Additionally, in March 2026, the customer terminated the agreement for convenience. The Company concluded that the stop-work order represented a trigger event that indicated the carrying value of the Space reporting unit exceeded its fair value. As a result, the Company updated the estimates of the long-term cash flows of the Space reporting unit to reflect the reduced revenue associated with the stop-work order and termination for convenience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$240,708,000 in the Space reporting unit.</w:t>
      </w:r>
    </w:p>
    <w:p>
      <w:pPr>
        <w:spacing w:after="0" w:line="194"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During the fiscal year ended April 30, 2025, the change to goodwill in AxS is attributable to the translation of the goodwill related to the Telerob Acquisition, which was recorded in Euros and translated to dollars at each reporting date and was fully impaired during the fiscal year ended April 30, 2025. The impairment relates to the impairment of the UGV reporting unit. During the Company’s annual impairment test during the fiscal quarter ended April 30, 2025, the Company determined the carrying value of the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 changes in estimates resulted in the recognition of a goodwill impairment charge of $18,359,000 in the UGV reporting unit.</w:t>
      </w:r>
    </w:p>
    <w:p>
      <w:pPr>
        <w:spacing w:after="0" w:line="188" w:lineRule="exact"/>
        <w:rPr>
          <w:sz w:val="20"/>
          <w:szCs w:val="20"/>
          <w:color w:val="auto"/>
        </w:rPr>
      </w:pPr>
    </w:p>
    <w:p>
      <w:pPr>
        <w:ind w:left="40" w:right="259" w:firstLine="648"/>
        <w:spacing w:after="0" w:line="258" w:lineRule="auto"/>
        <w:rPr>
          <w:sz w:val="20"/>
          <w:szCs w:val="20"/>
          <w:color w:val="auto"/>
        </w:rPr>
      </w:pPr>
      <w:r>
        <w:rPr>
          <w:rFonts w:ascii="Times New Roman" w:cs="Times New Roman" w:eastAsia="Times New Roman" w:hAnsi="Times New Roman"/>
          <w:sz w:val="18"/>
          <w:szCs w:val="18"/>
          <w:color w:val="auto"/>
        </w:rPr>
        <w:t>During the most recent annual impairment test during the fourth quarter of fiscal year 2026, the estimated fair value of all reporting units with goodwill from acquisitions in previous years substantially exceeded their carrying value. The reporting units from the BlueHalo and ESAero acquisitions were recently recorded at estimated fair value during the fiscal year ended April 30, 2026 and, other than the Space unit, no triggering event for goodwill impairment was since identified.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280" w:type="dxa"/>
            <w:vAlign w:val="bottom"/>
            <w:gridSpan w:val="4"/>
            <w:vMerge w:val="restart"/>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6440" w:type="dxa"/>
            <w:vAlign w:val="bottom"/>
            <w:vMerge w:val="restart"/>
          </w:tcPr>
          <w:p>
            <w:pPr>
              <w:ind w:left="62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gridSpan w:val="4"/>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6440" w:type="dxa"/>
            <w:vAlign w:val="bottom"/>
            <w:vMerge w:val="continue"/>
          </w:tcPr>
          <w:p>
            <w:pPr>
              <w:spacing w:after="0"/>
              <w:rPr>
                <w:sz w:val="12"/>
                <w:szCs w:val="12"/>
                <w:color w:val="auto"/>
              </w:rPr>
            </w:pPr>
          </w:p>
        </w:tc>
        <w:tc>
          <w:tcPr>
            <w:tcW w:w="8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00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In-service ISR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building, and leasehold improvements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372,973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(179,735)</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166,719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3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April 30, 2026, 2025 and 2024 was $35,830,000, $17,063,000 and $17,098,000, respectively.</w:t>
      </w:r>
    </w:p>
    <w:p>
      <w:pPr>
        <w:spacing w:after="0" w:line="158" w:lineRule="exact"/>
        <w:rPr>
          <w:sz w:val="20"/>
          <w:szCs w:val="20"/>
          <w:color w:val="auto"/>
        </w:rPr>
      </w:pPr>
    </w:p>
    <w:p>
      <w:pPr>
        <w:ind w:left="700" w:right="3179" w:hanging="656"/>
        <w:spacing w:after="0" w:line="503" w:lineRule="auto"/>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Companies Accounted for Using the Equity Method Investment in Limited Partnership Fund</w:t>
      </w: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During the fiscal year ended April 30, 2026 the Company received a distribution of $528,000. In March 2022, the Company entered into a similar second limited partnership fund and committed to contributions totaling $20,000,000 over an expected five year period. During the fiscal years ended April 30, 2026, 2025 and 2024, the Company made total contributions of $4,543,000, $5,674,000 and $3,074,000, respectively. Under the terms of the limited partnership agreement, the Company has committed to make additional capital contributions of $931,000 to the fund expected to be paid over the next two fiscal years. In May 2026, the Company entered into a third similar limited partnership and committed to contributions totaling $20,000,000 over an expected five year period. The Company accounts for investments in limited partnerships as equity method investments as the Company is deemed to have influence when it holds more than a minor interest. For the fiscal years ended April 30, 2026, 2025 and 2024, the Company recorded its ownership percentage of the net gain (loss) of the limited partnership, or $17,441,000, $4,816,000, and $(1,782,000) respectively, in equity method investment income (loss), net of deferred taxes $0, respectively, in the consolidated statements of income (loss). At April 30, 2026 and 2025, the carrying value of the investment in the limited partnership of $51,880,000 and $30,423,000, respectively, was recorded in available-for-sale long-term investments.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Warranty Reserves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reserve activity is summarized as follows:</w:t>
            </w:r>
          </w:p>
        </w:tc>
        <w:tc>
          <w:tcPr>
            <w:tcW w:w="160" w:type="dxa"/>
            <w:vAlign w:val="bottom"/>
          </w:tcPr>
          <w:p>
            <w:pPr>
              <w:spacing w:after="0"/>
              <w:rPr>
                <w:sz w:val="24"/>
                <w:szCs w:val="24"/>
                <w:color w:val="auto"/>
              </w:rPr>
            </w:pPr>
          </w:p>
        </w:tc>
        <w:tc>
          <w:tcPr>
            <w:tcW w:w="1000" w:type="dxa"/>
            <w:vAlign w:val="bottom"/>
            <w:gridSpan w:val="4"/>
            <w:vMerge w:val="restart"/>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5"/>
          </w:tcPr>
          <w:p>
            <w:pPr>
              <w:jc w:val="center"/>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(2,500)</w:t>
            </w:r>
          </w:p>
        </w:tc>
        <w:tc>
          <w:tcPr>
            <w:tcW w:w="0" w:type="dxa"/>
            <w:vAlign w:val="bottom"/>
          </w:tcPr>
          <w:p>
            <w:pPr>
              <w:spacing w:after="0"/>
              <w:rPr>
                <w:sz w:val="1"/>
                <w:szCs w:val="1"/>
                <w:color w:val="auto"/>
              </w:rPr>
            </w:pPr>
          </w:p>
        </w:tc>
      </w:tr>
      <w:tr>
        <w:trPr>
          <w:trHeight w:val="21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6"/>
        <w:spacing w:after="0"/>
        <w:tabs>
          <w:tab w:leader="none" w:pos="7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3" w:lineRule="exact"/>
        <w:rPr>
          <w:sz w:val="20"/>
          <w:szCs w:val="20"/>
          <w:color w:val="auto"/>
        </w:rPr>
      </w:pPr>
    </w:p>
    <w:p>
      <w:pPr>
        <w:ind w:left="40" w:right="239"/>
        <w:spacing w:after="0" w:line="253" w:lineRule="auto"/>
        <w:rPr>
          <w:sz w:val="20"/>
          <w:szCs w:val="20"/>
          <w:color w:val="auto"/>
        </w:rPr>
      </w:pPr>
      <w:r>
        <w:rPr>
          <w:rFonts w:ascii="Times New Roman" w:cs="Times New Roman" w:eastAsia="Times New Roman" w:hAnsi="Times New Roman"/>
          <w:sz w:val="18"/>
          <w:szCs w:val="18"/>
          <w:color w:val="auto"/>
        </w:rPr>
        <w:t>The Credit Agreement and its associated Security and Pledge Agreement set forth the terms and conditions for (i) a five-year $100,000,000 revolving credit facility, which included a $10,000,000 sublimit for the issuance of standby and commercial letters of credit (the “Revolving Facility”), and (ii) a five-year amortized $200,000,000 term A loan drawn in full upon execution (the “Term Loan Facility”, and together with the Revolving Facility, the “Credit Facilities”).</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On February 4, 2022, the Company entered into a First Amendment to Credit Agreement and Waiver relating to its existing Credit Agreement. On June 6, 2023, the Company entered into a Second Amendment to Credit Agreement relating to its existing credit Agreement which increased the sublimit from $10,000,000 to $25,000,000. On October 4, 2024, the Company entered into a Third Amendment to Credit Agreement with the existing lenders, BofA NA, the administrative agent and the swingline lender, JPM, and U.S. Bank, and Citibank (the “New Lender”) (the “Third Amendment to Credit Agreement”). The Third Amendment to Credit Agreement provided for an aggregate $200,000,000 revolving credit facility, including a $25,000,000 sublimit for the issuance of standby and commercial letters of credit, and a $10,000,000 sublimit for swingline loans, secured by all assets of the Company and the Guarantors, and extends the maturity date for obligations pursuant to the Credit Agreement to October 4, 2029. Upon effectiveness of the Third Amendment to Credit Agreement, the Company drew $15,000,000 from the amended Revolving Facility and repaid in full all outstanding amounts owed pursuant to the $700,000,000 Term Loan Facility. The Third Amendment to Credit Agreement reflects the removal of the Term Loan Facility. The unamortized debt issuance costs allocated to the Term Loan Facility of $590,000 were expensed upon repayment of the Term Loan Facility and recorded in interest expense.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1, 2025, in connection with the consummation of the BlueHalo Acquisition, the Company entered into 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Fourth Amendment to Credit Agreement with the lenders, BofA NA, the administrative agent and the swingline lender,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JPM, and U.S. Bank, and Citibank (the “Fourth Amendment to Credit Agreement” and the existing Credit Agreement as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amended thereby, the “Amended Credit Agreement”). The Amended Credit Agreement now provides for an aggregate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$700,000,000 term loan and an aggregate $350,000,000 revolving credit facility, including a $25,000,000 sublimit for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issuance of standby and commercial letters of credit, and a $10,000,000 sublimit for swingline loans, secured by all assets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 the Company and the Guarantors. Upon effectiveness of the Amended Credit Agreement, the Company drew</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$225,000,000 from the amended Revolving Facility and the full $700,000,000 of the Term Loan Facility. In June 2025,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 drew an additional $10,000,000 under the Revolving Facility.</w:t>
      </w:r>
    </w:p>
    <w:p>
      <w:pPr>
        <w:spacing w:after="0" w:line="207"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In July 2025, the Company used approximately $965,303,000 of the net proceeds from the Convertible Notes Offering and Common Stock Offering to repay indebtedness under the Term Loan Facility and outstanding borrowings under the Revolving Credit Facility. Refer to Note 11—Convertible Notes and Note 16—Share Issuances, respectively, for further details. The unamortized debt issuance costs allocated to the Term Loan Facility of $6,668,000 were expensed upon repayment of the Term Loan Facility and recorded as interest expense in the consolidated statements of operations. The Revolver Facility remains open and available to the Company.</w:t>
      </w:r>
    </w:p>
    <w:p>
      <w:pPr>
        <w:spacing w:after="0" w:line="187"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Company’s ability to borrow under the Revolving Facility is reduced by outstanding letters of credit, which as of April 30, 2026 and 2025 was $13,152,000 and $9,376,000, respectively. As of April 30, 2026 and 2025, approximately $336,848,000 and $160,624,000 was available under the Revolving Facility, respectively. The $700,000,000 term loan has been repaid in full and closed; although new term loans can be renegotiated and issued under the Credit Facility. Borrowings under the Revolving Facility may be used for working capital and other general corporate purposes, including acquisitions that meet certain parameters. As of April 30, 2026, the Company was in compliance with all amended covenants.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60" w:type="dxa"/>
            <w:vAlign w:val="bottom"/>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unamortized debt issuance costs–convertible notes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costs–convertible notes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728,967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costs–revolving credit facility</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gridSpan w:val="2"/>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1,745</w:t>
            </w:r>
          </w:p>
        </w:tc>
        <w:tc>
          <w:tcPr>
            <w:tcW w:w="200" w:type="dxa"/>
            <w:vAlign w:val="bottom"/>
            <w:vMerge w:val="continue"/>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Future contractual long-term debt principal payments at April 30, 2026 were as follows: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5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 w:type="dxa"/>
            <w:vAlign w:val="bottom"/>
            <w:vMerge w:val="continue"/>
          </w:tcPr>
          <w:p>
            <w:pPr>
              <w:spacing w:after="0"/>
              <w:rPr>
                <w:sz w:val="24"/>
                <w:szCs w:val="24"/>
                <w:color w:val="auto"/>
              </w:rPr>
            </w:pPr>
          </w:p>
        </w:tc>
        <w:tc>
          <w:tcPr>
            <w:tcW w:w="5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In July 2025, the Company entered into an underwriting agreement (the “Note Underwriting Agreement”) with certain underwriters (the “Note Underwriters”) agreeing, subject to customary conditions, to issue and sell $650,000,000 aggregate principal amount of the Notes to the Note Underwriters as well as an option, exercisable within 30 days after entering the Note Underwriting Agreement, to purchase up to an additional $97,500,000 aggregate principal amount of Notes solely to cover over-allotments. The Note Underwriters exercised such option to purchase an additional $97,500,000 aggregate principal amount of Notes. The issuance of $747,500,000 aggregate principal amount of Notes was completed in July 2025. The estimated fair value (Level 2) of the zero-coupon convertible note maturing on July 15, 2030 was $760,656,000 as of April 30, 2026.</w:t>
      </w:r>
    </w:p>
    <w:p>
      <w:pPr>
        <w:spacing w:after="0" w:line="192"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including any borrowings under the Company's revolving credit facility; and (iv) structurally subordinated to all existing and future indebtedness and other liabilities, including trade payables, and (to the extent the Company is not a holder thereof) preferred equity, if any, of the Company’s subsidiaries.</w:t>
      </w:r>
    </w:p>
    <w:p>
      <w:pPr>
        <w:spacing w:after="0" w:line="18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The Notes do not bear regular interest, and the principal amount of the Notes will not accrete. Special interest will accrue on the Notes upon the occurrence of certain events relating to the Company's failure to file certain SEC reports as provided in the Indenture. The Notes will mature on July 15, 2030, unless earlier repurchased, redeemed or converted. Before April 15, 2030, noteholders have the right to convert their Notes only upon the occurrence of certain events. From and after April 15, 2030, noteholders may convert their Notes at any time at their election until the close of business on the second scheduled trading day immediately before the maturity date. The Company will have the right to elect to settle conversions either entirely in cash or in a combination of cash and shares of its common stock. Upon conversion of any Note, the consideration due upon conversion, which will be determined over an “Observation Period” (as defined in the Indenture) consisting of 60 consecutive trading days, will be paid in cash up to at least the principal amount of the Notes being converted and the Company will pay or deliver, as the case may be, cash, shares of the Company’s common stock or a combination of cash and shares of the Company’s common stock, at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election, in respect of the remainder, if any, of the Company’s conversion obligation in excess of the principal amount of the Notes being converted. The initial conversion rate is 3.1017 shares of the Company's common stock per $1,000 principal amount of Notes, which represents an initial conversion price of approximately $322.40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75"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described below), at the Company’s option at any time, and from time to time, on or after July 21, 2028 and on or before the 61st scheduled trading day immediately before the maturity date, at a cash redemption price equal to the principal amount of the Notes to be redeemed, plus accrued and unpaid special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76"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If certain events that constitute a “Fundamental Change” (as defined in the Indenture) occur, then, subject to a limited exception for certain cash mergers as provided in the Indenture, noteholders may require the Company to repurchase their Notes at a cash repurchase price equal to the principal amount of the Notes to be repurchased, plus accrued and unpaid special interest, if any, to, but excluding, the fundamental change repurchase date. The definition in the Indenture of Fundamental Change includes certain business combination transactions involving the Company and certain de-listing events with respect to the Company’s common stock.</w:t>
      </w:r>
    </w:p>
    <w:p>
      <w:pPr>
        <w:spacing w:after="0" w:line="174"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Notes have customary provisions relating to the occurrence of “Events of Default” (as defined in the Indenture), which include the following: (i) certain payment defaults on the Notes (which, in the case of a default in the payment of special interest on the Notes, will be subject to a 30-day cure period); (ii) the Company’s failure to send certain notices under the Indenture within specified periods of time; (iii) the Company's failure to convert a Note in accordance with the Indenture within a specified period of time;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$55,000,000; and (vii) certain events of bankruptcy, insolvency and reorganization involving the Company or any of its significant subsidiaries.</w:t>
      </w:r>
    </w:p>
    <w:p>
      <w:pPr>
        <w:spacing w:after="0" w:line="176"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rate per annum equal to 0.25% of the principal amount of the Notes for the first 180 days on which special interest accrues and, thereafter, at a rate per annum equal to 0.50% of the principal amount thereof.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6"/>
        <w:spacing w:after="0"/>
        <w:tabs>
          <w:tab w:leader="none" w:pos="7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costs recorded in cost of sales and SG&amp;A expense were as follows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80" w:type="dxa"/>
            <w:vAlign w:val="bottom"/>
            <w:vMerge w:val="restart"/>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588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Supplemental lease information was as follows: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80" w:type="dxa"/>
            <w:vAlign w:val="bottom"/>
            <w:vMerge w:val="restart"/>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8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months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Maturities of operating lease liabilities as of April 30, 2026 were as follows (in thousands):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(28,522)</w:t>
            </w:r>
          </w:p>
        </w:tc>
        <w:tc>
          <w:tcPr>
            <w:tcW w:w="0" w:type="dxa"/>
            <w:vAlign w:val="bottom"/>
          </w:tcPr>
          <w:p>
            <w:pPr>
              <w:spacing w:after="0"/>
              <w:rPr>
                <w:sz w:val="1"/>
                <w:szCs w:val="1"/>
                <w:color w:val="auto"/>
              </w:rPr>
            </w:pPr>
          </w:p>
        </w:tc>
      </w:tr>
      <w:tr>
        <w:trPr>
          <w:trHeight w:val="210"/>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105,822</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5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 w:type="dxa"/>
            <w:vAlign w:val="bottom"/>
            <w:gridSpan w:val="2"/>
            <w:vMerge w:val="continue"/>
          </w:tcPr>
          <w:p>
            <w:pPr>
              <w:spacing w:after="0"/>
              <w:rPr>
                <w:sz w:val="24"/>
                <w:szCs w:val="24"/>
                <w:color w:val="auto"/>
              </w:rPr>
            </w:pPr>
          </w:p>
        </w:tc>
        <w:tc>
          <w:tcPr>
            <w:tcW w:w="5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April 30, 2026, 2025 and 2024, the Company recorded stock-based compensation expense of approximately $38,334,000, $21,461,000 and $17,069,000, respectively.</w:t>
      </w:r>
    </w:p>
    <w:p>
      <w:pPr>
        <w:spacing w:after="0" w:line="162"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On September 24, 2021, the stockholders of the Company approved the 2021 Equity Incentive Plan (“2021 Plan”) effective September 24, 2021, for officers, directors, key employees and consultants. Under the 2021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The sum of any cash compensation, or other compensation, and the value of awards granted to a non-employee director as compensation for services as a non-employee director during any fiscal year may not exceed $500,000, which amount is increased to $700,000 in the fiscal year of a non-employee director’s initial year of service as a non-employee director. The exercise price for any incentive stock option shall not be less than 100% of the fair market value on the date of grant. Vesting of awards is established at the time of grant.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The prior plan, the 2006 Equity Incentive Plan (“2006 Plan”), was approved by the stockholders of the Company on January 14, 2007 and effective January 21, 2007 for officers, directors, key employees and consultants. On September 29, 2011, the stockholders of the Company approved an amendment and restatement of the 2006 Plan (“Restated 2006 Plan”). The Restated 2006 Plan expired in July 2021.</w:t>
      </w:r>
    </w:p>
    <w:p>
      <w:pPr>
        <w:spacing w:after="0" w:line="180"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On September 19, 2023, the stockholders of the Company approved the Company’s 2023 Employee Stock Purchase Plan (the “2023 ESPP”). The 2023 ESPP allows for eligible employees to purchase common stock through payroll deductions of up to $25,000 worth of common stock (determined at the fair market value of the shares at the time such rights are granted) for each calendar year in which the purchase rights are outstanding at any time. Shares of common stock are purchased under the 2023 ESPP at a discount to the market price of the shares of no less than 85% of the fair market value of the Company’s common stock on each purchase date. Subject to adjustments for changes in the Company’s capitalization and certain corporate transactions, the total number of shares available for issuance under the 2023 ESPP is 1,000,000 shares of common stock. For the fiscal years ended April 30, 2026 and 2025, 27,737 and 14,598 shares have been issued under the 2023 ESPP, respectively.</w:t>
      </w:r>
    </w:p>
    <w:p>
      <w:pPr>
        <w:spacing w:after="0" w:line="188"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grants under the 2023 ESPP was estimated at the grant date using an option pricing model. Assumptions included in the option pricing model included the expected term of grants, the expected volatility, the risk-free interest rate, and the expected dividend yield. The expected term of stock options represents the weighted average period the Company expects the grants to remain outstanding, based on the offering period of the grant. The expected volatility is based on historical volatility for the Company’s stock. The risk-free interest rate is based on the implied yield on a U.S. Treasury zero coupon bond with a remaining term that approximates the expected term of the option. The expected dividend yield of zero reflects that the Company has not paid any cash dividends since inception and does not anticipate paying cash dividends in the foreseeable future.</w:t>
      </w:r>
    </w:p>
    <w:p>
      <w:pPr>
        <w:spacing w:after="0" w:line="19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stock options granted previously was estimated at the grant date using the Black-Scholes option pricing model. Assumptions included in the Black-Scholes option pricing model included the expected term of stock options, the expected volatility, the risk-free interest rate, and the expected dividend yield. The expected term of stock options represents the weighted average period the Company expects the stock options to remain outstanding, based on the Company’s historical exercise and post-vesting cancellation experience and the remaining contractual life of its outstanding options. The expected volatility is based on historical volatility for the Company’s stock. The risk-free interest rate is based on the implied yield on a U.S. Treasury zero-coupon bond with a remaining term that approximates the expected term of the option. The expected dividend yield of zero reflects that the Company has not paid any cash dividends since inception and does not anticipate paying cash dividends in the foreseeable future.</w:t>
      </w:r>
    </w:p>
    <w:p>
      <w:pPr>
        <w:spacing w:after="0" w:line="188"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As of April 30, 2025, no stock options were outstanding. Information related to the stock option plans at 2025 and 2024, and for the years then ended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50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Restated 2006 Plan</w:t>
            </w: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780" w:type="dxa"/>
            <w:vAlign w:val="bottom"/>
            <w:gridSpan w:val="2"/>
          </w:tcPr>
          <w:p>
            <w:pPr>
              <w:spacing w:after="0"/>
              <w:rPr>
                <w:sz w:val="10"/>
                <w:szCs w:val="10"/>
                <w:color w:val="auto"/>
              </w:rPr>
            </w:pPr>
          </w:p>
        </w:tc>
        <w:tc>
          <w:tcPr>
            <w:tcW w:w="1120" w:type="dxa"/>
            <w:vAlign w:val="bottom"/>
            <w:gridSpan w:val="2"/>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   Weighted</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2023</w:t>
            </w:r>
          </w:p>
        </w:tc>
        <w:tc>
          <w:tcPr>
            <w:tcW w:w="2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2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2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25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2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2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3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(66,164)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25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2025</w:t>
            </w:r>
          </w:p>
        </w:tc>
        <w:tc>
          <w:tcPr>
            <w:tcW w:w="2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No options were granted during the fiscal years ended April 30, 2026, 2025 and 2024. The total intrinsic value of all options exercised during the years ended April 30, 2025 and 2024 was approximately $7,312,000, and $0, respectively. Proceeds from all option exercises under all stock option plans for the years ended April 30, 2025 and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were approximately $1,841,000 and $0, respectively. The intrinsic value of all options outstanding and exercisable at both April 30, 2026 and 2025 was $0.</w:t>
      </w:r>
    </w:p>
    <w:p>
      <w:pPr>
        <w:spacing w:after="0" w:line="162" w:lineRule="exact"/>
        <w:rPr>
          <w:sz w:val="20"/>
          <w:szCs w:val="20"/>
          <w:color w:val="auto"/>
        </w:rPr>
      </w:pPr>
    </w:p>
    <w:p>
      <w:pPr>
        <w:ind w:left="40" w:right="259" w:firstLine="648"/>
        <w:spacing w:after="0" w:line="256" w:lineRule="auto"/>
        <w:rPr>
          <w:sz w:val="20"/>
          <w:szCs w:val="20"/>
          <w:color w:val="auto"/>
        </w:rPr>
      </w:pPr>
      <w:r>
        <w:rPr>
          <w:rFonts w:ascii="Times New Roman" w:cs="Times New Roman" w:eastAsia="Times New Roman" w:hAnsi="Times New Roman"/>
          <w:sz w:val="18"/>
          <w:szCs w:val="18"/>
          <w:color w:val="auto"/>
        </w:rPr>
        <w:t>As of April 30, 2026, there was approximately $22,910,000 of total unrecognized compensation cost related to non-vested share-based compensation awards granted under the equity plans. That cost is expected to be recognized over an approximately two-year period or a weighted average period of approximately 2.0 years. The total fair value of shares vesting during the years ended April 30, 2026, 2025 and 2024 was $9,544,000, $8,543,000 and $6,170,000, respectively. The tax benefit realized from stock-based compensation was $11,080,000, $6,984,000 and $0 for the fiscal years ended April 30, 2026, 2025, and 2024, respectively.</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related to the Company’s restricted stock awards at April 30, 2026 and for the year then ended is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follows: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440" w:type="dxa"/>
            <w:vAlign w:val="bottom"/>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 Plan</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gridSpan w:val="2"/>
          </w:tcPr>
          <w:p>
            <w:pPr>
              <w:jc w:val="right"/>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2025</w:t>
            </w:r>
          </w:p>
        </w:tc>
        <w:tc>
          <w:tcPr>
            <w:tcW w:w="2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 granted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vested</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 canceled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2026</w:t>
            </w: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920" w:type="dxa"/>
            <w:vAlign w:val="bottom"/>
            <w:gridSpan w:val="6"/>
          </w:tcPr>
          <w:p>
            <w:pPr>
              <w:jc w:val="right"/>
              <w:ind w:right="296"/>
              <w:spacing w:after="0"/>
              <w:rPr>
                <w:sz w:val="20"/>
                <w:szCs w:val="20"/>
                <w:color w:val="auto"/>
              </w:rPr>
            </w:pPr>
            <w:r>
              <w:rPr>
                <w:rFonts w:ascii="Times New Roman" w:cs="Times New Roman" w:eastAsia="Times New Roman" w:hAnsi="Times New Roman"/>
                <w:sz w:val="18"/>
                <w:szCs w:val="18"/>
                <w:color w:val="auto"/>
              </w:rPr>
              <w:t>Information related to the Company’s restricted stock units at April 30, 2026 and for the year then ended is as</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2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20" w:type="dxa"/>
            <w:vAlign w:val="bottom"/>
          </w:tcPr>
          <w:p>
            <w:pPr>
              <w:spacing w:after="0"/>
              <w:rPr>
                <w:sz w:val="24"/>
                <w:szCs w:val="24"/>
                <w:color w:val="auto"/>
              </w:rPr>
            </w:pPr>
          </w:p>
        </w:tc>
        <w:tc>
          <w:tcPr>
            <w:tcW w:w="2440" w:type="dxa"/>
            <w:vAlign w:val="bottom"/>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 Plan</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gridSpan w:val="2"/>
          </w:tcPr>
          <w:p>
            <w:pPr>
              <w:jc w:val="right"/>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2025</w:t>
            </w:r>
          </w:p>
        </w:tc>
        <w:tc>
          <w:tcPr>
            <w:tcW w:w="2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 granted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vested</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 canceled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2026</w:t>
            </w: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Incentive Awards</w:t>
      </w:r>
    </w:p>
    <w:p>
      <w:pPr>
        <w:spacing w:after="0" w:line="229"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grants awards as a long-term incentive plan (“LTIP”) under its 2021 Plan to key employees. These awards consist of: (i) time-based restricted stock awards and time-based restricted stock units, which vest in three equal tranches, and (ii) performance-based restricted stock units (“PRSUs”), which vest based on the Company’s achievement of revenue and non-GAAP adjusted earnings before interest, taxes, depreciation and amortization (“adjusted EBITDA”) targets for a three-year period. At the award date, target achievement levels, threshold achievement levels and maximum achievement levels for each of the financial performance metrics were established for which the PRSUs would vest at 100%, 50% and 250% for each such metric, respectively.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w:t>
      </w:r>
    </w:p>
    <w:p>
      <w:pPr>
        <w:spacing w:after="0" w:line="194"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August 2, 2025, the Company granted LTIP awards (the “Fiscal 2026 LTIP”). The time-based restricted stock awards and time-based restricted stock units vest in equal tranches in July 2026, July 2027 and July 2028. The PRSUs vest based on the Company’s achievement of the financial performance metrics targets for the three-year period ending April 30, 2028. During the fiscal year ended April 30, 2026 the Company recorded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312" w:lineRule="auto"/>
        <w:rPr>
          <w:sz w:val="20"/>
          <w:szCs w:val="20"/>
          <w:color w:val="auto"/>
        </w:rPr>
      </w:pPr>
      <w:r>
        <w:rPr>
          <w:rFonts w:ascii="Times New Roman" w:cs="Times New Roman" w:eastAsia="Times New Roman" w:hAnsi="Times New Roman"/>
          <w:sz w:val="17"/>
          <w:szCs w:val="17"/>
          <w:color w:val="auto"/>
        </w:rPr>
        <w:t>$7,067,000 of compensation expense related to the Fiscal 2026 LTIP, respectively. At April 30, 2026, the maximum compensation expense that may be recorded for the performance-based portion of the Fiscal 2026 LTIP is $30,311,000.</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three months ended July 27, 2024, the Company granted LTIP awards (the “Fiscal 2025 LTIP”).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time-based restricted stock awards and time-based restricted stock units vest in equal tranches in July 2025, July 2026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July 2027. The PRSUs vest based on the Company’s achievement of the financial performance metrics targets for the three-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 period ending April 30, 2027. During the fiscal year ended April 30, 2026 and 2025, the Company recorded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$7,956,000 and $3,134,000 of compensation expense related to the Fiscal 2025 LTIP, respectively. At April 30, 2026,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maximum compensation expense that may be recorded for the performance-based portion of the Fiscal 2025 LTIP is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$17,138,000.</w:t>
      </w:r>
    </w:p>
    <w:p>
      <w:pPr>
        <w:spacing w:after="0" w:line="207"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29, 2023, the Company granted LTIP awards (the “Fiscal 2024 LTIP”). The time-based restricted stock awards and time-based restricted stock units vest in equal tranches in July 2024, July 2025 and July 2026. The PRSUs vest based on the Company’s achievement of the financial performance metrics targets for the three-year period ended April 30, 2026. During the fiscal years ended April 30, 2026, 2025, and 2024, the Company recorded $6,362,000, $4,177,000 and $3,916,000 of compensation expense related to the Fiscal 2024 LTIP, respectively.</w:t>
      </w:r>
    </w:p>
    <w:p>
      <w:pPr>
        <w:spacing w:after="0" w:line="183"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LTIP awards (the “Fiscal 2023 LTIP”). The time-based restricted stock awards and time-based restricted stock units vested in equal tranches in July 2023, July 2024 and July 2025. The PRSUs vested based on the Company’s achievement of the financial performance metrics targets for the three-year period ended April 30, 2025. During the three months ended August 2, 2025, the Company issued a total of 61,605 fully-vested shares of the Company’s common stock to settle the PRSUs in the Fiscal 2023 LTIP. During the fiscal years ended April 30, 2025 and 2024, the company recorded $3,139,000 and $3,349,000 related to the fiscal year 2023 LTIP PRSUs.</w:t>
      </w:r>
    </w:p>
    <w:p>
      <w:pPr>
        <w:spacing w:after="0" w:line="189"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65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The components of income/(loss) before income taxes are as follows (in thousands):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620" w:type="dxa"/>
            <w:vAlign w:val="bottom"/>
          </w:tcPr>
          <w:p>
            <w:pPr>
              <w:spacing w:after="0"/>
              <w:rPr>
                <w:sz w:val="24"/>
                <w:szCs w:val="24"/>
                <w:color w:val="auto"/>
              </w:rPr>
            </w:pPr>
          </w:p>
        </w:tc>
        <w:tc>
          <w:tcPr>
            <w:tcW w:w="5600" w:type="dxa"/>
            <w:vAlign w:val="bottom"/>
          </w:tcPr>
          <w:p>
            <w:pPr>
              <w:ind w:left="548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2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(298,407)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68,968</w:t>
            </w:r>
          </w:p>
        </w:tc>
        <w:tc>
          <w:tcPr>
            <w:tcW w:w="8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6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(7,215)</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(29,150)</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(5,737)</w:t>
            </w:r>
          </w:p>
        </w:tc>
      </w:tr>
      <w:tr>
        <w:trPr>
          <w:trHeight w:val="210"/>
        </w:trPr>
        <w:tc>
          <w:tcPr>
            <w:tcW w:w="6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income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(1,674)</w:t>
            </w:r>
          </w:p>
        </w:tc>
      </w:tr>
      <w:tr>
        <w:trPr>
          <w:trHeight w:val="228"/>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(288,181)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61,557</w:t>
            </w:r>
          </w:p>
        </w:tc>
        <w:tc>
          <w:tcPr>
            <w:tcW w:w="80" w:type="dxa"/>
            <w:vAlign w:val="bottom"/>
          </w:tcPr>
          <w:p>
            <w:pPr>
              <w:spacing w:after="0"/>
              <w:rPr>
                <w:sz w:val="19"/>
                <w:szCs w:val="19"/>
                <w:color w:val="auto"/>
              </w:rPr>
            </w:pPr>
          </w:p>
        </w:tc>
      </w:tr>
    </w:tbl>
    <w:p>
      <w:pPr>
        <w:spacing w:after="0" w:line="179" w:lineRule="exact"/>
        <w:rPr>
          <w:sz w:val="20"/>
          <w:szCs w:val="20"/>
          <w:color w:val="auto"/>
        </w:rPr>
      </w:pPr>
    </w:p>
    <w:p>
      <w:pPr>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any foreign earnings to be reinvested in such foreign jurisdictions and, therefore, no deferred tax liabilities for U.S. income taxes on undistributed earnings are recorded. The foreign subsidiaries do not have any undistributed earnings.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A reconciliation of income tax expense/(benefit) computed using the U.S. federal statutory rates to actual income tax expense is as follows (dollars in thousands):</w:t>
      </w:r>
    </w:p>
    <w:tbl>
      <w:tblPr>
        <w:tblLayout w:type="fixed"/>
        <w:tblInd w:w="4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Percentages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(64,181)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%$ 8,329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$ 12,927</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(7,830)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(9,831)</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(5,263)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(4,831)</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 on executive compensation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Excess benefit relating to stock-based compensation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(2,997)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Perms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unrecognized tax benefit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Statutory tax rate different from US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(2,603)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2,213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882</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0"/>
          </w:tcPr>
          <w:p>
            <w:pPr>
              <w:ind w:left="660"/>
              <w:spacing w:after="0"/>
              <w:rPr>
                <w:sz w:val="20"/>
                <w:szCs w:val="20"/>
                <w:color w:val="auto"/>
              </w:rPr>
            </w:pPr>
            <w:r>
              <w:rPr>
                <w:rFonts w:ascii="Times New Roman" w:cs="Times New Roman" w:eastAsia="Times New Roman" w:hAnsi="Times New Roman"/>
                <w:sz w:val="18"/>
                <w:szCs w:val="18"/>
                <w:color w:val="auto"/>
              </w:rPr>
              <w:t>The components of the (benefit from) provision for income taxes are as follows (in thousands):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Year Ended April 30,</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(18,844)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(20,534)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(23,059)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111</w:t>
            </w: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are as follows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94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Allowances, reserves,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163(J) disallowed interest expense carry-forward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57,266</w:t>
            </w: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40" w:type="dxa"/>
            <w:vAlign w:val="bottom"/>
            <w:shd w:val="clear" w:color="auto" w:fill="CCEEFF"/>
          </w:tcPr>
          <w:p>
            <w:pPr>
              <w:spacing w:after="0"/>
              <w:rPr>
                <w:sz w:val="18"/>
                <w:szCs w:val="18"/>
                <w:color w:val="auto"/>
              </w:rPr>
            </w:pPr>
          </w:p>
        </w:tc>
      </w:tr>
      <w:tr>
        <w:trPr>
          <w:trHeight w:val="210"/>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221,498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107,599</w:t>
            </w:r>
          </w:p>
        </w:tc>
        <w:tc>
          <w:tcPr>
            <w:tcW w:w="40" w:type="dxa"/>
            <w:vAlign w:val="bottom"/>
            <w:tcBorders>
              <w:bottom w:val="single" w:sz="8" w:color="CCEEFF"/>
            </w:tcBorders>
          </w:tcPr>
          <w:p>
            <w:pPr>
              <w:spacing w:after="0"/>
              <w:rPr>
                <w:sz w:val="18"/>
                <w:szCs w:val="18"/>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asset basis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(3,160)</w:t>
            </w: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Allowances, reserves, and other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Outside basis difference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(7,645)</w:t>
            </w: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 basis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(185,053)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(6,631)</w:t>
            </w: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(241,773)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40" w:type="dxa"/>
            <w:vAlign w:val="bottom"/>
            <w:tcBorders>
              <w:bottom w:val="single" w:sz="8" w:color="CCEEFF"/>
            </w:tcBorders>
          </w:tcPr>
          <w:p>
            <w:pPr>
              <w:spacing w:after="0"/>
              <w:rPr>
                <w:sz w:val="18"/>
                <w:szCs w:val="18"/>
                <w:color w:val="auto"/>
              </w:rPr>
            </w:pPr>
          </w:p>
        </w:tc>
      </w:tr>
      <w:tr>
        <w:trPr>
          <w:trHeight w:val="209"/>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(50,494)</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The One Big Beautiful Bill Act was enacted in the U.S. on July 4, 2025. OBBBA introduced significant changes to the U.S. federal corporate tax system, including reinstating the immediate deductibility of domestic research and experimental (“R&amp;E”) expenditures for tax years beginning after December 31, 2024. While foreign R&amp;E expenditures continue to be capitalized and amortized over the applicable recovery period. Accordingly, the provisions impacting the Company have been reflected in the financial statements for the year ended April 30, 2026.</w:t>
      </w:r>
    </w:p>
    <w:p>
      <w:pPr>
        <w:spacing w:after="0" w:line="183" w:lineRule="exact"/>
        <w:rPr>
          <w:sz w:val="20"/>
          <w:szCs w:val="20"/>
          <w:color w:val="auto"/>
        </w:rPr>
      </w:pPr>
    </w:p>
    <w:p>
      <w:pPr>
        <w:ind w:left="40" w:right="319" w:firstLine="648"/>
        <w:spacing w:after="0" w:line="261" w:lineRule="auto"/>
        <w:rPr>
          <w:sz w:val="20"/>
          <w:szCs w:val="20"/>
          <w:color w:val="auto"/>
        </w:rPr>
      </w:pPr>
      <w:r>
        <w:rPr>
          <w:rFonts w:ascii="Times New Roman" w:cs="Times New Roman" w:eastAsia="Times New Roman" w:hAnsi="Times New Roman"/>
          <w:sz w:val="18"/>
          <w:szCs w:val="18"/>
          <w:color w:val="auto"/>
        </w:rPr>
        <w:t>At April 30, 2026 and 2025 the Company recorded a valuation allowance of $30,219,000 and $26,770,000, respectively, against state net operating losses and state R&amp;D credits as the Company is currently generating more tax credits than it will utilize in future years. The valuation allowance increased by $3,449,000 and $2,935,000 for April 30, 2026 and April 30, 2025, respectively, primarily due to state net operating losses and foreign deferred tax assets.</w:t>
      </w:r>
    </w:p>
    <w:p>
      <w:pPr>
        <w:spacing w:after="0" w:line="180"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At April 30, 2026, the Company had federal R&amp;D Credit carryforwards of 11,811,000, which carryforward to fiscal year 2046. At April 30, 2026, the Company had California R&amp;D credit carryforwards of $21,425,000. These credits carryforward indefinitely.</w:t>
      </w:r>
    </w:p>
    <w:p>
      <w:pPr>
        <w:spacing w:after="0" w:line="176"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At April 30, 2026, the Company had federal, state and foreign net operating loss carryforwards of approximately $180,315,000, $170,408,000 and $11,118,000, respectively. The federal net operating losses carry forward indefinitely. The state net operating losses will begin expiring in fiscal year 2036, and foreign net operating losses carry forward indefinitely. Utilization of federal and state net operating loss carryforwards may be subject to substantial annual limitation due to the ownership changes as provided by Section 382 of the Internal Revenue Code and similar state provisions.</w:t>
      </w:r>
    </w:p>
    <w:p>
      <w:pPr>
        <w:spacing w:after="0" w:line="183"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At April 30, 2026 and 2025, the Company had approximately $16,196,000 and $13,429,000, respectively, of unrecognized tax benefits. Of the 2026 balance, $8,852,000 would impact the Company’s tax expense and $7,414,000 would result in an increase in California R&amp;D credit valuation allowance. The Company estimates that $1,268,000 of its unrecognized tax benefits will decrease in the next twelve months due to statute of limitation expiration.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gross unrecognized tax benefits for the years ended April 30, 2026 and 2025 (in thousands):</w:t>
      </w:r>
    </w:p>
    <w:tbl>
      <w:tblPr>
        <w:tblLayout w:type="fixed"/>
        <w:tblInd w:w="94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1680" w:type="dxa"/>
            <w:vAlign w:val="bottom"/>
            <w:gridSpan w:val="3"/>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  2026</w:t>
            </w:r>
          </w:p>
        </w:tc>
        <w:tc>
          <w:tcPr>
            <w:tcW w:w="800" w:type="dxa"/>
            <w:vAlign w:val="bottom"/>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40" w:type="dxa"/>
            <w:vAlign w:val="bottom"/>
          </w:tcPr>
          <w:p>
            <w:pPr>
              <w:spacing w:after="0"/>
              <w:rPr>
                <w:sz w:val="12"/>
                <w:szCs w:val="12"/>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1</w:t>
            </w:r>
          </w:p>
        </w:tc>
        <w:tc>
          <w:tcPr>
            <w:tcW w:w="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$ 13,429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$ 13,601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lapsing of statute of limitations</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(1,766)</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30</w:t>
            </w:r>
          </w:p>
        </w:tc>
        <w:tc>
          <w:tcPr>
            <w:tcW w:w="9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$ 16,196</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$ 13,429</w:t>
            </w:r>
          </w:p>
        </w:tc>
        <w:tc>
          <w:tcPr>
            <w:tcW w:w="4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interest and penalties on uncertain tax positions to income tax expense. As of April 30, 2026 and 2025, the Company had accrued approximately $1,609,000 and $454,000, respectively, of interest and penalties related to uncertain tax positions. The 2021 to 2024 tax years remain open to examination by the IRS for federal income taxes. The tax years 2019 to 2024 remain open for major state taxing jurisdictions.</w:t>
      </w:r>
    </w:p>
    <w:p>
      <w:pPr>
        <w:spacing w:after="0" w:line="180" w:lineRule="exact"/>
        <w:rPr>
          <w:sz w:val="20"/>
          <w:szCs w:val="20"/>
          <w:color w:val="auto"/>
        </w:rPr>
      </w:pPr>
    </w:p>
    <w:p>
      <w:pPr>
        <w:ind w:left="40" w:right="7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summarized income taxes paid for the year ended April 30, 2026, 2025 and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140" w:type="dxa"/>
            <w:vAlign w:val="bottom"/>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0" w:type="dxa"/>
            <w:vAlign w:val="bottom"/>
          </w:tcPr>
          <w:p>
            <w:pPr>
              <w:spacing w:after="0"/>
              <w:rPr>
                <w:sz w:val="15"/>
                <w:szCs w:val="15"/>
                <w:color w:val="auto"/>
              </w:rPr>
            </w:pPr>
          </w:p>
        </w:tc>
      </w:tr>
      <w:tr>
        <w:trPr>
          <w:trHeight w:val="142"/>
        </w:trPr>
        <w:tc>
          <w:tcPr>
            <w:tcW w:w="3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2"/>
                <w:szCs w:val="12"/>
                <w:color w:val="auto"/>
              </w:rPr>
            </w:pPr>
          </w:p>
        </w:tc>
        <w:tc>
          <w:tcPr>
            <w:tcW w:w="4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Alabama</w:t>
            </w:r>
          </w:p>
        </w:tc>
        <w:tc>
          <w:tcPr>
            <w:tcW w:w="1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California</w:t>
            </w: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Florida</w:t>
            </w:r>
          </w:p>
        </w:tc>
        <w:tc>
          <w:tcPr>
            <w:tcW w:w="1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Maryland</w:t>
            </w: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3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shd w:val="clear" w:color="auto" w:fill="CCEEFF"/>
          </w:tcPr>
          <w:p>
            <w:pPr>
              <w:spacing w:after="0"/>
              <w:rPr>
                <w:sz w:val="18"/>
                <w:szCs w:val="18"/>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taxes paid</w:t>
            </w:r>
          </w:p>
        </w:tc>
        <w:tc>
          <w:tcPr>
            <w:tcW w:w="13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160" w:type="dxa"/>
            <w:vAlign w:val="bottom"/>
            <w:gridSpan w:val="2"/>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6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6"/>
        <w:spacing w:after="0"/>
        <w:tabs>
          <w:tab w:leader="none" w:pos="7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Issuances</w:t>
      </w:r>
    </w:p>
    <w:p>
      <w:pPr>
        <w:spacing w:after="0" w:line="229" w:lineRule="exact"/>
        <w:rPr>
          <w:sz w:val="20"/>
          <w:szCs w:val="20"/>
          <w:color w:val="auto"/>
        </w:rPr>
      </w:pPr>
    </w:p>
    <w:p>
      <w:pPr>
        <w:ind w:left="40" w:right="139" w:firstLine="648"/>
        <w:spacing w:after="0" w:line="270" w:lineRule="auto"/>
        <w:rPr>
          <w:sz w:val="20"/>
          <w:szCs w:val="20"/>
          <w:color w:val="auto"/>
        </w:rPr>
      </w:pPr>
      <w:r>
        <w:rPr>
          <w:rFonts w:ascii="Times New Roman" w:cs="Times New Roman" w:eastAsia="Times New Roman" w:hAnsi="Times New Roman"/>
          <w:sz w:val="17"/>
          <w:szCs w:val="17"/>
          <w:color w:val="auto"/>
        </w:rPr>
        <w:t>In July 2025, the Company entered into an underwriting agreement (the “Common Stock Underwriting Agreement”) with certain underwriters (the “Common Stock Underwriters”) agreeing, subject to customary conditions, to issue and sell 3,528,226 shares of the Company’s common stock to the Common Stock Underwriters. In addition, pursuant to the Common Stock Underwriting Agreement, the Company granted the Common Stock Underwriters an option, exercisable within 30 days after entering the Common Stock Underwriting Agreement, to purchase up to an additional 529,234 shares of the Company’s common stock (the “Over-allotment Option”). The issuance of 3,528,226 shares of common stock was completed in July 2025. Subsequently, the Company closed the issuance and sale of 529,234 shares of its common stock pursuant to the underwriters’ full exercise of the Over-allotment Option in July 2025 for a total issuance of 4,057,460 shares, generating gross proceeds to the Company of $1,006,250,000, proceeds of $968,515,000, net of underwriting discount and proceeds of $966,846,000 net of underwriting discount and other equity issuance costs.</w:t>
      </w:r>
    </w:p>
    <w:p>
      <w:pPr>
        <w:spacing w:after="0" w:line="173" w:lineRule="exact"/>
        <w:rPr>
          <w:sz w:val="20"/>
          <w:szCs w:val="20"/>
          <w:color w:val="auto"/>
        </w:rPr>
      </w:pPr>
    </w:p>
    <w:p>
      <w:pPr>
        <w:ind w:left="700" w:hanging="656"/>
        <w:spacing w:after="0"/>
        <w:tabs>
          <w:tab w:leader="none" w:pos="7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48"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accumulated other comprehensive loss are as follows (in thousands):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8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3"/>
                <w:szCs w:val="13"/>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vMerge w:val="continue"/>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Currency Translation</w:t>
            </w:r>
          </w:p>
        </w:tc>
        <w:tc>
          <w:tcPr>
            <w:tcW w:w="10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8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5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78"/>
        </w:trPr>
        <w:tc>
          <w:tcPr>
            <w:tcW w:w="42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accumulated other comprehensive loss balance as of</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 net of $0 of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2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accumulated other comprehensive loss balance as of</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w:t>
            </w:r>
          </w:p>
        </w:tc>
        <w:tc>
          <w:tcPr>
            <w:tcW w:w="28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right="5759" w:hanging="656"/>
        <w:spacing w:after="0" w:line="409" w:lineRule="auto"/>
        <w:tabs>
          <w:tab w:leader="none" w:pos="72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Company’s operations are primarily conducted in leased facilities. Refer to Note 12—Leases for additional information.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4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180"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The Company’s ability to borrow under the Revolving Facility is reduced by outstanding letters of credit. Refer to Note 10—Debt for additional information.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Cost Audits</w:t>
      </w:r>
    </w:p>
    <w:p>
      <w:pPr>
        <w:spacing w:after="0" w:line="22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Payments to the Company on government Cost Plus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80" w:lineRule="exact"/>
        <w:rPr>
          <w:sz w:val="20"/>
          <w:szCs w:val="20"/>
          <w:color w:val="auto"/>
        </w:rPr>
      </w:pPr>
    </w:p>
    <w:p>
      <w:pPr>
        <w:ind w:left="40" w:right="279" w:firstLine="648"/>
        <w:spacing w:after="0" w:line="281" w:lineRule="auto"/>
        <w:rPr>
          <w:sz w:val="20"/>
          <w:szCs w:val="20"/>
          <w:color w:val="auto"/>
        </w:rPr>
      </w:pPr>
      <w:r>
        <w:rPr>
          <w:rFonts w:ascii="Times New Roman" w:cs="Times New Roman" w:eastAsia="Times New Roman" w:hAnsi="Times New Roman"/>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audits. However, the Company can provide no assurance that the DCAA or other government audits will not result in material disallowances for incurred costs in the future.</w:t>
      </w:r>
    </w:p>
    <w:p>
      <w:pPr>
        <w:spacing w:after="0" w:line="81" w:lineRule="exact"/>
        <w:rPr>
          <w:sz w:val="20"/>
          <w:szCs w:val="20"/>
          <w:color w:val="auto"/>
        </w:rPr>
      </w:pPr>
    </w:p>
    <w:p>
      <w:pPr>
        <w:jc w:val="both"/>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Company’s revenue recognition policy calls for revenue recognized on all Cost Plus government contracts to be recorded at actual rates unless collectability is not reasonably assured. At April 30, 2026 and 2025, the Company had no reserve for open incurred cost claim audits.</w:t>
      </w:r>
    </w:p>
    <w:p>
      <w:pPr>
        <w:spacing w:after="0" w:line="118" w:lineRule="exact"/>
        <w:rPr>
          <w:sz w:val="20"/>
          <w:szCs w:val="20"/>
          <w:color w:val="auto"/>
        </w:rPr>
      </w:pPr>
    </w:p>
    <w:p>
      <w:pPr>
        <w:ind w:left="700" w:right="6699" w:hanging="656"/>
        <w:spacing w:after="0" w:line="375" w:lineRule="auto"/>
        <w:tabs>
          <w:tab w:leader="none" w:pos="682"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ESAero Acquisition</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On March 16, 2026, the Company closed its acquisition of ESAero, a leading producer of UAS and advanced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air mobility platforms. Pursuant to the merger agreement, the Company acquired 100% of ESAero equity for an aggregate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 price of $177,909,000 consisting of 671,078 shares of the Company’s common stock with a fair value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$142,188,000 and $26,922,000 cash-on-hand, net of $2,386,000 cash acquired, plus an $8,800,000 holdback for certain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customary adjustments, such as net working capital, and certain seller indemnification obligations. The fair value of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issued was based on the closing price on March 16, 2026 of $211.88. ESAero is incorporated into AeroVironment’s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AxS segment. The Company believes the acquisition will enhance the Company’s ability to transition from innovative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design to advanced manufacturing. The Company accounted for the acquisition under the acquisition method of accounting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business combinations.</w:t>
      </w:r>
    </w:p>
    <w:p>
      <w:pPr>
        <w:spacing w:after="0" w:line="85" w:lineRule="exact"/>
        <w:rPr>
          <w:sz w:val="20"/>
          <w:szCs w:val="20"/>
          <w:color w:val="auto"/>
        </w:rPr>
      </w:pPr>
    </w:p>
    <w:p>
      <w:pPr>
        <w:ind w:left="40" w:right="419"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fair value of the acquisition consideration transferred to assets acquired and liabilities assumed as of the acquisition date. The allocation of the purchase price is preliminary and subject to change as the Company continues to evaluate the fair values of certain assets and liabilities acquired. Open items in the purchase price allocation include the valuation of assets acquired and liabilities assumed including, but not limited to customer relationships, backlog developed technology, non-compete agreements, and tradename intangibles; leases; details surrounding tax matters; and assumptions underlying certain existing or potential reserves, such as those for inventory and legal matters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16,</w:t>
            </w:r>
          </w:p>
        </w:tc>
        <w:tc>
          <w:tcPr>
            <w:tcW w:w="0" w:type="dxa"/>
            <w:vAlign w:val="bottom"/>
          </w:tcPr>
          <w:p>
            <w:pPr>
              <w:spacing w:after="0"/>
              <w:rPr>
                <w:sz w:val="1"/>
                <w:szCs w:val="1"/>
                <w:color w:val="auto"/>
              </w:rPr>
            </w:pPr>
          </w:p>
        </w:tc>
      </w:tr>
      <w:tr>
        <w:trPr>
          <w:trHeight w:val="199"/>
        </w:trPr>
        <w:tc>
          <w:tcPr>
            <w:tcW w:w="372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Fair value of assets acquired:</w:t>
            </w:r>
          </w:p>
        </w:tc>
        <w:tc>
          <w:tcPr>
            <w:tcW w:w="4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4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4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213,314</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72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advances</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 (non-current)</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4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0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20" w:type="dxa"/>
            <w:vAlign w:val="bottom"/>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ESAero and expected future customers in the AxS market. For income tax purposes the acquisition is treated as a stock acquisition, as such the goodwill associated with this purchase is not deductible.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ESAero Supplemental Pro Forma Information (unaudited)</w:t>
      </w:r>
    </w:p>
    <w:p>
      <w:pPr>
        <w:spacing w:after="0" w:line="229"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ESAero revenue and income from operations for the period ended April 30, 2026 since acquisition on March 16, 2026 was $20,038,000 and $5,951,000, inclusive of $1,116,000 of intangible amortization, respectively. The following unaudited pro forma summary presents condensed consolidated information of the Company as if the business acquisition had occurred on May 1, 2024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Borders>
              <w:bottom w:val="single" w:sz="8" w:color="auto"/>
            </w:tcBorders>
          </w:tcPr>
          <w:p>
            <w:pPr>
              <w:spacing w:after="0"/>
              <w:rPr>
                <w:sz w:val="15"/>
                <w:szCs w:val="15"/>
                <w:color w:val="auto"/>
              </w:rPr>
            </w:pPr>
          </w:p>
        </w:tc>
      </w:tr>
      <w:tr>
        <w:trPr>
          <w:trHeight w:val="117"/>
        </w:trPr>
        <w:tc>
          <w:tcPr>
            <w:tcW w:w="3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tcPr>
          <w:p>
            <w:pPr>
              <w:jc w:val="right"/>
              <w:ind w:right="622"/>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r>
      <w:tr>
        <w:trPr>
          <w:trHeight w:val="173"/>
        </w:trPr>
        <w:tc>
          <w:tcPr>
            <w:tcW w:w="312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2,056,180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863,041</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(257,092)</w:t>
            </w:r>
          </w:p>
        </w:tc>
        <w:tc>
          <w:tcPr>
            <w:tcW w:w="6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33,836</w:t>
            </w:r>
          </w:p>
        </w:tc>
      </w:tr>
    </w:tbl>
    <w:p>
      <w:pPr>
        <w:spacing w:after="0" w:line="179"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year ended April 30, 2025, reflecting the additional amortization that would have been charged and including the results of ESAero prior to acquisition.</w:t>
      </w:r>
    </w:p>
    <w:p>
      <w:pPr>
        <w:spacing w:after="0" w:line="176"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$2,504,000 of acquisition-related expenses for the fiscal year ended April 30, 2026. These expenses are included in SG&amp;A on the Company’s consolidated statements of income (loss).</w:t>
      </w:r>
    </w:p>
    <w:p>
      <w:pPr>
        <w:spacing w:after="0" w:line="162"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2024, nor are they indicative of results of operations that may occur in the future.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BlueHalo Acquisition</w:t>
      </w:r>
    </w:p>
    <w:p>
      <w:pPr>
        <w:spacing w:after="0" w:line="229" w:lineRule="exact"/>
        <w:rPr>
          <w:sz w:val="20"/>
          <w:szCs w:val="20"/>
          <w:color w:val="auto"/>
        </w:rPr>
      </w:pPr>
    </w:p>
    <w:p>
      <w:pPr>
        <w:ind w:left="40" w:right="119" w:firstLine="863"/>
        <w:spacing w:after="0" w:line="255" w:lineRule="auto"/>
        <w:rPr>
          <w:sz w:val="20"/>
          <w:szCs w:val="20"/>
          <w:color w:val="auto"/>
        </w:rPr>
      </w:pPr>
      <w:r>
        <w:rPr>
          <w:rFonts w:ascii="Times New Roman" w:cs="Times New Roman" w:eastAsia="Times New Roman" w:hAnsi="Times New Roman"/>
          <w:sz w:val="18"/>
          <w:szCs w:val="18"/>
          <w:color w:val="auto"/>
        </w:rPr>
        <w:t>On November 13, 2024, the Company formed Archangel Merger Sub LLC, a Delaware limited liability company and a direct wholly owned subsidiary of the Company (“Merger Sub”), for the purpose of the announced acquisition of BlueHalo. On May 1, 2025, the Company closed its acquisition of BlueHalo for merger consideration, net of cash acquired, of $3,484,945,000. Through the acquisition, BlueHalo is incorporated into the Company’s AxS and SCDE segments. The Company believes that the acquisition will help to advance the combined company as a global defense technology leader across air, land, sea, space, and cyber. The Company accounted for the acquisition under the acquisition method of accounting for business combinations.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consideration transferred</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2,640,365</w:t>
            </w: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BlueHalo’s transaction expenses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w:t>
            </w: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BlueHalo’s debt</w:t>
            </w:r>
          </w:p>
        </w:tc>
        <w:tc>
          <w:tcPr>
            <w:tcW w:w="1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863,207</w:t>
            </w:r>
          </w:p>
        </w:tc>
      </w:tr>
      <w:tr>
        <w:trPr>
          <w:trHeight w:val="21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 consideration</w:t>
            </w:r>
          </w:p>
        </w:tc>
        <w:tc>
          <w:tcPr>
            <w:tcW w:w="1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3,528,786</w:t>
            </w: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cash acquired</w:t>
            </w:r>
          </w:p>
        </w:tc>
        <w:tc>
          <w:tcPr>
            <w:tcW w:w="1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(43,841)</w:t>
            </w:r>
          </w:p>
        </w:tc>
      </w:tr>
      <w:tr>
        <w:trPr>
          <w:trHeight w:val="228"/>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1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3,484,945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39" w:firstLine="863"/>
        <w:spacing w:after="0" w:line="282" w:lineRule="auto"/>
        <w:rPr>
          <w:sz w:val="20"/>
          <w:szCs w:val="20"/>
          <w:color w:val="auto"/>
        </w:rPr>
      </w:pPr>
      <w:r>
        <w:rPr>
          <w:rFonts w:ascii="Times New Roman" w:cs="Times New Roman" w:eastAsia="Times New Roman" w:hAnsi="Times New Roman"/>
          <w:sz w:val="18"/>
          <w:szCs w:val="18"/>
          <w:color w:val="auto"/>
        </w:rPr>
        <w:t>The fair value of the Company’s common stock issued is based on 17,425,849 shares issued as consideration, per the terms of the Merger Agreement, and the closing share price of $151.52 on April 30, 2025.</w:t>
      </w:r>
    </w:p>
    <w:p>
      <w:pPr>
        <w:spacing w:after="0" w:line="162" w:lineRule="exact"/>
        <w:rPr>
          <w:sz w:val="20"/>
          <w:szCs w:val="20"/>
          <w:color w:val="auto"/>
        </w:rPr>
      </w:pPr>
    </w:p>
    <w:p>
      <w:pPr>
        <w:ind w:left="40" w:right="179" w:firstLine="86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fair value of the merger consideration transferred to assets acquired and liabilities assumed as of the acquisition date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May 1,</w:t>
            </w:r>
          </w:p>
        </w:tc>
        <w:tc>
          <w:tcPr>
            <w:tcW w:w="0" w:type="dxa"/>
            <w:vAlign w:val="bottom"/>
          </w:tcPr>
          <w:p>
            <w:pPr>
              <w:spacing w:after="0"/>
              <w:rPr>
                <w:sz w:val="1"/>
                <w:szCs w:val="1"/>
                <w:color w:val="auto"/>
              </w:rPr>
            </w:pPr>
          </w:p>
        </w:tc>
      </w:tr>
      <w:tr>
        <w:trPr>
          <w:trHeight w:val="199"/>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74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$420 at May 1, 2025</w:t>
            </w:r>
          </w:p>
        </w:tc>
        <w:tc>
          <w:tcPr>
            <w:tcW w:w="13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receivable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investments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12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3,838,627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advances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353,682</w:t>
            </w: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12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863"/>
        <w:spacing w:after="0" w:line="258"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assigned to intangible assets has been estimated based on third-party preliminary valuation studies utilizing income-based methodologies and corroborated with benchmarks of similar transactions in the industry. Use of different estimates and judgments could yield materially different results. All intangible assets acquired in the BlueHalo acquisition are subject to amortization.</w:t>
      </w:r>
    </w:p>
    <w:p>
      <w:pPr>
        <w:spacing w:after="0" w:line="183" w:lineRule="exact"/>
        <w:rPr>
          <w:sz w:val="20"/>
          <w:szCs w:val="20"/>
          <w:color w:val="auto"/>
        </w:rPr>
      </w:pPr>
    </w:p>
    <w:p>
      <w:pPr>
        <w:ind w:left="40" w:right="159" w:firstLine="863"/>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differences between the estimated fair value of the consideration transferred and the estimated fair value of the assets acquired, and liabilities assumed. For income tax purposes the goodwill and intangibles are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the valuation of the fair value of intangible assets acquired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Fair Value</w:t>
            </w:r>
          </w:p>
        </w:tc>
        <w:tc>
          <w:tcPr>
            <w:tcW w:w="1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Estimated Useful Life</w:t>
            </w:r>
          </w:p>
        </w:tc>
      </w:tr>
      <w:tr>
        <w:trPr>
          <w:trHeight w:val="234"/>
        </w:trPr>
        <w:tc>
          <w:tcPr>
            <w:tcW w:w="4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Years</w:t>
            </w:r>
          </w:p>
        </w:tc>
      </w:tr>
      <w:tr>
        <w:trPr>
          <w:trHeight w:val="21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intangible assets acquired:</w:t>
            </w:r>
          </w:p>
        </w:tc>
        <w:tc>
          <w:tcPr>
            <w:tcW w:w="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5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499,500</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5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480,400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1,029,800</w:t>
            </w:r>
          </w:p>
        </w:tc>
        <w:tc>
          <w:tcPr>
            <w:tcW w:w="194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BlueHalo Supplemental Pro Forma Information (unaudited)</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BlueHalo revenue and loss from operations for the fiscal year ended April 30, 2026 since its acquisition 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1, 2025 was $919,144,000 and $(365,518,000), inclusive of $208,482,000 of intangible amortization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$240,708,000 of goodwill impairment, respectively. The following unaudited pro forma summary presents condensed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information of the Company as if the business acquisition had occurred on May 1, 2024. The pro forma</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amounts include the historical operating results of the Company and BlueHalo prior to the acquisition. The pro forma</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results are not necessarily indicative of the Company's results of operations that would have been obtained had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acquisition of BlueHalo been completed for the period presented, or which may be realized in the future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Borders>
              <w:bottom w:val="single" w:sz="8" w:color="auto"/>
            </w:tcBorders>
          </w:tcPr>
          <w:p>
            <w:pPr>
              <w:spacing w:after="0"/>
              <w:rPr>
                <w:sz w:val="15"/>
                <w:szCs w:val="15"/>
                <w:color w:val="auto"/>
              </w:rPr>
            </w:pPr>
          </w:p>
        </w:tc>
      </w:tr>
      <w:tr>
        <w:trPr>
          <w:trHeight w:val="117"/>
        </w:trPr>
        <w:tc>
          <w:tcPr>
            <w:tcW w:w="27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tcPr>
          <w:p>
            <w:pPr>
              <w:jc w:val="right"/>
              <w:ind w:right="622"/>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r>
      <w:tr>
        <w:trPr>
          <w:trHeight w:val="173"/>
        </w:trPr>
        <w:tc>
          <w:tcPr>
            <w:tcW w:w="278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1,976,845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1,663,312</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(190,923)</w:t>
            </w:r>
          </w:p>
        </w:tc>
        <w:tc>
          <w:tcPr>
            <w:tcW w:w="6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(171,740)</w:t>
            </w:r>
          </w:p>
        </w:tc>
      </w:tr>
    </w:tbl>
    <w:p>
      <w:pPr>
        <w:spacing w:after="0" w:line="179" w:lineRule="exact"/>
        <w:rPr>
          <w:sz w:val="20"/>
          <w:szCs w:val="20"/>
          <w:color w:val="auto"/>
        </w:rPr>
      </w:pPr>
    </w:p>
    <w:p>
      <w:pPr>
        <w:ind w:left="40" w:right="59" w:firstLine="863"/>
        <w:spacing w:after="0" w:line="261" w:lineRule="auto"/>
        <w:rPr>
          <w:sz w:val="20"/>
          <w:szCs w:val="20"/>
          <w:color w:val="auto"/>
        </w:rPr>
      </w:pPr>
      <w:r>
        <w:rPr>
          <w:rFonts w:ascii="Times New Roman" w:cs="Times New Roman" w:eastAsia="Times New Roman" w:hAnsi="Times New Roman"/>
          <w:sz w:val="18"/>
          <w:szCs w:val="18"/>
          <w:color w:val="auto"/>
        </w:rPr>
        <w:t>The Company recognized a nonrecurring pro forma adjustment to pro forma earnings to amortize an increase in the fair value of inventory acquired during the year ended April 30, 2025. In addition, for the year ended April 30, 2026, the amortization expense associated with the Company's one-year intangible backlog has been eliminated within the pro forma adjustments.</w:t>
      </w:r>
    </w:p>
    <w:p>
      <w:pPr>
        <w:spacing w:after="0" w:line="180" w:lineRule="exact"/>
        <w:rPr>
          <w:sz w:val="20"/>
          <w:szCs w:val="20"/>
          <w:color w:val="auto"/>
        </w:rPr>
      </w:pPr>
    </w:p>
    <w:p>
      <w:pPr>
        <w:ind w:left="40" w:right="479" w:firstLine="863"/>
        <w:spacing w:after="0" w:line="281" w:lineRule="auto"/>
        <w:rPr>
          <w:sz w:val="20"/>
          <w:szCs w:val="20"/>
          <w:color w:val="auto"/>
        </w:rPr>
      </w:pPr>
      <w:r>
        <w:rPr>
          <w:rFonts w:ascii="Times New Roman" w:cs="Times New Roman" w:eastAsia="Times New Roman" w:hAnsi="Times New Roman"/>
          <w:sz w:val="17"/>
          <w:szCs w:val="17"/>
          <w:color w:val="auto"/>
        </w:rPr>
        <w:t>These pro forma amounts have been calculated by applying the Company’s accounting policies, assuming transaction costs had been incurred during the year ended April 30, 2025, reflecting the additional amortization and depreciation that would have been charged, incremental interest expense associated with the initial financing for the acquisition under the term loan and revolver, and including the results of BlueHalo prior to acquisition.</w:t>
      </w:r>
    </w:p>
    <w:p>
      <w:pPr>
        <w:spacing w:after="0" w:line="164" w:lineRule="exact"/>
        <w:rPr>
          <w:sz w:val="20"/>
          <w:szCs w:val="20"/>
          <w:color w:val="auto"/>
        </w:rPr>
      </w:pPr>
    </w:p>
    <w:p>
      <w:pPr>
        <w:ind w:left="40" w:right="99" w:firstLine="863"/>
        <w:spacing w:after="0" w:line="258" w:lineRule="auto"/>
        <w:rPr>
          <w:sz w:val="20"/>
          <w:szCs w:val="20"/>
          <w:color w:val="auto"/>
        </w:rPr>
      </w:pPr>
      <w:r>
        <w:rPr>
          <w:rFonts w:ascii="Times New Roman" w:cs="Times New Roman" w:eastAsia="Times New Roman" w:hAnsi="Times New Roman"/>
          <w:sz w:val="18"/>
          <w:szCs w:val="18"/>
          <w:color w:val="auto"/>
        </w:rPr>
        <w:t>The Company incurred approximately $64,194,000 of BlueHalo acquisition-related expenses including integration costs. The Company recognized a nonrecurring pro forma adjustment to the year ended April 30, 2026 to remove the impact of the transaction costs from the historical balance, while recognizing the $44,903,000 of transaction expenses within the year ended April 30, 2025 to reflect the costs as if the acquisition was completed during the year ended April 30, 2025.</w:t>
      </w:r>
    </w:p>
    <w:p>
      <w:pPr>
        <w:spacing w:after="0" w:line="183" w:lineRule="exact"/>
        <w:rPr>
          <w:sz w:val="20"/>
          <w:szCs w:val="20"/>
          <w:color w:val="auto"/>
        </w:rPr>
      </w:pPr>
    </w:p>
    <w:p>
      <w:pPr>
        <w:ind w:left="40" w:right="79" w:firstLine="863"/>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presented above does not give effect to the July 2025 common stock issuance and Notes issuance, as such proceeds were not used to fund the BlueHalo acquisition. As the Company’s repayment of indebtedness using the proceeds of the common stock issuance and Convertible Notes issuance was not directly attributable to the acquisition, the related reduction in interest expense is not reflected in this unaudited pro forma combined financial information.</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Tomahawk Acquisition</w:t>
      </w:r>
    </w:p>
    <w:p>
      <w:pPr>
        <w:spacing w:after="0" w:line="229"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On September 15, 2023, the Company closed its acquisition of Tomahawk, a leader in AI-enabled robotic control systems. Pursuant to the merger agreement, the Company acquired 100% of Tomahawk equity for an aggregate purchase price of $134,467,000 consisting of 985,999 shares of restricted common stock of the Company valued at $109,820,000 and $27,205,000 cash-on-hand, net of $3,048,000 cash acquired, plus a $490,000 holdback. During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color w:val="auto"/>
        </w:rPr>
        <w:t>three months ended January 27, 2024, the holdback was decreased $100,000 as part of the working capital adjustment, and the total purchase price and goodwill, therefore, decreased by $100,000 as well. The remaining $390,000 holdback was paid during the three months ended October 26, 2024. The fair value of the shares issued was the closing price on September 15, 2023, the close of the Tomahawk purchase agreement. Tomahawk is incorporated into AeroVironment’s UxS segment. The acquisition will enable deeper integration of both companies’ technology, leading to enhanced interoperability and interconnectivity of uncrewed systems through a singular platform with similar control features. The Company accounted for the acquisition under the acquisition method of accounting for business combinations.</w:t>
      </w:r>
    </w:p>
    <w:p>
      <w:pPr>
        <w:spacing w:after="0" w:line="189" w:lineRule="exact"/>
        <w:rPr>
          <w:sz w:val="20"/>
          <w:szCs w:val="20"/>
          <w:color w:val="auto"/>
        </w:rPr>
      </w:pPr>
    </w:p>
    <w:p>
      <w:pPr>
        <w:ind w:left="40" w:right="4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over the estimated fair value of the assets and liabilities assumed in the acquisition of Tomahawk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26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Fair value of assets acquired:</w:t>
            </w:r>
          </w:p>
        </w:tc>
        <w:tc>
          <w:tcPr>
            <w:tcW w:w="2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receivable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relationship</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asset</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95,414</w:t>
            </w:r>
          </w:p>
        </w:tc>
        <w:tc>
          <w:tcPr>
            <w:tcW w:w="0" w:type="dxa"/>
            <w:vAlign w:val="bottom"/>
          </w:tcPr>
          <w:p>
            <w:pPr>
              <w:spacing w:after="0"/>
              <w:rPr>
                <w:sz w:val="1"/>
                <w:szCs w:val="1"/>
                <w:color w:val="auto"/>
              </w:rPr>
            </w:pPr>
          </w:p>
        </w:tc>
      </w:tr>
      <w:tr>
        <w:trPr>
          <w:trHeight w:val="25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6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advances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4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6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consideration,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Holdback</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413" w:hanging="413"/>
        <w:spacing w:after="0"/>
        <w:tabs>
          <w:tab w:leader="none" w:pos="41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109,820</w:t>
      </w:r>
    </w:p>
    <w:p>
      <w:pPr>
        <w:spacing w:after="0" w:line="38" w:lineRule="exact"/>
        <w:rPr>
          <w:rFonts w:ascii="Times New Roman" w:cs="Times New Roman" w:eastAsia="Times New Roman" w:hAnsi="Times New Roman"/>
          <w:sz w:val="17"/>
          <w:szCs w:val="17"/>
          <w:color w:val="auto"/>
        </w:rPr>
      </w:pPr>
    </w:p>
    <w:p>
      <w:pPr>
        <w:ind w:left="51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24,157</w:t>
      </w:r>
    </w:p>
    <w:p>
      <w:pPr>
        <w:spacing w:after="0" w:line="20" w:lineRule="exact"/>
        <w:rPr>
          <w:rFonts w:ascii="Times New Roman" w:cs="Times New Roman" w:eastAsia="Times New Roman" w:hAnsi="Times New Roman"/>
          <w:sz w:val="17"/>
          <w:szCs w:val="17"/>
          <w:color w:val="auto"/>
        </w:rPr>
      </w:pPr>
    </w:p>
    <w:p>
      <w:pPr>
        <w:ind w:left="7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6775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 w:lineRule="exact"/>
        <w:rPr>
          <w:sz w:val="20"/>
          <w:szCs w:val="20"/>
          <w:color w:val="auto"/>
        </w:rPr>
      </w:pPr>
    </w:p>
    <w:p>
      <w:pPr>
        <w:ind w:left="413" w:hanging="413"/>
        <w:spacing w:after="0"/>
        <w:tabs>
          <w:tab w:leader="none" w:pos="413" w:val="left"/>
        </w:tabs>
        <w:numPr>
          <w:ilvl w:val="0"/>
          <w:numId w:val="6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677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167" w:space="720"/>
            <w:col w:w="1132"/>
          </w:cols>
          <w:pgMar w:left="1440" w:top="513" w:right="1440" w:bottom="1440" w:gutter="0" w:footer="0" w:header="0"/>
          <w:type w:val="continuous"/>
        </w:sectPr>
      </w:pPr>
    </w:p>
    <w:p>
      <w:pPr>
        <w:spacing w:after="0" w:line="52"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Tomahawk and expected future customers in the UxS market. For income tax purposes the acquisition is treated as a stock acquisition, as such the goodwill associated with this purchase is not deductible.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Tomahawk Supplemental Pro Forma Information (unaudited)</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Tomahawk revenue since acquisition on September 15, 2023 was $15,883,000 as of April 30, 2024. Other than the aforementioned revenue and intangible asset amortization expense of $5,730,000 for the year ended April 30, 2024 since the acquisition on September 15, 2023, the Tomahawk financial results were not significant. The following unaudited pro forma summary presents condensed consolidated information of the Company as if the business acquisition had occurred on May 1, 2022 (in thousands):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13"/>
        </w:trPr>
        <w:tc>
          <w:tcPr>
            <w:tcW w:w="3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362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727,241</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57,273</w:t>
            </w:r>
          </w:p>
        </w:tc>
      </w:tr>
    </w:tbl>
    <w:p>
      <w:pPr>
        <w:spacing w:after="0" w:line="17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30, 2022, reflecting the additional amortization that would have been charged and including the results of Tomahawk prior to acquisition.</w:t>
      </w:r>
    </w:p>
    <w:p>
      <w:pPr>
        <w:spacing w:after="0" w:line="176"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$1,873,000 of acquisition-related expenses for the fiscal year ended April 30, 2024. These expenses are included in SG&amp;A on the Company’s consolidated statements of income (loss).</w:t>
      </w:r>
    </w:p>
    <w:p>
      <w:pPr>
        <w:spacing w:after="0" w:line="162"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2022, nor are they indicative of results of operations that may occur in the future.</w:t>
      </w:r>
    </w:p>
    <w:p>
      <w:pPr>
        <w:spacing w:after="0" w:line="176" w:lineRule="exact"/>
        <w:rPr>
          <w:sz w:val="20"/>
          <w:szCs w:val="20"/>
          <w:color w:val="auto"/>
        </w:rPr>
      </w:pPr>
    </w:p>
    <w:p>
      <w:pPr>
        <w:ind w:left="700" w:hanging="656"/>
        <w:spacing w:after="0"/>
        <w:tabs>
          <w:tab w:leader="none" w:pos="7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As part of the acquisition of Telerob on May 3, 2021, the Company acquired a small foreign-based defined benefit pension plan. The Rheinmetall-Zusatzversorgung (“RZV”) service plan covers three former employees based on individual contracts issued to the employees. No other employees are eligible to participate. The Company has reinsurance policies taken out for participating former employees, which were pledged to the employees. The measurement date for the Company’s pension plan was April 30, 2026.</w:t>
      </w:r>
    </w:p>
    <w:p>
      <w:pPr>
        <w:spacing w:after="0" w:line="183"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The net fair value of plan assets is recorded in other assets on the consolidated balance sheets.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31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of the plan</w:t>
            </w:r>
          </w:p>
        </w:tc>
        <w:tc>
          <w:tcPr>
            <w:tcW w:w="4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360" w:type="dxa"/>
            <w:vAlign w:val="bottom"/>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6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 in projected benefit obligation (in thousands):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benefit obligation balance as of April 30, 2025 and 2024, respectively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 balance as of April 30, 2026 and 2025, respectively</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r>
      <w:tr>
        <w:trPr>
          <w:trHeight w:val="414"/>
        </w:trPr>
        <w:tc>
          <w:tcPr>
            <w:tcW w:w="6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plan assets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6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as of April 30, 2025 and 2024, respectively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0"/>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as of April 30, 2026 and 2025, respectively</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The accumulated benefit obligation is approximately equal to the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2026. The projected benefit obligation and projected fair value of plan assets include the assumptions in the table below.</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In-payment benefits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Expected benefits payments as of April 30, 2026 (in thousands):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2031-2035</w:t>
            </w:r>
          </w:p>
        </w:tc>
        <w:tc>
          <w:tcPr>
            <w:tcW w:w="10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10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periodic benefit cost is recorded in interest (expense) income, net (in thousands).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09"/>
        </w:trPr>
        <w:tc>
          <w:tcPr>
            <w:tcW w:w="3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2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630"/>
        </w:trPr>
        <w:tc>
          <w:tcPr>
            <w:tcW w:w="3160" w:type="dxa"/>
            <w:vAlign w:val="bottom"/>
          </w:tcPr>
          <w:p>
            <w:pPr>
              <w:spacing w:after="0"/>
              <w:rPr>
                <w:sz w:val="24"/>
                <w:szCs w:val="24"/>
                <w:color w:val="auto"/>
              </w:rPr>
            </w:pPr>
          </w:p>
        </w:tc>
        <w:tc>
          <w:tcPr>
            <w:tcW w:w="2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hanging="676"/>
        <w:spacing w:after="0"/>
        <w:tabs>
          <w:tab w:leader="none" w:pos="7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identifies two reportable segments, AxS and SCDE.</w:t>
      </w:r>
    </w:p>
    <w:p>
      <w:pPr>
        <w:spacing w:after="0" w:line="225"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1—Organization and Significant Accounting Policies. The operating segments sales to each other are eliminated. Effective May 1, 2025, segment adjusted EBITDA is the measure of profitability used by the CODM for purposes of making decisions about allocating resources to the segments and assessing performance. Segment adjusted EBITDA is defined as segment income (loss) from operations before depreciation and amortization and adjusted for the impact of certain other non-cash items, including goodwill impairment, amortization of implementation of cloud computing arrangements, stock-based compensation, other purchase accounting adjustments, and cash items including acquisition related expenses and certain one-time non-operating expense or income such as legal expense.</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AxS</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 2026</w:t>
            </w:r>
          </w:p>
        </w:tc>
        <w:tc>
          <w:tcPr>
            <w:tcW w:w="460" w:type="dxa"/>
            <w:vAlign w:val="bottom"/>
            <w:gridSpan w:val="2"/>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SCDE</w:t>
            </w:r>
          </w:p>
        </w:tc>
        <w:tc>
          <w:tcPr>
            <w:tcW w:w="4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1,142,762</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272,587</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1,415,349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3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215,315</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561,496</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1,358,077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1,976,845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837,367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1,383,494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92,709</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312,820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130,431</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223,140</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0" w:type="dxa"/>
            <w:vAlign w:val="bottom"/>
          </w:tcPr>
          <w:p>
            <w:pPr>
              <w:spacing w:after="0"/>
              <w:rPr>
                <w:sz w:val="1"/>
                <w:szCs w:val="1"/>
                <w:color w:val="auto"/>
              </w:rPr>
            </w:pPr>
          </w:p>
        </w:tc>
      </w:tr>
      <w:tr>
        <w:trPr>
          <w:trHeight w:val="198"/>
        </w:trPr>
        <w:tc>
          <w:tcPr>
            <w:tcW w:w="40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investments activity, net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38,334</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286,056</w:t>
            </w:r>
          </w:p>
        </w:tc>
        <w:tc>
          <w:tcPr>
            <w:tcW w:w="0" w:type="dxa"/>
            <w:vAlign w:val="bottom"/>
          </w:tcPr>
          <w:p>
            <w:pPr>
              <w:spacing w:after="0"/>
              <w:rPr>
                <w:sz w:val="1"/>
                <w:szCs w:val="1"/>
                <w:color w:val="auto"/>
              </w:rPr>
            </w:pPr>
          </w:p>
        </w:tc>
      </w:tr>
      <w:tr>
        <w:trPr>
          <w:trHeight w:val="864"/>
        </w:trPr>
        <w:tc>
          <w:tcPr>
            <w:tcW w:w="406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AxS</w:t>
            </w: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April 30, 2025</w:t>
            </w:r>
          </w:p>
        </w:tc>
        <w:tc>
          <w:tcPr>
            <w:tcW w:w="5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SCDE</w:t>
            </w:r>
          </w:p>
        </w:tc>
        <w:tc>
          <w:tcPr>
            <w:tcW w:w="5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692,722</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692,722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127,905</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127,905</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0" w:type="dxa"/>
            <w:vAlign w:val="bottom"/>
          </w:tcPr>
          <w:p>
            <w:pPr>
              <w:spacing w:after="0"/>
              <w:rPr>
                <w:sz w:val="1"/>
                <w:szCs w:val="1"/>
                <w:color w:val="auto"/>
              </w:rPr>
            </w:pPr>
          </w:p>
        </w:tc>
      </w:tr>
      <w:tr>
        <w:trPr>
          <w:trHeight w:val="198"/>
        </w:trPr>
        <w:tc>
          <w:tcPr>
            <w:tcW w:w="4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investments activity, net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expense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0" w:type="dxa"/>
            <w:vAlign w:val="bottom"/>
          </w:tcPr>
          <w:p>
            <w:pPr>
              <w:spacing w:after="0"/>
              <w:rPr>
                <w:sz w:val="1"/>
                <w:szCs w:val="1"/>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19"/>
                <w:szCs w:val="19"/>
                <w:color w:val="auto"/>
              </w:rPr>
            </w:pPr>
          </w:p>
        </w:tc>
        <w:tc>
          <w:tcPr>
            <w:tcW w:w="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146,424</w:t>
            </w:r>
          </w:p>
        </w:tc>
        <w:tc>
          <w:tcPr>
            <w:tcW w:w="24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146,424</w:t>
            </w:r>
          </w:p>
        </w:tc>
        <w:tc>
          <w:tcPr>
            <w:tcW w:w="0" w:type="dxa"/>
            <w:vAlign w:val="bottom"/>
          </w:tcPr>
          <w:p>
            <w:pPr>
              <w:spacing w:after="0"/>
              <w:rPr>
                <w:sz w:val="1"/>
                <w:szCs w:val="1"/>
                <w:color w:val="auto"/>
              </w:rPr>
            </w:pPr>
          </w:p>
        </w:tc>
      </w:tr>
      <w:tr>
        <w:trPr>
          <w:trHeight w:val="846"/>
        </w:trPr>
        <w:tc>
          <w:tcPr>
            <w:tcW w:w="408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4" w:name="page125"/>
    <w:bookmarkEnd w:id="1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vMerge w:val="restart"/>
          </w:tcPr>
          <w:p>
            <w:pPr>
              <w:ind w:left="42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AxS</w:t>
            </w: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April 30, 2024</w:t>
            </w:r>
          </w:p>
        </w:tc>
        <w:tc>
          <w:tcPr>
            <w:tcW w:w="4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SCDE</w:t>
            </w:r>
          </w:p>
        </w:tc>
        <w:tc>
          <w:tcPr>
            <w:tcW w:w="40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585,771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585,771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130,949</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419,241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198"/>
        </w:trPr>
        <w:tc>
          <w:tcPr>
            <w:tcW w:w="44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investments activity,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17,069</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 thousands) provides a reconciliation from segment adjusted EBITDA to income before income taxes: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27"/>
        </w:trPr>
        <w:tc>
          <w:tcPr>
            <w:tcW w:w="4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12"/>
        </w:trPr>
        <w:tc>
          <w:tcPr>
            <w:tcW w:w="4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286,056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127,753</w:t>
            </w:r>
          </w:p>
        </w:tc>
      </w:tr>
      <w:tr>
        <w:trPr>
          <w:trHeight w:val="216"/>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(265,037)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(35,749)</w:t>
            </w:r>
          </w:p>
        </w:tc>
      </w:tr>
      <w:tr>
        <w:trPr>
          <w:trHeight w:val="216"/>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198"/>
        </w:trPr>
        <w:tc>
          <w:tcPr>
            <w:tcW w:w="44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w:t>
            </w:r>
          </w:p>
        </w:tc>
      </w:tr>
      <w:tr>
        <w:trPr>
          <w:trHeight w:val="216"/>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 investments activity,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16"/>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(305,622)</w:t>
            </w:r>
          </w:p>
        </w:tc>
        <w:tc>
          <w:tcPr>
            <w:tcW w:w="2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63,231</w:t>
            </w:r>
          </w:p>
        </w:tc>
      </w:tr>
    </w:tbl>
    <w:p>
      <w:pPr>
        <w:spacing w:after="0" w:line="17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0" w:type="dxa"/>
            <w:vAlign w:val="bottom"/>
          </w:tcPr>
          <w:p>
            <w:pPr>
              <w:ind w:left="36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AxS</w:t>
            </w: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SCDE</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April 30, 2026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2,032,663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1,079,568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5,716,742</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As of April 30, 2025</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872,530</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1,120,567</w:t>
            </w:r>
          </w:p>
        </w:tc>
      </w:tr>
      <w:tr>
        <w:trPr>
          <w:trHeight w:val="630"/>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3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 expenditures are summarized in the table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ind w:left="37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AxS</w:t>
            </w:r>
          </w:p>
        </w:tc>
        <w:tc>
          <w:tcPr>
            <w:tcW w:w="48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SCDE</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 2026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86,218</w:t>
            </w: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Year Ended April 30, 2025</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22,816</w:t>
            </w: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 2024</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r>
    </w:tbl>
    <w:p>
      <w:pPr>
        <w:spacing w:after="0" w:line="221" w:lineRule="exact"/>
        <w:rPr>
          <w:sz w:val="20"/>
          <w:szCs w:val="20"/>
          <w:color w:val="auto"/>
        </w:rPr>
      </w:pPr>
    </w:p>
    <w:p>
      <w:pPr>
        <w:ind w:left="720" w:hanging="676"/>
        <w:spacing w:after="0"/>
        <w:tabs>
          <w:tab w:leader="none" w:pos="7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left="40" w:right="299" w:firstLine="648"/>
        <w:spacing w:after="0" w:line="255" w:lineRule="auto"/>
        <w:rPr>
          <w:sz w:val="20"/>
          <w:szCs w:val="20"/>
          <w:color w:val="auto"/>
        </w:rPr>
      </w:pPr>
      <w:r>
        <w:rPr>
          <w:rFonts w:ascii="Times New Roman" w:cs="Times New Roman" w:eastAsia="Times New Roman" w:hAnsi="Times New Roman"/>
          <w:sz w:val="18"/>
          <w:szCs w:val="18"/>
          <w:color w:val="auto"/>
        </w:rPr>
        <w:t>Sales to non-U.S. customers, including U.S. government foreign military sales in which an end user is a foreign government, accounted for 28%, 52% and 62% of revenue for each of the fiscal years ended April 30, 2026, 2025 and 2024, respectively. For the fiscal years ended April 30, 2025 and 2024, Ukraine represented $149,600,000, or 18%, and $274,136,000, or 38%, respectively, of the Company’s consolidated revenues. The Company’s internationally deployed fixed assets for UGV was $5,062,000 and $5,033,000 as of April 30, 2026 and 2025, respectively. The Company’s internationally deployed in-service assets for MUAS was $5,472,000 and $1,486,000 as of April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8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4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16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Acquired from Costs and</w:t>
            </w:r>
          </w:p>
        </w:tc>
        <w:tc>
          <w:tcPr>
            <w:tcW w:w="140" w:type="dxa"/>
            <w:vAlign w:val="bottom"/>
          </w:tcPr>
          <w:p>
            <w:pPr>
              <w:spacing w:after="0"/>
              <w:rPr>
                <w:sz w:val="12"/>
                <w:szCs w:val="12"/>
                <w:color w:val="auto"/>
              </w:rPr>
            </w:pPr>
          </w:p>
        </w:tc>
        <w:tc>
          <w:tcPr>
            <w:tcW w:w="7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Allowance for credit losses for the year ended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right"/>
              <w:ind w:right="295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 for the year ended April 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right"/>
              <w:ind w:right="295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5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right"/>
              <w:ind w:right="295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5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28,672</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self-insured medical claims for the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right"/>
              <w:ind w:right="295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5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26,945</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 benefit relationship of possible controls and procedures. As required by Rules 13a-15(e) and 15d-15(e)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this assessment, our Chief Executive Officer and Chief Financial Officer concluded that our disclosure controls and procedures were not effective as of April 30, 2026, due to the material weaknesses in internal control over financial reporting described below.</w:t>
      </w:r>
    </w:p>
    <w:p>
      <w:pPr>
        <w:spacing w:after="0" w:line="187"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described below, management has concluded that the financial statements included in this Annual Report present fairly, in all material respects, our financial position, results of operations and cash flows in conformity with U.S. GAAP.</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w:t>
      </w:r>
    </w:p>
    <w:p>
      <w:pPr>
        <w:spacing w:after="0" w:line="162" w:lineRule="exact"/>
        <w:rPr>
          <w:sz w:val="20"/>
          <w:szCs w:val="20"/>
          <w:color w:val="auto"/>
        </w:rPr>
      </w:pPr>
    </w:p>
    <w:p>
      <w:pPr>
        <w:ind w:left="40" w:right="3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have evaluated the effectiveness of our internal control over financial reporting as of April 30, 2026, based on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(“COSO”). Based on this assessment, our Chief Executive Officer and Chief Financial Officer concluded that our disclosure controls and procedures were not effective as of April 30, 2026, due to the material weaknesses in internal control over financial reporting described below.</w:t>
      </w:r>
    </w:p>
    <w:p>
      <w:pPr>
        <w:spacing w:after="0" w:line="187"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Our assessment of the effectiveness of the Company’s internal control over financial reporting as of April 30, 2026 excludes the acquisition of BlueHalo which was acquired on May 1, 2025 and ESAero which was acquired on March 16, 2026, and whose combined financial statements constitute approximately 46% of total assets and 48% of total revenue of the consolidated financial statement amounts of the Company as of and for the year ended April 30, 2026.</w:t>
      </w:r>
    </w:p>
    <w:p>
      <w:pPr>
        <w:spacing w:after="0" w:line="180"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jc w:val="both"/>
        <w:ind w:left="40" w:right="419" w:firstLine="648"/>
        <w:spacing w:after="0" w:line="289" w:lineRule="auto"/>
        <w:rPr>
          <w:sz w:val="20"/>
          <w:szCs w:val="20"/>
          <w:color w:val="auto"/>
        </w:rPr>
      </w:pPr>
      <w:r>
        <w:rPr>
          <w:rFonts w:ascii="Times New Roman" w:cs="Times New Roman" w:eastAsia="Times New Roman" w:hAnsi="Times New Roman"/>
          <w:sz w:val="17"/>
          <w:szCs w:val="17"/>
          <w:color w:val="auto"/>
        </w:rPr>
        <w:t>Despite the exclusion of BlueHalo from our assessment of the effectiveness of the Company’s internal control over financial reporting as of April 30, 2026, we identified a material weakness in controls over the financial close and reporting process as a result of the BlueHalo acquisition. BlueHalo did not design and maintain effective information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technology (“IT”) general controls for certain information systems that are relevant to information used the preparation of BlueHalo’s financial reporting that is included in the consolidated financial statements of Aerovironment. Specifically, BlueHalo did not design and maintain user access controls to ensure appropriate segregation of duties and to adequately restrict user and privileged access to appropriate personnel. As a result, the automated controls and IT dependent manual business process controls that rely upon BlueHalo’s financial reporting information from the affected applications were deemed not effective.</w:t>
      </w:r>
    </w:p>
    <w:p>
      <w:pPr>
        <w:spacing w:after="0" w:line="187"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we determined that the error resulting in the restatement of our unaudited condensed consolidated financial statements for the quarter ended January 31, 2026 in the Amendment No. 1 on Form 10-Q/A, filed with the SEC on June 22, 2026, originated from a material weakness. The material weakness relates to the design of controls over the preparation and review of our goodwill impairment analysis. Specifically, we did not have a properly designed control requiring preparation and review of a reconciliation of goodwill by reporting unit.</w:t>
      </w:r>
    </w:p>
    <w:p>
      <w:pPr>
        <w:spacing w:after="0" w:line="183" w:lineRule="exact"/>
        <w:rPr>
          <w:sz w:val="20"/>
          <w:szCs w:val="20"/>
          <w:color w:val="auto"/>
        </w:rPr>
      </w:pPr>
    </w:p>
    <w:p>
      <w:pPr>
        <w:ind w:left="40" w:right="119"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April 30, 2026 has been audited by Deloitte &amp; Touche LLP, our independent registered public accounting firm, as stated in their report which is included herein.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175"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report, management’s remediation efforts are ongoing, and management has committed to a remediation plan to address the material weaknesses noted above. The remediation plan includes, but is not limited to, the following activities which have been performed or are in process:</w:t>
      </w:r>
    </w:p>
    <w:p>
      <w:pPr>
        <w:spacing w:after="0" w:line="122" w:lineRule="exact"/>
        <w:rPr>
          <w:sz w:val="20"/>
          <w:szCs w:val="20"/>
          <w:color w:val="auto"/>
        </w:rPr>
      </w:pPr>
    </w:p>
    <w:p>
      <w:pPr>
        <w:ind w:left="720" w:right="259" w:hanging="325"/>
        <w:spacing w:after="0" w:line="254"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material weakness related to information technology general controls over BlueHalo’s financial reporting, we have designed and are implementing enhancements to user access and program change management controls, including restricting administrator-level access, performing periodic user access reviews, and formalizing change management and data modification processes through documented and approved workflows.</w:t>
      </w:r>
    </w:p>
    <w:p>
      <w:pPr>
        <w:spacing w:after="0" w:line="3" w:lineRule="exact"/>
        <w:rPr>
          <w:rFonts w:ascii="Times New Roman" w:cs="Times New Roman" w:eastAsia="Times New Roman" w:hAnsi="Times New Roman"/>
          <w:sz w:val="18"/>
          <w:szCs w:val="18"/>
          <w:color w:val="auto"/>
        </w:rPr>
      </w:pPr>
    </w:p>
    <w:p>
      <w:pPr>
        <w:jc w:val="both"/>
        <w:ind w:left="720" w:right="699" w:hanging="325"/>
        <w:spacing w:after="0" w:line="255"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material weakness related to design of controls over the preparation and review of our goodwill impairment analysis, • Implemented a control over the preparation and review of a quarterly reconciliation of goodwill by reporting unit</w:t>
      </w:r>
    </w:p>
    <w:p>
      <w:pPr>
        <w:spacing w:after="0" w:line="132"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Remedial controls must operate for a sufficient period of time for a definitive conclusion, through testing, that the deficiencies have been remediated and, as such, management can give no assurance that the measures it has undertaken have remediated the material weaknesses that it has identified or that additional material weakness will not arise in the future. Management will continue to monitor the effectiveness of these and other processes, procedures, and controls and will make any further changes that management determines to be appropriate.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left="40" w:right="59" w:firstLine="648"/>
        <w:spacing w:after="0" w:line="289" w:lineRule="auto"/>
        <w:rPr>
          <w:sz w:val="20"/>
          <w:szCs w:val="20"/>
          <w:color w:val="auto"/>
        </w:rPr>
      </w:pPr>
      <w:r>
        <w:rPr>
          <w:rFonts w:ascii="Times New Roman" w:cs="Times New Roman" w:eastAsia="Times New Roman" w:hAnsi="Times New Roman"/>
          <w:sz w:val="17"/>
          <w:szCs w:val="17"/>
          <w:color w:val="auto"/>
        </w:rPr>
        <w:t>Except for the identification of the material weaknesses described above, there were no changes in our internal control over financial reporting as defined in Rules 13a-15(f) or 15d-15(f) that occurred during the quarter ended April 30, 2026 that have materially affected, or are reasonably likely to materially affect, our internal control over financial reporting.</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informed us of the adoption or termination of a “Rule 10b5-1 trading arrangement” or “non-Rule 10b5-1 trading arrangement,” as those terms are defined in Regulation S-K, Item 408 during the three-month period ended April 30, 2026.</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stockholders and the Board of Directors of AeroVironment, Inc.</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AeroVironment, Inc. and subsidiaries (the “Company”) as of April 30, 2026,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April 30, 2026, based on criteria established in Internal Control — Integrated Framework (2013) issued by COSO.</w:t>
      </w:r>
    </w:p>
    <w:p>
      <w:pPr>
        <w:spacing w:after="0" w:line="187"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April 30, 2026, of the Company and our report dated June 29, 2026, expressed an unqualified opinion on those financial statements.</w:t>
      </w:r>
    </w:p>
    <w:p>
      <w:pPr>
        <w:spacing w:after="0" w:line="1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BlueHalo, LLC and subsidiaries (collectively, “BlueHalo”), which was acquired on May 1, 2025, and Empirical Systems Aerospace, Inc. (“ESAero”), which was acquired on March 16, 2026, and whose financial statements constitute 46% of total assets and 48% of total revenue of the consolidated financial statement amounts as of and for the year ended April 30, 2026. Accordingly, our audit did not include the internal control over financial reporting at BlueHalo and ESAero.</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229"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80" w:lineRule="exact"/>
        <w:rPr>
          <w:sz w:val="20"/>
          <w:szCs w:val="20"/>
          <w:color w:val="auto"/>
        </w:rPr>
      </w:pPr>
    </w:p>
    <w:p>
      <w:pPr>
        <w:jc w:val="both"/>
        <w:ind w:left="720" w:right="79" w:hanging="325"/>
        <w:spacing w:after="0" w:line="266"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design of controls over the preparation and review of the Company’s goodwill impairment analysis. Specifically, the Company did not have a properly designed control requiring preparation and review of a reconciliation of goodwill by reporting unit.</w:t>
      </w:r>
    </w:p>
    <w:p>
      <w:pPr>
        <w:spacing w:after="0" w:line="175" w:lineRule="exact"/>
        <w:rPr>
          <w:rFonts w:ascii="Times New Roman" w:cs="Times New Roman" w:eastAsia="Times New Roman" w:hAnsi="Times New Roman"/>
          <w:sz w:val="18"/>
          <w:szCs w:val="18"/>
          <w:color w:val="auto"/>
        </w:rPr>
      </w:pPr>
    </w:p>
    <w:p>
      <w:pPr>
        <w:jc w:val="both"/>
        <w:ind w:left="720" w:right="59" w:hanging="325"/>
        <w:spacing w:after="0" w:line="256"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general information technology controls (“GITCs”) for certain information technology (“IT”) systems that are relevant to the preparation of BlueHalo’s financial reporting that is included in the consolidated financial statements of AeroVironment. Specifically, BlueHalo did not design and maintain user access controls to ensure appropriate segregation of duties and to adequately restrict user and privileged access to appropriate personnel. As a result, the automated controls and IT dependent manual business process controls that rely upon BlueHalo’s financial reporting information from the affected applications were deemed not effective.</w:t>
      </w:r>
    </w:p>
    <w:p>
      <w:pPr>
        <w:spacing w:after="0" w:line="187"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These material weaknesses were considered in determining the nature, timing, and extent of audit tests applied in our audit of the consolidated financial statements as of and for the year ended April 30, 2026, of the Company, and this report does not affect our report on such financial statements.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29, 2026</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Certain information required by Item 401, Item 405, Item 407(c)(3) and Items 407(d)(4) and (d)(5)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Regulation S-K will be included in the definitive proxy statement for our 2026 Annual Meeting of Stockholders, which will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 filed no later than 120 days after April 30, 2026, and that information is incorporated by reference herein.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Codes of Ethics</w:t>
      </w:r>
    </w:p>
    <w:p>
      <w:pPr>
        <w:spacing w:after="0" w:line="22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(“Code of Conduct”). The Code of Conduct is posted on our website, http://investor.avinc.com/corporate-governance.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(805) 520-8350 or by writing to us at AeroVironment, Inc., Attn: Secretary, 900 Innovators Way, Simi Valley, California 93065. The information contained on or connected to our website is not incorporated by reference into this Annual Report and should not be considered part of this or any reported filed with the SEC.</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family relationships exist among any of our executive officers or directors.</w:t>
      </w:r>
    </w:p>
    <w:p>
      <w:pPr>
        <w:spacing w:after="0" w:line="225"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our board of directors.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addressing our policies and procedures governing securities trading by our directors, officers, employees and certain other service providers, intended to promote compliance with insider trading laws, rules and regulations, including Nasdaq listing standards, applicable to the company and such personnel. A copy of the current Insider Trading Policy is filed with this Annual Report on Form 10-K as Exhibit 19.</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402 and Items 407(e)(4) and (5) of Regulation S-K will be included in the definitive proxy statement for our 2026 Annual Meeting of Stockholders, and that information is incorporated by reference herein.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201(d) and Item 403 of Regulation S-K will be included in the definitive proxy statement for our 2026 Annual Meeting of Stockholders, and that information is incorporated by reference herein.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404 and Item 407(a) of Regulation S-K will be included in the definitive proxy statement for our 2026 Annual Meeting of Stockholders, and that information is incorporated by reference herein.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independent public accounting firm is Deloitte &amp; Touche LLP, Los Angeles, California, PCAOB Auditor ID</w:t>
      </w:r>
    </w:p>
    <w:p>
      <w:pPr>
        <w:spacing w:after="0" w:line="27" w:lineRule="exact"/>
        <w:rPr>
          <w:sz w:val="20"/>
          <w:szCs w:val="20"/>
          <w:color w:val="auto"/>
        </w:rPr>
      </w:pPr>
    </w:p>
    <w:p>
      <w:pPr>
        <w:ind w:left="40" w:right="179" w:firstLine="4"/>
        <w:spacing w:after="0" w:line="250" w:lineRule="auto"/>
        <w:tabs>
          <w:tab w:leader="none" w:pos="3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14 of Form 10-K will be included in the definitive proxy statement for our 2026 Annual Meeting of Stockholders, and that information is incorporated by reference herein.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2" w:lineRule="exact"/>
        <w:rPr>
          <w:sz w:val="20"/>
          <w:szCs w:val="20"/>
          <w:color w:val="auto"/>
        </w:rPr>
      </w:pPr>
    </w:p>
    <w:p>
      <w:pPr>
        <w:ind w:left="700" w:hanging="656"/>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filed as part of this Annual Report:</w:t>
      </w:r>
    </w:p>
    <w:p>
      <w:pPr>
        <w:spacing w:after="0" w:line="180"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Financial Statements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w:t>
      </w:r>
    </w:p>
    <w:p>
      <w:pPr>
        <w:spacing w:after="0" w:line="198" w:lineRule="exact"/>
        <w:rPr>
          <w:sz w:val="20"/>
          <w:szCs w:val="20"/>
          <w:color w:val="auto"/>
        </w:rPr>
      </w:pPr>
    </w:p>
    <w:p>
      <w:pPr>
        <w:ind w:left="1040" w:hanging="321"/>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at April 30, 2026 and 2025</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(Loss) for the Years Ended April 30, 2026, 2025 and 2024</w:t>
      </w:r>
    </w:p>
    <w:p>
      <w:pPr>
        <w:spacing w:after="0" w:line="198" w:lineRule="exact"/>
        <w:rPr>
          <w:rFonts w:ascii="Times New Roman" w:cs="Times New Roman" w:eastAsia="Times New Roman" w:hAnsi="Times New Roman"/>
          <w:sz w:val="18"/>
          <w:szCs w:val="18"/>
          <w:color w:val="auto"/>
        </w:rPr>
      </w:pPr>
    </w:p>
    <w:p>
      <w:pPr>
        <w:ind w:left="1040" w:right="399" w:hanging="321"/>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Years Ended April 30, 2026, 2025 and 2024</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April 30, 2026, 2025 and 2024</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April 30, 2026, 2025 and 2024</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Schedule is included in Item 8:</w:t>
      </w:r>
    </w:p>
    <w:p>
      <w:pPr>
        <w:spacing w:after="0" w:line="198" w:lineRule="exact"/>
        <w:rPr>
          <w:sz w:val="20"/>
          <w:szCs w:val="20"/>
          <w:color w:val="auto"/>
        </w:rPr>
      </w:pPr>
    </w:p>
    <w:p>
      <w:pPr>
        <w:ind w:left="1040" w:hanging="321"/>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225" w:lineRule="exact"/>
        <w:rPr>
          <w:sz w:val="20"/>
          <w:szCs w:val="20"/>
          <w:color w:val="auto"/>
        </w:rPr>
      </w:pPr>
    </w:p>
    <w:p>
      <w:pPr>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15(b) of this report below.</w:t>
      </w:r>
    </w:p>
    <w:p>
      <w:pPr>
        <w:spacing w:after="0" w:line="225" w:lineRule="exact"/>
        <w:rPr>
          <w:sz w:val="20"/>
          <w:szCs w:val="20"/>
          <w:color w:val="auto"/>
        </w:rPr>
      </w:pPr>
    </w:p>
    <w:p>
      <w:pPr>
        <w:ind w:left="700" w:hanging="65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8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320" w:type="dxa"/>
            <w:vAlign w:val="bottom"/>
            <w:gridSpan w:val="2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80" w:type="dxa"/>
            <w:vAlign w:val="bottom"/>
            <w:gridSpan w:val="8"/>
            <w:vMerge w:val="continue"/>
          </w:tcPr>
          <w:p>
            <w:pPr>
              <w:spacing w:after="0"/>
              <w:rPr>
                <w:sz w:val="15"/>
                <w:szCs w:val="15"/>
                <w:color w:val="auto"/>
              </w:rPr>
            </w:pPr>
          </w:p>
        </w:tc>
        <w:tc>
          <w:tcPr>
            <w:tcW w:w="4320" w:type="dxa"/>
            <w:vAlign w:val="bottom"/>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2.1*(22)</w:t>
            </w:r>
          </w:p>
        </w:tc>
        <w:tc>
          <w:tcPr>
            <w:tcW w:w="160" w:type="dxa"/>
            <w:vAlign w:val="bottom"/>
          </w:tcPr>
          <w:p>
            <w:pPr>
              <w:spacing w:after="0"/>
              <w:rPr>
                <w:sz w:val="14"/>
                <w:szCs w:val="14"/>
                <w:color w:val="auto"/>
              </w:rPr>
            </w:pPr>
          </w:p>
        </w:tc>
        <w:tc>
          <w:tcPr>
            <w:tcW w:w="7560" w:type="dxa"/>
            <w:vAlign w:val="bottom"/>
            <w:tcBorders>
              <w:top w:val="single" w:sz="8" w:color="auto"/>
              <w:bottom w:val="single" w:sz="8" w:color="0000EE"/>
            </w:tcBorders>
            <w:gridSpan w:val="26"/>
          </w:tcPr>
          <w:p>
            <w:pPr>
              <w:spacing w:after="0" w:line="169"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Agreement and Plan of Merger, dated as of August 18, 2023, by and among AeroVironment, Inc., Tropic</w:t>
              </w:r>
            </w:hyperlink>
          </w:p>
        </w:tc>
        <w:tc>
          <w:tcPr>
            <w:tcW w:w="280" w:type="dxa"/>
            <w:vAlign w:val="bottom"/>
            <w:tcBorders>
              <w:top w:val="single" w:sz="8" w:color="auto"/>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3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Merger Sub, Inc., Tomahawk Robotics, Inc., and Shareholder Representative Services LLC, solely in its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capacity as the Stockholder Representative.</w:t>
              </w:r>
            </w:hyperlink>
          </w:p>
        </w:tc>
        <w:tc>
          <w:tcPr>
            <w:tcW w:w="7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2.2*(26)</w:t>
            </w:r>
          </w:p>
        </w:tc>
        <w:tc>
          <w:tcPr>
            <w:tcW w:w="160" w:type="dxa"/>
            <w:vAlign w:val="bottom"/>
          </w:tcPr>
          <w:p>
            <w:pPr>
              <w:spacing w:after="0"/>
              <w:rPr>
                <w:sz w:val="17"/>
                <w:szCs w:val="17"/>
                <w:color w:val="auto"/>
              </w:rPr>
            </w:pPr>
          </w:p>
        </w:tc>
        <w:tc>
          <w:tcPr>
            <w:tcW w:w="7840" w:type="dxa"/>
            <w:vAlign w:val="bottom"/>
            <w:gridSpan w:val="3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Agreement and Plan of Merger, dated November 18, 2024, by and among the Company, Merger Sub,</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BlueHalo and Seller</w:t>
              </w:r>
            </w:hyperlink>
          </w:p>
        </w:tc>
        <w:tc>
          <w:tcPr>
            <w:tcW w:w="7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3.1(26)</w:t>
            </w:r>
          </w:p>
        </w:tc>
        <w:tc>
          <w:tcPr>
            <w:tcW w:w="160" w:type="dxa"/>
            <w:vAlign w:val="bottom"/>
          </w:tcPr>
          <w:p>
            <w:pPr>
              <w:spacing w:after="0"/>
              <w:rPr>
                <w:sz w:val="17"/>
                <w:szCs w:val="17"/>
                <w:color w:val="auto"/>
              </w:rPr>
            </w:pPr>
          </w:p>
        </w:tc>
        <w:tc>
          <w:tcPr>
            <w:tcW w:w="70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Amended and Restated Certificate of Incorporation of AeroVironment, Inc. dated October 1, 2024</w:t>
              </w:r>
            </w:hyperlink>
          </w:p>
        </w:tc>
        <w:tc>
          <w:tcPr>
            <w:tcW w:w="7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 (31)</w:t>
            </w:r>
          </w:p>
        </w:tc>
        <w:tc>
          <w:tcPr>
            <w:tcW w:w="160" w:type="dxa"/>
            <w:vAlign w:val="bottom"/>
          </w:tcPr>
          <w:p>
            <w:pPr>
              <w:spacing w:after="0"/>
              <w:rPr>
                <w:sz w:val="17"/>
                <w:szCs w:val="17"/>
                <w:color w:val="auto"/>
              </w:rPr>
            </w:pPr>
          </w:p>
        </w:tc>
        <w:tc>
          <w:tcPr>
            <w:tcW w:w="7840" w:type="dxa"/>
            <w:vAlign w:val="bottom"/>
            <w:gridSpan w:val="33"/>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Sixth Amended and Restated Bylaws of AeroVironment, Inc., amended as of November 20, 2025</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4.1(1)</w:t>
            </w:r>
          </w:p>
        </w:tc>
        <w:tc>
          <w:tcPr>
            <w:tcW w:w="160" w:type="dxa"/>
            <w:vAlign w:val="bottom"/>
          </w:tcPr>
          <w:p>
            <w:pPr>
              <w:spacing w:after="0"/>
              <w:rPr>
                <w:sz w:val="17"/>
                <w:szCs w:val="17"/>
                <w:color w:val="auto"/>
              </w:rPr>
            </w:pPr>
          </w:p>
        </w:tc>
        <w:tc>
          <w:tcPr>
            <w:tcW w:w="70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AeroVironment, Inc.’s Common Stock Certificate</w:t>
              </w:r>
            </w:hyperlink>
          </w:p>
        </w:tc>
        <w:tc>
          <w:tcPr>
            <w:tcW w:w="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4.2(2)</w:t>
            </w:r>
          </w:p>
        </w:tc>
        <w:tc>
          <w:tcPr>
            <w:tcW w:w="160" w:type="dxa"/>
            <w:vAlign w:val="bottom"/>
          </w:tcPr>
          <w:p>
            <w:pPr>
              <w:spacing w:after="0"/>
              <w:rPr>
                <w:sz w:val="17"/>
                <w:szCs w:val="17"/>
                <w:color w:val="auto"/>
              </w:rPr>
            </w:pPr>
          </w:p>
        </w:tc>
        <w:tc>
          <w:tcPr>
            <w:tcW w:w="35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Description of Registrant’s Securities</w:t>
              </w:r>
            </w:hyperlink>
          </w:p>
        </w:tc>
        <w:tc>
          <w:tcPr>
            <w:tcW w:w="70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4.3(29)</w:t>
            </w:r>
          </w:p>
        </w:tc>
        <w:tc>
          <w:tcPr>
            <w:tcW w:w="160" w:type="dxa"/>
            <w:vAlign w:val="bottom"/>
          </w:tcPr>
          <w:p>
            <w:pPr>
              <w:spacing w:after="0"/>
              <w:rPr>
                <w:sz w:val="17"/>
                <w:szCs w:val="17"/>
                <w:color w:val="auto"/>
              </w:rPr>
            </w:pPr>
          </w:p>
        </w:tc>
        <w:tc>
          <w:tcPr>
            <w:tcW w:w="7840" w:type="dxa"/>
            <w:vAlign w:val="bottom"/>
            <w:gridSpan w:val="33"/>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Indenture, dated as of July 3, 2025, between AeroVironment, Inc. and U.S. Bank Trust Company, National</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Association, as trustee.</w:t>
              </w:r>
            </w:hyperlink>
          </w:p>
        </w:tc>
        <w:tc>
          <w:tcPr>
            <w:tcW w:w="7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4.4(29)</w:t>
            </w:r>
          </w:p>
        </w:tc>
        <w:tc>
          <w:tcPr>
            <w:tcW w:w="160" w:type="dxa"/>
            <w:vAlign w:val="bottom"/>
          </w:tcPr>
          <w:p>
            <w:pPr>
              <w:spacing w:after="0"/>
              <w:rPr>
                <w:sz w:val="17"/>
                <w:szCs w:val="17"/>
                <w:color w:val="auto"/>
              </w:rPr>
            </w:pPr>
          </w:p>
        </w:tc>
        <w:tc>
          <w:tcPr>
            <w:tcW w:w="7840" w:type="dxa"/>
            <w:vAlign w:val="bottom"/>
            <w:gridSpan w:val="33"/>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First Supplemental Indenture, dated as of July 3, 2025, between AeroVironment, Inc. and U.S. Bank Trust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Company, National Association, as trustee.</w:t>
              </w:r>
            </w:hyperlink>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4.5(29)</w:t>
            </w:r>
          </w:p>
        </w:tc>
        <w:tc>
          <w:tcPr>
            <w:tcW w:w="160" w:type="dxa"/>
            <w:vAlign w:val="bottom"/>
          </w:tcPr>
          <w:p>
            <w:pPr>
              <w:spacing w:after="0"/>
              <w:rPr>
                <w:sz w:val="17"/>
                <w:szCs w:val="17"/>
                <w:color w:val="auto"/>
              </w:rPr>
            </w:pPr>
          </w:p>
        </w:tc>
        <w:tc>
          <w:tcPr>
            <w:tcW w:w="7840" w:type="dxa"/>
            <w:vAlign w:val="bottom"/>
            <w:gridSpan w:val="33"/>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certificate representing the 0% Convertible Senior Notes due 2030 (included as Exhibit A in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Exhibit 4.4).</w:t>
              </w:r>
            </w:hyperlink>
          </w:p>
        </w:tc>
        <w:tc>
          <w:tcPr>
            <w:tcW w:w="2600" w:type="dxa"/>
            <w:vAlign w:val="bottom"/>
            <w:tcBorders>
              <w:top w:val="single" w:sz="8" w:color="0000EE"/>
            </w:tcBorders>
            <w:gridSpan w:val="6"/>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7"/>
                <w:szCs w:val="17"/>
                <w:color w:val="auto"/>
              </w:rPr>
            </w:pPr>
          </w:p>
        </w:tc>
        <w:tc>
          <w:tcPr>
            <w:tcW w:w="7840" w:type="dxa"/>
            <w:vAlign w:val="bottom"/>
            <w:gridSpan w:val="33"/>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Director and Executive Officer Indemnification Agreement</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AeroVironment, Inc. 2006 Equity Incentive Plan</w:t>
              </w:r>
            </w:hyperlink>
          </w:p>
        </w:tc>
        <w:tc>
          <w:tcPr>
            <w:tcW w:w="7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15"/>
                <w:szCs w:val="15"/>
                <w:color w:val="auto"/>
              </w:rPr>
            </w:pPr>
          </w:p>
        </w:tc>
        <w:tc>
          <w:tcPr>
            <w:tcW w:w="3520" w:type="dxa"/>
            <w:vAlign w:val="bottom"/>
            <w:gridSpan w:val="7"/>
          </w:tcPr>
          <w:p>
            <w:pPr>
              <w:spacing w:after="0" w:line="182" w:lineRule="exact"/>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AeroVironment, Inc. 2006 Equity Incentive Plan,</w:t>
              </w:r>
            </w:hyperlink>
          </w:p>
        </w:tc>
        <w:tc>
          <w:tcPr>
            <w:tcW w:w="4320" w:type="dxa"/>
            <w:vAlign w:val="bottom"/>
            <w:gridSpan w:val="26"/>
          </w:tcPr>
          <w:p>
            <w:pPr>
              <w:ind w:left="80"/>
              <w:spacing w:after="0" w:line="182"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as amended and restated effective September 29, 2011</w:t>
              </w:r>
            </w:hyperlink>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15"/>
                <w:szCs w:val="15"/>
                <w:color w:val="auto"/>
              </w:rPr>
            </w:pPr>
          </w:p>
        </w:tc>
        <w:tc>
          <w:tcPr>
            <w:tcW w:w="7500" w:type="dxa"/>
            <w:vAlign w:val="bottom"/>
            <w:tcBorders>
              <w:top w:val="single" w:sz="8" w:color="0000EE"/>
              <w:bottom w:val="single" w:sz="8" w:color="0000EE"/>
            </w:tcBorders>
            <w:gridSpan w:val="23"/>
          </w:tcPr>
          <w:p>
            <w:pPr>
              <w:spacing w:after="0" w:line="182"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AeroVironment, Inc. 2006 Equity Incentive Plan, as amended and restated effective September 30, 2016</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10.5#(1)</w:t>
            </w:r>
          </w:p>
        </w:tc>
        <w:tc>
          <w:tcPr>
            <w:tcW w:w="160" w:type="dxa"/>
            <w:vAlign w:val="bottom"/>
          </w:tcPr>
          <w:p>
            <w:pPr>
              <w:spacing w:after="0"/>
              <w:rPr>
                <w:sz w:val="15"/>
                <w:szCs w:val="15"/>
                <w:color w:val="auto"/>
              </w:rPr>
            </w:pPr>
          </w:p>
        </w:tc>
        <w:tc>
          <w:tcPr>
            <w:tcW w:w="7100" w:type="dxa"/>
            <w:vAlign w:val="bottom"/>
            <w:tcBorders>
              <w:bottom w:val="single" w:sz="8" w:color="0000EE"/>
            </w:tcBorders>
            <w:gridSpan w:val="18"/>
          </w:tcPr>
          <w:p>
            <w:pPr>
              <w:spacing w:after="0" w:line="182"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Stock Option Agreement pursuant to the AeroVironment, Inc. 2006 Equity Incentive Plan</w:t>
              </w:r>
            </w:hyperlink>
          </w:p>
        </w:tc>
        <w:tc>
          <w:tcPr>
            <w:tcW w:w="440" w:type="dxa"/>
            <w:vAlign w:val="bottom"/>
            <w:gridSpan w:val="7"/>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10.6#(1)</w:t>
            </w:r>
          </w:p>
        </w:tc>
        <w:tc>
          <w:tcPr>
            <w:tcW w:w="160" w:type="dxa"/>
            <w:vAlign w:val="bottom"/>
          </w:tcPr>
          <w:p>
            <w:pPr>
              <w:spacing w:after="0"/>
              <w:rPr>
                <w:sz w:val="15"/>
                <w:szCs w:val="15"/>
                <w:color w:val="auto"/>
              </w:rPr>
            </w:pPr>
          </w:p>
        </w:tc>
        <w:tc>
          <w:tcPr>
            <w:tcW w:w="7840" w:type="dxa"/>
            <w:vAlign w:val="bottom"/>
            <w:gridSpan w:val="33"/>
          </w:tcPr>
          <w:p>
            <w:pPr>
              <w:spacing w:after="0" w:line="182"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Performance Based Bonus Award pursuant to the AeroVironment, Inc. 2006 Equity Incentive Plan</w:t>
              </w:r>
            </w:hyperlink>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10.7#(6)</w:t>
            </w:r>
          </w:p>
        </w:tc>
        <w:tc>
          <w:tcPr>
            <w:tcW w:w="160" w:type="dxa"/>
            <w:vAlign w:val="bottom"/>
          </w:tcPr>
          <w:p>
            <w:pPr>
              <w:spacing w:after="0"/>
              <w:rPr>
                <w:sz w:val="15"/>
                <w:szCs w:val="15"/>
                <w:color w:val="auto"/>
              </w:rPr>
            </w:pPr>
          </w:p>
        </w:tc>
        <w:tc>
          <w:tcPr>
            <w:tcW w:w="772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Long-Term Compensation Award Grant Notice and Long-Term Compensation Award Agreement</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Pr>
          <w:p>
            <w:pPr>
              <w:spacing w:after="0"/>
              <w:rPr>
                <w:sz w:val="14"/>
                <w:szCs w:val="14"/>
                <w:color w:val="auto"/>
              </w:rPr>
            </w:pPr>
          </w:p>
        </w:tc>
        <w:tc>
          <w:tcPr>
            <w:tcW w:w="7660" w:type="dxa"/>
            <w:vAlign w:val="bottom"/>
            <w:tcBorders>
              <w:top w:val="single" w:sz="8" w:color="0000EE"/>
            </w:tcBorders>
            <w:gridSpan w:val="28"/>
          </w:tcPr>
          <w:p>
            <w:pPr>
              <w:spacing w:after="0" w:line="169"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pursuant to the AeroVironment, Inc. 2006 Equity Incentive Plan</w:t>
              </w:r>
            </w:hyperlink>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gridSpan w:val="33"/>
          </w:tcPr>
          <w:p>
            <w:pPr>
              <w:spacing w:after="0" w:line="182"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Restricted Stock Award Grant Notice and Restricted Stock Award Agreement (Severance Plan</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14"/>
                <w:szCs w:val="14"/>
                <w:color w:val="auto"/>
              </w:rPr>
            </w:pPr>
          </w:p>
        </w:tc>
        <w:tc>
          <w:tcPr>
            <w:tcW w:w="7420" w:type="dxa"/>
            <w:vAlign w:val="bottom"/>
            <w:tcBorders>
              <w:top w:val="single" w:sz="8" w:color="0000EE"/>
            </w:tcBorders>
            <w:gridSpan w:val="22"/>
          </w:tcPr>
          <w:p>
            <w:pPr>
              <w:spacing w:after="0" w:line="169"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Participants) pursuant to the AeroVironment, Inc. 2006 Equity Incentive Plan</w:t>
              </w:r>
            </w:hyperlink>
          </w:p>
        </w:tc>
        <w:tc>
          <w:tcPr>
            <w:tcW w:w="10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58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Restricted Stock Award Grant Notice and Restricted Stock Award</w:t>
              </w:r>
            </w:hyperlink>
          </w:p>
        </w:tc>
        <w:tc>
          <w:tcPr>
            <w:tcW w:w="2260" w:type="dxa"/>
            <w:vAlign w:val="bottom"/>
            <w:gridSpan w:val="20"/>
          </w:tcPr>
          <w:p>
            <w:pPr>
              <w:spacing w:after="0" w:line="182" w:lineRule="exact"/>
              <w:rPr>
                <w:rFonts w:ascii="Times New Roman" w:cs="Times New Roman" w:eastAsia="Times New Roman" w:hAnsi="Times New Roman"/>
                <w:sz w:val="18"/>
                <w:szCs w:val="18"/>
                <w:color w:val="0000EE"/>
                <w:w w:val="94"/>
              </w:rPr>
            </w:pPr>
            <w:hyperlink r:id="rId154">
              <w:r>
                <w:rPr>
                  <w:rFonts w:ascii="Times New Roman" w:cs="Times New Roman" w:eastAsia="Times New Roman" w:hAnsi="Times New Roman"/>
                  <w:sz w:val="18"/>
                  <w:szCs w:val="18"/>
                  <w:color w:val="0000EE"/>
                  <w:w w:val="94"/>
                </w:rPr>
                <w:t>Agreement (Non-Severance Plan</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10.10#(7)</w:t>
            </w:r>
          </w:p>
        </w:tc>
        <w:tc>
          <w:tcPr>
            <w:tcW w:w="160" w:type="dxa"/>
            <w:vAlign w:val="bottom"/>
          </w:tcPr>
          <w:p>
            <w:pPr>
              <w:spacing w:after="0"/>
              <w:rPr>
                <w:sz w:val="14"/>
                <w:szCs w:val="14"/>
                <w:color w:val="auto"/>
              </w:rPr>
            </w:pPr>
          </w:p>
        </w:tc>
        <w:tc>
          <w:tcPr>
            <w:tcW w:w="7800" w:type="dxa"/>
            <w:vAlign w:val="bottom"/>
            <w:tcBorders>
              <w:top w:val="single" w:sz="8" w:color="0000EE"/>
            </w:tcBorders>
            <w:gridSpan w:val="32"/>
          </w:tcPr>
          <w:p>
            <w:pPr>
              <w:spacing w:after="0" w:line="169"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Participants) pursuant to the AeroVironment, Inc. 2006 Equity Incentive Plan</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58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Restricted Stock Award Grant Notice and Restricted Stock Award</w:t>
              </w:r>
            </w:hyperlink>
          </w:p>
        </w:tc>
        <w:tc>
          <w:tcPr>
            <w:tcW w:w="2260" w:type="dxa"/>
            <w:vAlign w:val="bottom"/>
            <w:gridSpan w:val="20"/>
          </w:tcPr>
          <w:p>
            <w:pPr>
              <w:spacing w:after="0" w:line="182"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Agreement (Non-Management</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10.11#(7)</w:t>
            </w:r>
          </w:p>
        </w:tc>
        <w:tc>
          <w:tcPr>
            <w:tcW w:w="160" w:type="dxa"/>
            <w:vAlign w:val="bottom"/>
          </w:tcPr>
          <w:p>
            <w:pPr>
              <w:spacing w:after="0"/>
              <w:rPr>
                <w:sz w:val="14"/>
                <w:szCs w:val="14"/>
                <w:color w:val="auto"/>
              </w:rPr>
            </w:pPr>
          </w:p>
        </w:tc>
        <w:tc>
          <w:tcPr>
            <w:tcW w:w="5400" w:type="dxa"/>
            <w:vAlign w:val="bottom"/>
            <w:tcBorders>
              <w:top w:val="single" w:sz="8" w:color="0000EE"/>
              <w:bottom w:val="single" w:sz="8" w:color="0000EE"/>
            </w:tcBorders>
            <w:gridSpan w:val="12"/>
          </w:tcPr>
          <w:p>
            <w:pPr>
              <w:spacing w:after="0" w:line="169"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Directors) pursuant to the AeroVironment, Inc. 2006 Equity Incentive Plan</w:t>
              </w:r>
            </w:hyperlink>
          </w:p>
        </w:tc>
        <w:tc>
          <w:tcPr>
            <w:tcW w:w="2240" w:type="dxa"/>
            <w:vAlign w:val="bottom"/>
            <w:tcBorders>
              <w:top w:val="single" w:sz="8" w:color="0000EE"/>
            </w:tcBorders>
            <w:gridSpan w:val="15"/>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gridSpan w:val="33"/>
          </w:tcPr>
          <w:p>
            <w:pPr>
              <w:spacing w:after="0" w:line="182"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Performance Restricted Stock Unit Award Grant Notice and Performance Restricted Stock Unit</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10.12#(30)</w:t>
            </w:r>
          </w:p>
        </w:tc>
        <w:tc>
          <w:tcPr>
            <w:tcW w:w="160" w:type="dxa"/>
            <w:vAlign w:val="bottom"/>
          </w:tcPr>
          <w:p>
            <w:pPr>
              <w:spacing w:after="0"/>
              <w:rPr>
                <w:sz w:val="14"/>
                <w:szCs w:val="14"/>
                <w:color w:val="auto"/>
              </w:rPr>
            </w:pPr>
          </w:p>
        </w:tc>
        <w:tc>
          <w:tcPr>
            <w:tcW w:w="7520" w:type="dxa"/>
            <w:vAlign w:val="bottom"/>
            <w:tcBorders>
              <w:top w:val="single" w:sz="8" w:color="0000EE"/>
            </w:tcBorders>
            <w:gridSpan w:val="24"/>
          </w:tcPr>
          <w:p>
            <w:pPr>
              <w:spacing w:after="0" w:line="169"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Award Agreement pursuant to the AeroVironment, Inc. 2006 Equity Incentive Plan</w:t>
              </w:r>
            </w:hyperlink>
          </w:p>
        </w:tc>
        <w:tc>
          <w:tcPr>
            <w:tcW w:w="260" w:type="dxa"/>
            <w:vAlign w:val="bottom"/>
            <w:gridSpan w:val="7"/>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Amended and Restated AeroVironment, Inc. 2021 Equity Incentive Plan</w:t>
              </w:r>
            </w:hyperlink>
          </w:p>
        </w:tc>
        <w:tc>
          <w:tcPr>
            <w:tcW w:w="1360" w:type="dxa"/>
            <w:vAlign w:val="bottom"/>
            <w:gridSpan w:val="6"/>
          </w:tcPr>
          <w:p>
            <w:pPr>
              <w:spacing w:after="0"/>
              <w:rPr>
                <w:sz w:val="15"/>
                <w:szCs w:val="15"/>
                <w:color w:val="auto"/>
              </w:rPr>
            </w:pPr>
          </w:p>
        </w:tc>
        <w:tc>
          <w:tcPr>
            <w:tcW w:w="440" w:type="dxa"/>
            <w:vAlign w:val="bottom"/>
            <w:gridSpan w:val="10"/>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10.13#(8)</w:t>
            </w:r>
          </w:p>
        </w:tc>
        <w:tc>
          <w:tcPr>
            <w:tcW w:w="16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3660" w:type="dxa"/>
            <w:vAlign w:val="bottom"/>
            <w:gridSpan w:val="8"/>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gridSpan w:val="33"/>
          </w:tcPr>
          <w:p>
            <w:pPr>
              <w:spacing w:after="0" w:line="182"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Stock Option Grant Notice and Stock Option Agreement pursuant to the AeroVironment, Inc. 2021</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10.14#(8)</w:t>
            </w:r>
          </w:p>
        </w:tc>
        <w:tc>
          <w:tcPr>
            <w:tcW w:w="160" w:type="dxa"/>
            <w:vAlign w:val="bottom"/>
          </w:tcPr>
          <w:p>
            <w:pPr>
              <w:spacing w:after="0"/>
              <w:rPr>
                <w:sz w:val="14"/>
                <w:szCs w:val="14"/>
                <w:color w:val="auto"/>
              </w:rPr>
            </w:pPr>
          </w:p>
        </w:tc>
        <w:tc>
          <w:tcPr>
            <w:tcW w:w="3520" w:type="dxa"/>
            <w:vAlign w:val="bottom"/>
            <w:tcBorders>
              <w:top w:val="single" w:sz="8" w:color="0000EE"/>
            </w:tcBorders>
            <w:gridSpan w:val="7"/>
          </w:tcPr>
          <w:p>
            <w:pPr>
              <w:spacing w:after="0" w:line="169"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Equity Incentive Plan</w:t>
              </w:r>
            </w:hyperlink>
          </w:p>
        </w:tc>
        <w:tc>
          <w:tcPr>
            <w:tcW w:w="70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120" w:type="dxa"/>
            <w:vAlign w:val="bottom"/>
            <w:gridSpan w:val="11"/>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gridSpan w:val="33"/>
          </w:tcPr>
          <w:p>
            <w:pPr>
              <w:spacing w:after="0" w:line="182"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Restricted Stock Award Grant Notice and Restricted Stock Award Agreement pursuant to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80" w:type="dxa"/>
            <w:vAlign w:val="bottom"/>
            <w:tcBorders>
              <w:top w:val="single" w:sz="8" w:color="0000EE"/>
              <w:bottom w:val="single" w:sz="8" w:color="0000EE"/>
            </w:tcBorders>
            <w:gridSpan w:val="14"/>
          </w:tcPr>
          <w:p>
            <w:pPr>
              <w:spacing w:after="0" w:line="169"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AeroVironment, Inc. 2021 Equity Incentive Plan (Severance Plan Participants)</w:t>
              </w:r>
            </w:hyperlink>
          </w:p>
        </w:tc>
        <w:tc>
          <w:tcPr>
            <w:tcW w:w="1660" w:type="dxa"/>
            <w:vAlign w:val="bottom"/>
            <w:tcBorders>
              <w:top w:val="single" w:sz="8" w:color="0000EE"/>
            </w:tcBorders>
            <w:gridSpan w:val="7"/>
          </w:tcPr>
          <w:p>
            <w:pPr>
              <w:spacing w:after="0"/>
              <w:rPr>
                <w:sz w:val="14"/>
                <w:szCs w:val="14"/>
                <w:color w:val="auto"/>
              </w:rPr>
            </w:pPr>
          </w:p>
        </w:tc>
        <w:tc>
          <w:tcPr>
            <w:tcW w:w="5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60"/>
        <w:spacing w:after="0"/>
        <w:tabs>
          <w:tab w:leader="none" w:pos="1020" w:val="left"/>
          <w:tab w:leader="none" w:pos="48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42" w:lineRule="exact"/>
        <w:rPr>
          <w:sz w:val="20"/>
          <w:szCs w:val="20"/>
          <w:color w:val="auto"/>
        </w:rPr>
      </w:pPr>
    </w:p>
    <w:p>
      <w:pPr>
        <w:jc w:val="center"/>
        <w:ind w:left="40" w:right="439"/>
        <w:spacing w:after="0" w:line="233"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10.15#(8)   </w:t>
      </w:r>
      <w:hyperlink r:id="rId161">
        <w:r>
          <w:rPr>
            <w:rFonts w:ascii="Times New Roman" w:cs="Times New Roman" w:eastAsia="Times New Roman" w:hAnsi="Times New Roman"/>
            <w:sz w:val="18"/>
            <w:szCs w:val="18"/>
            <w:u w:val="single" w:color="auto"/>
            <w:color w:val="0000EE"/>
          </w:rPr>
          <w:t>Form of Restricted Stock Award Grant Notice and Restricted Stock Award Agreement pursuant to the</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EE"/>
          </w:rPr>
          <w:t>AeroVironment, Inc. 2021 Equity Incentive Plan (Non-Severance Plan Participants)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-248285</wp:posOffset>
            </wp:positionV>
            <wp:extent cx="56578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ind w:left="1120" w:right="55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10.16#(8)</w:t>
      </w:r>
      <w:r>
        <w:rPr>
          <w:sz w:val="20"/>
          <w:szCs w:val="20"/>
          <w:color w:val="auto"/>
        </w:rPr>
        <w:tab/>
      </w:r>
      <w:hyperlink r:id="rId163">
        <w:r>
          <w:rPr>
            <w:rFonts w:ascii="Times New Roman" w:cs="Times New Roman" w:eastAsia="Times New Roman" w:hAnsi="Times New Roman"/>
            <w:sz w:val="18"/>
            <w:szCs w:val="18"/>
            <w:u w:val="single" w:color="auto"/>
            <w:color w:val="0000EE"/>
          </w:rPr>
          <w:t>Form of Restricted Stock Award Grant Notice and Restricted Stock Award Agreement pursuant to the</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AeroVironment, Inc. 2021 Equity Incentive Plan (Non-Employee Directors)</w:t>
        </w:r>
      </w:hyperlink>
    </w:p>
    <w:p>
      <w:pPr>
        <w:spacing w:after="0" w:line="2" w:lineRule="exact"/>
        <w:rPr>
          <w:sz w:val="20"/>
          <w:szCs w:val="20"/>
          <w:color w:val="auto"/>
        </w:rPr>
      </w:pPr>
    </w:p>
    <w:p>
      <w:pPr>
        <w:ind w:left="1120" w:right="59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10.17#(8)</w:t>
      </w:r>
      <w:r>
        <w:rPr>
          <w:sz w:val="20"/>
          <w:szCs w:val="20"/>
          <w:color w:val="auto"/>
        </w:rPr>
        <w:tab/>
      </w:r>
      <w:hyperlink r:id="rId164">
        <w:r>
          <w:rPr>
            <w:rFonts w:ascii="Times New Roman" w:cs="Times New Roman" w:eastAsia="Times New Roman" w:hAnsi="Times New Roman"/>
            <w:sz w:val="18"/>
            <w:szCs w:val="18"/>
            <w:u w:val="single" w:color="auto"/>
            <w:color w:val="0000EE"/>
          </w:rPr>
          <w:t>Form of Performance Restricted Stock Award Grant Notice and Performance Restricted Stock Award</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Agreement pursuant to the AeroVironment, Inc. 2021 Equity Incentive Plan</w:t>
        </w:r>
      </w:hyperlink>
    </w:p>
    <w:p>
      <w:pPr>
        <w:spacing w:after="0" w:line="2" w:lineRule="exact"/>
        <w:rPr>
          <w:sz w:val="20"/>
          <w:szCs w:val="20"/>
          <w:color w:val="auto"/>
        </w:rPr>
      </w:pPr>
    </w:p>
    <w:p>
      <w:pPr>
        <w:ind w:left="1120" w:right="17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10.18(18)</w:t>
      </w:r>
      <w:r>
        <w:rPr>
          <w:sz w:val="20"/>
          <w:szCs w:val="20"/>
          <w:color w:val="auto"/>
        </w:rPr>
        <w:tab/>
      </w:r>
      <w:hyperlink r:id="rId165">
        <w:r>
          <w:rPr>
            <w:rFonts w:ascii="Times New Roman" w:cs="Times New Roman" w:eastAsia="Times New Roman" w:hAnsi="Times New Roman"/>
            <w:sz w:val="18"/>
            <w:szCs w:val="18"/>
            <w:u w:val="single" w:color="auto"/>
            <w:color w:val="0000EE"/>
          </w:rPr>
          <w:t>Lease, dated March 11, 2022, between AeroVironment, Inc. and BCORE Defender CA1W01, LLC, for the</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property located at 85 Moreland Road, Simi Valley, California</w:t>
        </w:r>
      </w:hyperlink>
    </w:p>
    <w:p>
      <w:pPr>
        <w:spacing w:after="0" w:line="2" w:lineRule="exact"/>
        <w:rPr>
          <w:sz w:val="20"/>
          <w:szCs w:val="20"/>
          <w:color w:val="auto"/>
        </w:rPr>
      </w:pPr>
    </w:p>
    <w:p>
      <w:pPr>
        <w:ind w:left="1120" w:right="419" w:hanging="972"/>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10.19(23)</w:t>
      </w:r>
      <w:r>
        <w:rPr>
          <w:sz w:val="20"/>
          <w:szCs w:val="20"/>
          <w:color w:val="auto"/>
        </w:rPr>
        <w:tab/>
      </w:r>
      <w:hyperlink r:id="rId166">
        <w:r>
          <w:rPr>
            <w:rFonts w:ascii="Times New Roman" w:cs="Times New Roman" w:eastAsia="Times New Roman" w:hAnsi="Times New Roman"/>
            <w:sz w:val="18"/>
            <w:szCs w:val="18"/>
            <w:u w:val="single" w:color="auto"/>
            <w:color w:val="0000EE"/>
          </w:rPr>
          <w:t>First Amendment to Lease, dated March 11, 2022, between AeroVironment, Inc. and BCORE Defender</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CA1W01, LLC, for the property located at 85 Moreland Road, Simi Valley, California, dated as of</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September 10,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120" w:right="259" w:hanging="927"/>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10.20(9)</w:t>
      </w:r>
      <w:r>
        <w:rPr>
          <w:sz w:val="20"/>
          <w:szCs w:val="20"/>
          <w:color w:val="auto"/>
        </w:rPr>
        <w:tab/>
      </w:r>
      <w:hyperlink r:id="rId167">
        <w:r>
          <w:rPr>
            <w:rFonts w:ascii="Times New Roman" w:cs="Times New Roman" w:eastAsia="Times New Roman" w:hAnsi="Times New Roman"/>
            <w:sz w:val="18"/>
            <w:szCs w:val="18"/>
            <w:u w:val="single" w:color="auto"/>
            <w:color w:val="0000EE"/>
          </w:rPr>
          <w:t>Standard Industrial/Commercial Single-Tenant Lease, dated March 3, 2008, between AeroVironment, Inc.</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and Hillside Associates III, LLC, for the property located at 900 Enchanted Way, Simi Valley, California,</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including the addendum thereto</w:t>
        </w:r>
      </w:hyperlink>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10.21(10)</w:t>
      </w:r>
      <w:r>
        <w:rPr>
          <w:sz w:val="20"/>
          <w:szCs w:val="20"/>
          <w:color w:val="auto"/>
        </w:rPr>
        <w:tab/>
      </w:r>
      <w:hyperlink r:id="rId168">
        <w:r>
          <w:rPr>
            <w:rFonts w:ascii="Times New Roman" w:cs="Times New Roman" w:eastAsia="Times New Roman" w:hAnsi="Times New Roman"/>
            <w:sz w:val="17"/>
            <w:szCs w:val="17"/>
            <w:u w:val="single" w:color="auto"/>
            <w:color w:val="0000EE"/>
          </w:rPr>
          <w:t>First Amendment to Lease Agreement (900 Enchanted Way, Simi Valley, CA 93065) dated as of December</w:t>
        </w:r>
      </w:hyperlink>
    </w:p>
    <w:p>
      <w:pPr>
        <w:ind w:left="1120"/>
        <w:spacing w:after="0" w:line="219" w:lineRule="auto"/>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1, 2013, by and between the Company and Hillside III LLC, and related agreements</w:t>
        </w:r>
      </w:hyperlink>
    </w:p>
    <w:p>
      <w:pPr>
        <w:spacing w:after="0" w:line="1" w:lineRule="exact"/>
        <w:rPr>
          <w:rFonts w:ascii="Times New Roman" w:cs="Times New Roman" w:eastAsia="Times New Roman" w:hAnsi="Times New Roman"/>
          <w:sz w:val="18"/>
          <w:szCs w:val="18"/>
          <w:u w:val="single" w:color="auto"/>
          <w:color w:val="0000EE"/>
        </w:rPr>
      </w:pPr>
    </w:p>
    <w:p>
      <w:pPr>
        <w:ind w:left="1120" w:right="519" w:hanging="92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10.22(2)</w:t>
      </w:r>
      <w:r>
        <w:rPr>
          <w:sz w:val="20"/>
          <w:szCs w:val="20"/>
          <w:color w:val="auto"/>
        </w:rPr>
        <w:tab/>
      </w:r>
      <w:hyperlink r:id="rId169">
        <w:r>
          <w:rPr>
            <w:rFonts w:ascii="Times New Roman" w:cs="Times New Roman" w:eastAsia="Times New Roman" w:hAnsi="Times New Roman"/>
            <w:sz w:val="18"/>
            <w:szCs w:val="18"/>
            <w:u w:val="single" w:color="auto"/>
            <w:color w:val="0000EE"/>
          </w:rPr>
          <w:t>Second Amendment to Lease Agreement dated as of May 13, 2020, by and between the Company and</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Hillside III LLC for the property located at 900 Enchanted Way, Simi Valley, CA 93065</w:t>
        </w:r>
      </w:hyperlink>
    </w:p>
    <w:p>
      <w:pPr>
        <w:spacing w:after="0" w:line="2" w:lineRule="exact"/>
        <w:rPr>
          <w:sz w:val="20"/>
          <w:szCs w:val="20"/>
          <w:color w:val="auto"/>
        </w:rPr>
      </w:pPr>
    </w:p>
    <w:p>
      <w:pPr>
        <w:ind w:left="1120" w:right="21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10.23(26)</w:t>
      </w:r>
      <w:r>
        <w:rPr>
          <w:sz w:val="20"/>
          <w:szCs w:val="20"/>
          <w:color w:val="auto"/>
        </w:rPr>
        <w:tab/>
      </w:r>
      <w:hyperlink r:id="rId170">
        <w:r>
          <w:rPr>
            <w:rFonts w:ascii="Times New Roman" w:cs="Times New Roman" w:eastAsia="Times New Roman" w:hAnsi="Times New Roman"/>
            <w:sz w:val="18"/>
            <w:szCs w:val="18"/>
            <w:u w:val="single" w:color="auto"/>
            <w:color w:val="0000EE"/>
          </w:rPr>
          <w:t>Third Amendment to Lease Agreement dated as of October 16, 2024 by and between AeroVironment, Inc.</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and Hillside III LLC related to 900 Innovators Way, Simi Valley, CA 93065, and related agreements</w:t>
        </w:r>
      </w:hyperlink>
    </w:p>
    <w:p>
      <w:pPr>
        <w:ind w:left="160"/>
        <w:spacing w:after="0" w:line="23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10.24(27)</w:t>
      </w:r>
      <w:r>
        <w:rPr>
          <w:sz w:val="20"/>
          <w:szCs w:val="20"/>
          <w:color w:val="auto"/>
        </w:rPr>
        <w:tab/>
      </w:r>
      <w:hyperlink r:id="rId171">
        <w:r>
          <w:rPr>
            <w:rFonts w:ascii="Times New Roman" w:cs="Times New Roman" w:eastAsia="Times New Roman" w:hAnsi="Times New Roman"/>
            <w:sz w:val="18"/>
            <w:szCs w:val="18"/>
            <w:u w:val="single" w:color="auto"/>
            <w:color w:val="0000EE"/>
          </w:rPr>
          <w:t>Fourth Amendment to Lease Agreement, dated April 2, 2025</w:t>
        </w:r>
      </w:hyperlink>
    </w:p>
    <w:p>
      <w:pPr>
        <w:spacing w:after="0" w:line="1" w:lineRule="exact"/>
        <w:rPr>
          <w:sz w:val="20"/>
          <w:szCs w:val="20"/>
          <w:color w:val="auto"/>
        </w:rPr>
      </w:pPr>
    </w:p>
    <w:p>
      <w:pPr>
        <w:ind w:left="1120" w:right="139" w:hanging="927"/>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10.25(9)</w:t>
      </w:r>
      <w:r>
        <w:rPr>
          <w:sz w:val="20"/>
          <w:szCs w:val="20"/>
          <w:color w:val="auto"/>
        </w:rPr>
        <w:tab/>
      </w:r>
      <w:hyperlink r:id="rId172">
        <w:r>
          <w:rPr>
            <w:rFonts w:ascii="Times New Roman" w:cs="Times New Roman" w:eastAsia="Times New Roman" w:hAnsi="Times New Roman"/>
            <w:sz w:val="18"/>
            <w:szCs w:val="18"/>
            <w:u w:val="single" w:color="auto"/>
            <w:color w:val="0000EE"/>
          </w:rPr>
          <w:t>Standard Industrial/Commercial Single-Tenant Lease, dated April 21, 2008, between AeroVironment, Inc.</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and Hillside Associates II, LLC, for the property located at 994 Flower Glen Street, Simi Valley, California,</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including the addendum thereto</w:t>
        </w:r>
      </w:hyperlink>
    </w:p>
    <w:p>
      <w:pPr>
        <w:spacing w:after="0" w:line="2" w:lineRule="exact"/>
        <w:rPr>
          <w:rFonts w:ascii="Times New Roman" w:cs="Times New Roman" w:eastAsia="Times New Roman" w:hAnsi="Times New Roman"/>
          <w:sz w:val="18"/>
          <w:szCs w:val="18"/>
          <w:u w:val="single" w:color="auto"/>
          <w:color w:val="0000EE"/>
        </w:rPr>
      </w:pPr>
    </w:p>
    <w:p>
      <w:pPr>
        <w:ind w:left="1120" w:right="69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10.26(10)</w:t>
      </w:r>
      <w:r>
        <w:rPr>
          <w:sz w:val="20"/>
          <w:szCs w:val="20"/>
          <w:color w:val="auto"/>
        </w:rPr>
        <w:tab/>
      </w:r>
      <w:hyperlink r:id="rId173">
        <w:r>
          <w:rPr>
            <w:rFonts w:ascii="Times New Roman" w:cs="Times New Roman" w:eastAsia="Times New Roman" w:hAnsi="Times New Roman"/>
            <w:sz w:val="18"/>
            <w:szCs w:val="18"/>
            <w:u w:val="single" w:color="auto"/>
            <w:color w:val="0000EE"/>
          </w:rPr>
          <w:t>First Amendment to Lease Agreement (994 Flower Glen Street, Simi Valley, CA 93065) dated as of</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December 1, 2013, by and between the Company and Hillside II LLC, and related agreements</w:t>
        </w:r>
      </w:hyperlink>
    </w:p>
    <w:p>
      <w:pPr>
        <w:jc w:val="center"/>
        <w:ind w:right="19"/>
        <w:spacing w:after="0"/>
        <w:tabs>
          <w:tab w:leader="none" w:pos="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10.27(11)</w:t>
      </w:r>
      <w:r>
        <w:rPr>
          <w:sz w:val="20"/>
          <w:szCs w:val="20"/>
          <w:color w:val="auto"/>
        </w:rPr>
        <w:tab/>
      </w:r>
      <w:hyperlink r:id="rId174">
        <w:r>
          <w:rPr>
            <w:rFonts w:ascii="Times New Roman" w:cs="Times New Roman" w:eastAsia="Times New Roman" w:hAnsi="Times New Roman"/>
            <w:sz w:val="17"/>
            <w:szCs w:val="17"/>
            <w:u w:val="single" w:color="auto"/>
            <w:color w:val="0000EE"/>
          </w:rPr>
          <w:t>Second Amendment to Lease Agreement (994 Innovators Way, Simi Valley, CA 93065) dated as of June 1,</w:t>
        </w:r>
      </w:hyperlink>
    </w:p>
    <w:p>
      <w:pPr>
        <w:jc w:val="center"/>
        <w:ind w:right="99"/>
        <w:spacing w:after="0" w:line="219" w:lineRule="auto"/>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2021, by and between the Company and Hillside Associates II, LLC, and related agreements</w:t>
        </w:r>
      </w:hyperlink>
    </w:p>
    <w:p>
      <w:pPr>
        <w:spacing w:after="0" w:line="1" w:lineRule="exact"/>
        <w:rPr>
          <w:sz w:val="20"/>
          <w:szCs w:val="20"/>
          <w:color w:val="auto"/>
        </w:rPr>
      </w:pPr>
    </w:p>
    <w:p>
      <w:pPr>
        <w:ind w:left="1120" w:right="25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10.29(10)</w:t>
      </w:r>
      <w:r>
        <w:rPr>
          <w:sz w:val="20"/>
          <w:szCs w:val="20"/>
          <w:color w:val="auto"/>
        </w:rPr>
        <w:tab/>
      </w:r>
      <w:hyperlink r:id="rId175">
        <w:r>
          <w:rPr>
            <w:rFonts w:ascii="Times New Roman" w:cs="Times New Roman" w:eastAsia="Times New Roman" w:hAnsi="Times New Roman"/>
            <w:sz w:val="18"/>
            <w:szCs w:val="18"/>
            <w:u w:val="single" w:color="auto"/>
            <w:color w:val="0000EE"/>
          </w:rPr>
          <w:t>Lease Agreement (996 Flower Glen Street, Simi Valley, CA 93065) dated as of December 1, 2013, by and</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between the Company and Hillside II LLC, and related agreements</w:t>
        </w:r>
      </w:hyperlink>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10.30(11)</w:t>
      </w:r>
      <w:r>
        <w:rPr>
          <w:sz w:val="20"/>
          <w:szCs w:val="20"/>
          <w:color w:val="auto"/>
        </w:rPr>
        <w:tab/>
      </w:r>
      <w:hyperlink r:id="rId176">
        <w:r>
          <w:rPr>
            <w:rFonts w:ascii="Times New Roman" w:cs="Times New Roman" w:eastAsia="Times New Roman" w:hAnsi="Times New Roman"/>
            <w:sz w:val="17"/>
            <w:szCs w:val="17"/>
            <w:u w:val="single" w:color="auto"/>
            <w:color w:val="0000EE"/>
          </w:rPr>
          <w:t>First Amendment to Lease Agreement (996 Innovators Way, Simi Valley, CA 93065) dated as of June 1,</w:t>
        </w:r>
      </w:hyperlink>
    </w:p>
    <w:p>
      <w:pPr>
        <w:ind w:left="1120"/>
        <w:spacing w:after="0" w:line="219" w:lineRule="auto"/>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2021, by and between the Company and Hillside Associates II, LLC, and related agreements</w:t>
        </w:r>
      </w:hyperlink>
    </w:p>
    <w:p>
      <w:pPr>
        <w:spacing w:after="0" w:line="1" w:lineRule="exact"/>
        <w:rPr>
          <w:sz w:val="20"/>
          <w:szCs w:val="20"/>
          <w:color w:val="auto"/>
        </w:rPr>
      </w:pPr>
    </w:p>
    <w:p>
      <w:pPr>
        <w:ind w:left="1120" w:right="63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10.31(12)</w:t>
      </w:r>
      <w:r>
        <w:rPr>
          <w:sz w:val="20"/>
          <w:szCs w:val="20"/>
          <w:color w:val="auto"/>
        </w:rPr>
        <w:tab/>
      </w:r>
      <w:hyperlink r:id="rId177">
        <w:r>
          <w:rPr>
            <w:rFonts w:ascii="Times New Roman" w:cs="Times New Roman" w:eastAsia="Times New Roman" w:hAnsi="Times New Roman"/>
            <w:sz w:val="18"/>
            <w:szCs w:val="18"/>
            <w:u w:val="single" w:color="auto"/>
            <w:color w:val="0000EE"/>
          </w:rPr>
          <w:t>Lease dated March 28, 2018 between AeroVironment, Inc. and Princeton Avenue Holdings, LLC for</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property located at 14501 Princeton Avenue, Moorpark, California, including addendums thereto</w:t>
        </w:r>
      </w:hyperlink>
    </w:p>
    <w:p>
      <w:pPr>
        <w:spacing w:after="0" w:line="2" w:lineRule="exact"/>
        <w:rPr>
          <w:sz w:val="20"/>
          <w:szCs w:val="20"/>
          <w:color w:val="auto"/>
        </w:rPr>
      </w:pPr>
    </w:p>
    <w:p>
      <w:pPr>
        <w:ind w:left="1120" w:right="43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10.32(13)</w:t>
      </w:r>
      <w:r>
        <w:rPr>
          <w:sz w:val="20"/>
          <w:szCs w:val="20"/>
          <w:color w:val="auto"/>
        </w:rPr>
        <w:tab/>
      </w:r>
      <w:hyperlink r:id="rId178">
        <w:r>
          <w:rPr>
            <w:rFonts w:ascii="Times New Roman" w:cs="Times New Roman" w:eastAsia="Times New Roman" w:hAnsi="Times New Roman"/>
            <w:sz w:val="18"/>
            <w:szCs w:val="18"/>
            <w:u w:val="single" w:color="auto"/>
            <w:color w:val="0000EE"/>
          </w:rPr>
          <w:t>First Amendment to Lease dated October 26, 2018 between AeroVironment, Inc. and Princeton Avenue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Holdings, LLC for property located at 14501 Princeton Avenue, Moorpark, California</w:t>
        </w:r>
      </w:hyperlink>
    </w:p>
    <w:p>
      <w:pPr>
        <w:spacing w:after="0" w:line="2" w:lineRule="exact"/>
        <w:rPr>
          <w:sz w:val="20"/>
          <w:szCs w:val="20"/>
          <w:color w:val="auto"/>
        </w:rPr>
      </w:pPr>
    </w:p>
    <w:p>
      <w:pPr>
        <w:ind w:left="1120" w:right="359" w:hanging="972"/>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10.33(19)</w:t>
      </w:r>
      <w:r>
        <w:rPr>
          <w:sz w:val="20"/>
          <w:szCs w:val="20"/>
          <w:color w:val="auto"/>
        </w:rPr>
        <w:tab/>
      </w:r>
      <w:hyperlink r:id="rId178">
        <w:r>
          <w:rPr>
            <w:rFonts w:ascii="Times New Roman" w:cs="Times New Roman" w:eastAsia="Times New Roman" w:hAnsi="Times New Roman"/>
            <w:sz w:val="18"/>
            <w:szCs w:val="18"/>
            <w:u w:val="single" w:color="auto"/>
            <w:color w:val="0000EE"/>
          </w:rPr>
          <w:t>Second Amendment to Lease dated October 26, 2018 between AeroVironment, Inc., Princeton Avenue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Holdings, LLC and Princeton Avenue Holdings II, LLC for property located at 14501 Princeton Avenue,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Moorpark, California</w:t>
        </w:r>
      </w:hyperlink>
    </w:p>
    <w:p>
      <w:pPr>
        <w:spacing w:after="0" w:line="2" w:lineRule="exact"/>
        <w:rPr>
          <w:rFonts w:ascii="Times New Roman" w:cs="Times New Roman" w:eastAsia="Times New Roman" w:hAnsi="Times New Roman"/>
          <w:sz w:val="18"/>
          <w:szCs w:val="18"/>
          <w:u w:val="single" w:color="auto"/>
          <w:color w:val="0000EE"/>
        </w:rPr>
      </w:pPr>
    </w:p>
    <w:p>
      <w:pPr>
        <w:ind w:left="1120" w:right="119" w:hanging="823"/>
        <w:spacing w:after="0" w:line="229" w:lineRule="auto"/>
        <w:tabs>
          <w:tab w:leader="none" w:pos="110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8"/>
          <w:szCs w:val="18"/>
          <w:u w:val="single" w:color="auto"/>
          <w:color w:val="0000EE"/>
        </w:rPr>
        <w:t>Third Amendment to Lease dated June, 23 2026 between AeroVironment, Inc., Princeton Avenue Holdings, LLC and Princeton Avenue Holdings II, LLC for property located at 14501 Princeton Avenue, Moorpark, California</w:t>
      </w:r>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10.35#(1)</w:t>
      </w:r>
      <w:r>
        <w:rPr>
          <w:sz w:val="20"/>
          <w:szCs w:val="20"/>
          <w:color w:val="auto"/>
        </w:rPr>
        <w:tab/>
      </w:r>
      <w:hyperlink r:id="rId179">
        <w:r>
          <w:rPr>
            <w:rFonts w:ascii="Times New Roman" w:cs="Times New Roman" w:eastAsia="Times New Roman" w:hAnsi="Times New Roman"/>
            <w:sz w:val="17"/>
            <w:szCs w:val="17"/>
            <w:u w:val="single" w:color="auto"/>
            <w:color w:val="0000EE"/>
          </w:rPr>
          <w:t>Retiree Medical Plan</w:t>
        </w:r>
      </w:hyperlink>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10.36(14)</w:t>
      </w:r>
      <w:r>
        <w:rPr>
          <w:sz w:val="20"/>
          <w:szCs w:val="20"/>
          <w:color w:val="auto"/>
        </w:rPr>
        <w:tab/>
      </w:r>
      <w:hyperlink r:id="rId180">
        <w:r>
          <w:rPr>
            <w:rFonts w:ascii="Times New Roman" w:cs="Times New Roman" w:eastAsia="Times New Roman" w:hAnsi="Times New Roman"/>
            <w:sz w:val="17"/>
            <w:szCs w:val="17"/>
            <w:u w:val="single" w:color="auto"/>
            <w:color w:val="0000EE"/>
          </w:rPr>
          <w:t>Form of Director Letter Agreement by and between AeroVironment, Inc. and certain non-employee director</w:t>
        </w:r>
      </w:hyperlink>
    </w:p>
    <w:p>
      <w:pPr>
        <w:ind w:left="12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10.37#(15)</w:t>
      </w:r>
      <w:r>
        <w:rPr>
          <w:sz w:val="20"/>
          <w:szCs w:val="20"/>
          <w:color w:val="auto"/>
        </w:rPr>
        <w:tab/>
      </w:r>
      <w:hyperlink r:id="rId181">
        <w:r>
          <w:rPr>
            <w:rFonts w:ascii="Times New Roman" w:cs="Times New Roman" w:eastAsia="Times New Roman" w:hAnsi="Times New Roman"/>
            <w:sz w:val="17"/>
            <w:szCs w:val="17"/>
            <w:u w:val="single" w:color="auto"/>
            <w:color w:val="0000EE"/>
          </w:rPr>
          <w:t>AeroVironment, Inc. Executive Severance Plan and Summary Description, effective January 1, 2019</w:t>
        </w:r>
      </w:hyperlink>
    </w:p>
    <w:p>
      <w:pPr>
        <w:ind w:left="12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10.38#(26)</w:t>
      </w:r>
      <w:r>
        <w:rPr>
          <w:sz w:val="20"/>
          <w:szCs w:val="20"/>
          <w:color w:val="auto"/>
        </w:rPr>
        <w:tab/>
      </w:r>
      <w:hyperlink r:id="rId182">
        <w:r>
          <w:rPr>
            <w:rFonts w:ascii="Times New Roman" w:cs="Times New Roman" w:eastAsia="Times New Roman" w:hAnsi="Times New Roman"/>
            <w:sz w:val="17"/>
            <w:szCs w:val="17"/>
            <w:u w:val="single" w:color="auto"/>
            <w:color w:val="0000EE"/>
          </w:rPr>
          <w:t>Amended and Restated Executive Severance Plan of AeroVironment, Inc.</w:t>
        </w:r>
      </w:hyperlink>
    </w:p>
    <w:p>
      <w:pPr>
        <w:ind w:left="12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10.39#(26)</w:t>
      </w:r>
      <w:r>
        <w:rPr>
          <w:sz w:val="20"/>
          <w:szCs w:val="20"/>
          <w:color w:val="auto"/>
        </w:rPr>
        <w:tab/>
      </w:r>
      <w:hyperlink r:id="rId183">
        <w:r>
          <w:rPr>
            <w:rFonts w:ascii="Times New Roman" w:cs="Times New Roman" w:eastAsia="Times New Roman" w:hAnsi="Times New Roman"/>
            <w:sz w:val="17"/>
            <w:szCs w:val="17"/>
            <w:u w:val="single" w:color="auto"/>
            <w:color w:val="0000EE"/>
          </w:rPr>
          <w:t>Executive Transaction Severance Plan of AeroVironment, Inc.</w:t>
        </w:r>
      </w:hyperlink>
    </w:p>
    <w:p>
      <w:pPr>
        <w:spacing w:after="0" w:line="1" w:lineRule="exact"/>
        <w:rPr>
          <w:rFonts w:ascii="Times New Roman" w:cs="Times New Roman" w:eastAsia="Times New Roman" w:hAnsi="Times New Roman"/>
          <w:sz w:val="18"/>
          <w:szCs w:val="18"/>
          <w:u w:val="single" w:color="auto"/>
          <w:color w:val="0000EE"/>
        </w:rPr>
      </w:pPr>
    </w:p>
    <w:p>
      <w:pPr>
        <w:ind w:left="1120" w:right="379" w:hanging="1014"/>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10.40*(11)</w:t>
      </w:r>
      <w:r>
        <w:rPr>
          <w:sz w:val="20"/>
          <w:szCs w:val="20"/>
          <w:color w:val="auto"/>
        </w:rPr>
        <w:tab/>
      </w:r>
      <w:hyperlink r:id="rId184">
        <w:r>
          <w:rPr>
            <w:rFonts w:ascii="Times New Roman" w:cs="Times New Roman" w:eastAsia="Times New Roman" w:hAnsi="Times New Roman"/>
            <w:sz w:val="18"/>
            <w:szCs w:val="18"/>
            <w:u w:val="single" w:color="auto"/>
            <w:color w:val="0000EE"/>
          </w:rPr>
          <w:t>Stock Purchase Agreement, dated January 11, 2021, by and among AeroVironment, Inc., Arcturus UAV,</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 and the shareholders and other equity interest holders of Arcturus UAV, Inc.</w:t>
        </w:r>
      </w:hyperlink>
    </w:p>
    <w:p>
      <w:pPr>
        <w:spacing w:after="0" w:line="2" w:lineRule="exact"/>
        <w:rPr>
          <w:sz w:val="20"/>
          <w:szCs w:val="20"/>
          <w:color w:val="auto"/>
        </w:rPr>
      </w:pPr>
    </w:p>
    <w:p>
      <w:pPr>
        <w:ind w:left="1120" w:right="379" w:hanging="969"/>
        <w:spacing w:after="0" w:line="27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10.41(11)</w:t>
      </w:r>
      <w:r>
        <w:rPr>
          <w:sz w:val="20"/>
          <w:szCs w:val="20"/>
          <w:color w:val="auto"/>
        </w:rPr>
        <w:tab/>
      </w:r>
      <w:hyperlink r:id="rId185">
        <w:r>
          <w:rPr>
            <w:rFonts w:ascii="Times New Roman" w:cs="Times New Roman" w:eastAsia="Times New Roman" w:hAnsi="Times New Roman"/>
            <w:sz w:val="17"/>
            <w:szCs w:val="17"/>
            <w:u w:val="single" w:color="auto"/>
            <w:color w:val="0000EE"/>
          </w:rPr>
          <w:t>Loan commitment letter, dated January 11, 2021, by and among AeroVironment, Inc., Bank of America,</w:t>
        </w:r>
      </w:hyperlink>
      <w:r>
        <w:rPr>
          <w:rFonts w:ascii="Times New Roman" w:cs="Times New Roman" w:eastAsia="Times New Roman" w:hAnsi="Times New Roman"/>
          <w:sz w:val="17"/>
          <w:szCs w:val="17"/>
          <w:u w:val="single" w:color="auto"/>
          <w:color w:val="0000EE"/>
        </w:rPr>
        <w:t xml:space="preserve"> </w:t>
      </w:r>
      <w:hyperlink r:id="rId185">
        <w:r>
          <w:rPr>
            <w:rFonts w:ascii="Times New Roman" w:cs="Times New Roman" w:eastAsia="Times New Roman" w:hAnsi="Times New Roman"/>
            <w:sz w:val="17"/>
            <w:szCs w:val="17"/>
            <w:u w:val="single" w:color="auto"/>
            <w:color w:val="0000EE"/>
          </w:rPr>
          <w:t>N.A., BofA Securities, Inc., JPMorgan Chase Bank, N.A., and U.S. Bank National Association.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0" w:type="dxa"/>
            <w:vAlign w:val="bottom"/>
          </w:tcPr>
          <w:p>
            <w:pPr>
              <w:spacing w:after="0"/>
              <w:rPr>
                <w:sz w:val="1"/>
                <w:szCs w:val="1"/>
                <w:color w:val="auto"/>
              </w:rPr>
            </w:pPr>
          </w:p>
        </w:tc>
      </w:tr>
      <w:tr>
        <w:trPr>
          <w:trHeight w:val="188"/>
        </w:trPr>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10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578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ind w:left="1200" w:right="199" w:hanging="1068"/>
        <w:spacing w:after="0" w:line="248"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10.42*(11)</w:t>
      </w:r>
      <w:r>
        <w:rPr>
          <w:sz w:val="20"/>
          <w:szCs w:val="20"/>
          <w:color w:val="auto"/>
        </w:rPr>
        <w:tab/>
      </w:r>
      <w:hyperlink r:id="rId188">
        <w:r>
          <w:rPr>
            <w:rFonts w:ascii="Times New Roman" w:cs="Times New Roman" w:eastAsia="Times New Roman" w:hAnsi="Times New Roman"/>
            <w:sz w:val="18"/>
            <w:szCs w:val="18"/>
            <w:u w:val="single" w:color="auto"/>
            <w:color w:val="0000EE"/>
          </w:rPr>
          <w:t>Credit Agreement, dated February 19, 2021, by and among AeroVironment, Inc., certain lenders, letter of</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credit issuers, Bank of America, N.A., as the administrative agent and the swingline lender, and BofA</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Securities, Inc., JPMorgan Chase Bank, N.A., and U.S. Bank National Association, as joint lead arrangers</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and joint bookrunners</w:t>
        </w:r>
      </w:hyperlink>
    </w:p>
    <w:p>
      <w:pPr>
        <w:spacing w:after="0" w:line="2" w:lineRule="exact"/>
        <w:rPr>
          <w:rFonts w:ascii="Times New Roman" w:cs="Times New Roman" w:eastAsia="Times New Roman" w:hAnsi="Times New Roman"/>
          <w:sz w:val="18"/>
          <w:szCs w:val="18"/>
          <w:u w:val="single" w:color="auto"/>
          <w:color w:val="0000EE"/>
        </w:rPr>
      </w:pPr>
    </w:p>
    <w:p>
      <w:pPr>
        <w:ind w:left="1200" w:right="459" w:hanging="1064"/>
        <w:spacing w:after="0" w:line="253"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10.43</w:t>
      </w:r>
      <w:r>
        <w:rPr>
          <w:rFonts w:ascii="Arial" w:cs="Arial" w:eastAsia="Arial" w:hAnsi="Arial"/>
          <w:sz w:val="18"/>
          <w:szCs w:val="18"/>
          <w:color w:val="auto"/>
        </w:rPr>
        <w:t>ǂ</w:t>
      </w:r>
      <w:r>
        <w:rPr>
          <w:rFonts w:ascii="Times New Roman" w:cs="Times New Roman" w:eastAsia="Times New Roman" w:hAnsi="Times New Roman"/>
          <w:sz w:val="18"/>
          <w:szCs w:val="18"/>
          <w:color w:val="auto"/>
        </w:rPr>
        <w:t>(11)</w:t>
      </w:r>
      <w:r>
        <w:rPr>
          <w:sz w:val="20"/>
          <w:szCs w:val="20"/>
          <w:color w:val="auto"/>
        </w:rPr>
        <w:tab/>
      </w:r>
      <w:hyperlink r:id="rId189">
        <w:r>
          <w:rPr>
            <w:rFonts w:ascii="Times New Roman" w:cs="Times New Roman" w:eastAsia="Times New Roman" w:hAnsi="Times New Roman"/>
            <w:sz w:val="18"/>
            <w:szCs w:val="18"/>
            <w:u w:val="single" w:color="auto"/>
            <w:color w:val="0000EE"/>
          </w:rPr>
          <w:t>Security and Pledge Agreement, dated February 19, 2021, by and among AeroVironment, Inc., certain</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obligors, and Bank of America, N.A., as the administrative agent</w:t>
        </w:r>
      </w:hyperlink>
    </w:p>
    <w:p>
      <w:pPr>
        <w:spacing w:after="0" w:line="1" w:lineRule="exact"/>
        <w:rPr>
          <w:sz w:val="20"/>
          <w:szCs w:val="20"/>
          <w:color w:val="auto"/>
        </w:rPr>
      </w:pPr>
    </w:p>
    <w:p>
      <w:pPr>
        <w:ind w:left="1200" w:right="9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10.44(16)</w:t>
      </w:r>
      <w:r>
        <w:rPr>
          <w:sz w:val="20"/>
          <w:szCs w:val="20"/>
          <w:color w:val="auto"/>
        </w:rPr>
        <w:tab/>
      </w:r>
      <w:hyperlink r:id="rId190">
        <w:r>
          <w:rPr>
            <w:rFonts w:ascii="Times New Roman" w:cs="Times New Roman" w:eastAsia="Times New Roman" w:hAnsi="Times New Roman"/>
            <w:sz w:val="18"/>
            <w:szCs w:val="18"/>
            <w:u w:val="single" w:color="auto"/>
            <w:color w:val="0000EE"/>
          </w:rPr>
          <w:t>First Amendment to Credit Agreement and Waiver, dated February 4, 2022, by and among AeroVironment,</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Inc., certain lenders, letter of credit issuers, Bank of America, N.A., as the administrative agent and the</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swingline lender, and BofA Securities, Inc., JPMorgan Chase Bank, N.A., and U.S. Bank National</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Association</w:t>
        </w:r>
      </w:hyperlink>
    </w:p>
    <w:p>
      <w:pPr>
        <w:spacing w:after="0" w:line="2" w:lineRule="exact"/>
        <w:rPr>
          <w:rFonts w:ascii="Times New Roman" w:cs="Times New Roman" w:eastAsia="Times New Roman" w:hAnsi="Times New Roman"/>
          <w:sz w:val="18"/>
          <w:szCs w:val="18"/>
          <w:u w:val="single" w:color="auto"/>
          <w:color w:val="0000EE"/>
        </w:rPr>
      </w:pPr>
    </w:p>
    <w:p>
      <w:pPr>
        <w:ind w:left="1200" w:right="21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10.45(19)</w:t>
      </w:r>
      <w:r>
        <w:rPr>
          <w:sz w:val="20"/>
          <w:szCs w:val="20"/>
          <w:color w:val="auto"/>
        </w:rPr>
        <w:tab/>
      </w:r>
      <w:hyperlink r:id="rId191">
        <w:r>
          <w:rPr>
            <w:rFonts w:ascii="Times New Roman" w:cs="Times New Roman" w:eastAsia="Times New Roman" w:hAnsi="Times New Roman"/>
            <w:sz w:val="18"/>
            <w:szCs w:val="18"/>
            <w:u w:val="single" w:color="auto"/>
            <w:color w:val="0000EE"/>
          </w:rPr>
          <w:t>Second Amendment to Credit Agreement and Waiver, dated June 6, 2023, by and among AeroVironment,</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Inc., certain lenders, letter of credit issuers, Bank of America, N.A., as the administrative agent and the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swingline lender, and BofA Securities, Inc., JPMorgan Chase Bank, N.A., and U.S. Bank National</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Association</w:t>
        </w:r>
      </w:hyperlink>
    </w:p>
    <w:p>
      <w:pPr>
        <w:spacing w:after="0" w:line="2" w:lineRule="exact"/>
        <w:rPr>
          <w:rFonts w:ascii="Times New Roman" w:cs="Times New Roman" w:eastAsia="Times New Roman" w:hAnsi="Times New Roman"/>
          <w:sz w:val="18"/>
          <w:szCs w:val="18"/>
          <w:u w:val="single" w:color="auto"/>
          <w:color w:val="0000EE"/>
        </w:rPr>
      </w:pPr>
    </w:p>
    <w:p>
      <w:pPr>
        <w:ind w:left="1200" w:right="57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10.46(26)</w:t>
      </w:r>
      <w:r>
        <w:rPr>
          <w:sz w:val="20"/>
          <w:szCs w:val="20"/>
          <w:color w:val="auto"/>
        </w:rPr>
        <w:tab/>
      </w:r>
      <w:hyperlink r:id="rId192">
        <w:r>
          <w:rPr>
            <w:rFonts w:ascii="Times New Roman" w:cs="Times New Roman" w:eastAsia="Times New Roman" w:hAnsi="Times New Roman"/>
            <w:sz w:val="18"/>
            <w:szCs w:val="18"/>
            <w:u w:val="single" w:color="auto"/>
            <w:color w:val="0000EE"/>
          </w:rPr>
          <w:t>Third Amendment to Credit Agreement, dated October 4, 2024, by and among AeroVironment, Inc.,</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certain lenders, letter of credit issuers, Bank of America, N.A., as the administrative agent and the</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swingline lender, and Bank of America, N.A., JPMorgan Chase Bank, N.A., U.S. Bank National</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Association and Citibank, N.A.</w:t>
        </w:r>
      </w:hyperlink>
    </w:p>
    <w:p>
      <w:pPr>
        <w:spacing w:after="0" w:line="2" w:lineRule="exact"/>
        <w:rPr>
          <w:rFonts w:ascii="Times New Roman" w:cs="Times New Roman" w:eastAsia="Times New Roman" w:hAnsi="Times New Roman"/>
          <w:sz w:val="18"/>
          <w:szCs w:val="18"/>
          <w:u w:val="single" w:color="auto"/>
          <w:color w:val="0000EE"/>
        </w:rPr>
      </w:pPr>
    </w:p>
    <w:p>
      <w:pPr>
        <w:ind w:left="1200" w:right="9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10.47(28)</w:t>
      </w:r>
      <w:r>
        <w:rPr>
          <w:sz w:val="20"/>
          <w:szCs w:val="20"/>
          <w:color w:val="auto"/>
        </w:rPr>
        <w:tab/>
      </w:r>
      <w:hyperlink r:id="rId193">
        <w:r>
          <w:rPr>
            <w:rFonts w:ascii="Times New Roman" w:cs="Times New Roman" w:eastAsia="Times New Roman" w:hAnsi="Times New Roman"/>
            <w:sz w:val="18"/>
            <w:szCs w:val="18"/>
            <w:u w:val="single" w:color="auto"/>
            <w:color w:val="0000EE"/>
          </w:rPr>
          <w:t>Fourth Amendment to Credit Agreement, Amendment to Security and Pledge Agreement, and Joinder</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Agreement, dated May 1, 2025, by and among AeroVironment, Inc., certain lenders, letter of credit issuers,</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Bank of America, N.A., as the administrative agent and the swingline lender, and Bank of America, N.A.,</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JPMorgan Chase Bank, N.A., U.S. Bank National Association and Citibank, N.A, as co-syndication agents</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for the Term A facility.</w:t>
        </w:r>
      </w:hyperlink>
    </w:p>
    <w:p>
      <w:pPr>
        <w:spacing w:after="0" w:line="2" w:lineRule="exact"/>
        <w:rPr>
          <w:rFonts w:ascii="Times New Roman" w:cs="Times New Roman" w:eastAsia="Times New Roman" w:hAnsi="Times New Roman"/>
          <w:sz w:val="18"/>
          <w:szCs w:val="18"/>
          <w:u w:val="single" w:color="auto"/>
          <w:color w:val="0000EE"/>
        </w:rPr>
      </w:pPr>
    </w:p>
    <w:p>
      <w:pPr>
        <w:ind w:left="16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10.48(22)</w:t>
      </w:r>
      <w:r>
        <w:rPr>
          <w:sz w:val="20"/>
          <w:szCs w:val="20"/>
          <w:color w:val="auto"/>
        </w:rPr>
        <w:tab/>
      </w:r>
      <w:hyperlink r:id="rId194">
        <w:r>
          <w:rPr>
            <w:rFonts w:ascii="Times New Roman" w:cs="Times New Roman" w:eastAsia="Times New Roman" w:hAnsi="Times New Roman"/>
            <w:sz w:val="17"/>
            <w:szCs w:val="17"/>
            <w:u w:val="single" w:color="auto"/>
            <w:color w:val="0000EE"/>
          </w:rPr>
          <w:t>Joinder Agreement, dated October 30, 2023, between AeroVironment, Inc. and Bank of America, N.A.</w:t>
        </w:r>
      </w:hyperlink>
    </w:p>
    <w:p>
      <w:pPr>
        <w:spacing w:after="0" w:line="9" w:lineRule="exact"/>
        <w:rPr>
          <w:rFonts w:ascii="Times New Roman" w:cs="Times New Roman" w:eastAsia="Times New Roman" w:hAnsi="Times New Roman"/>
          <w:sz w:val="18"/>
          <w:szCs w:val="18"/>
          <w:u w:val="single" w:color="auto"/>
          <w:color w:val="0000EE"/>
        </w:rPr>
      </w:pPr>
    </w:p>
    <w:p>
      <w:pPr>
        <w:ind w:left="8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10.49</w:t>
      </w:r>
      <w:r>
        <w:rPr>
          <w:rFonts w:ascii="Arial" w:cs="Arial" w:eastAsia="Arial" w:hAnsi="Arial"/>
          <w:sz w:val="18"/>
          <w:szCs w:val="18"/>
          <w:color w:val="auto"/>
        </w:rPr>
        <w:t>ǂ</w:t>
      </w:r>
      <w:r>
        <w:rPr>
          <w:rFonts w:ascii="Times New Roman" w:cs="Times New Roman" w:eastAsia="Times New Roman" w:hAnsi="Times New Roman"/>
          <w:sz w:val="18"/>
          <w:szCs w:val="18"/>
          <w:color w:val="auto"/>
        </w:rPr>
        <w:t>*(11)</w:t>
      </w:r>
      <w:r>
        <w:rPr>
          <w:sz w:val="20"/>
          <w:szCs w:val="20"/>
          <w:color w:val="auto"/>
        </w:rPr>
        <w:tab/>
      </w:r>
      <w:hyperlink r:id="rId195">
        <w:r>
          <w:rPr>
            <w:rFonts w:ascii="Times New Roman" w:cs="Times New Roman" w:eastAsia="Times New Roman" w:hAnsi="Times New Roman"/>
            <w:sz w:val="17"/>
            <w:szCs w:val="17"/>
            <w:u w:val="single" w:color="auto"/>
            <w:color w:val="0000EE"/>
          </w:rPr>
          <w:t>Share Purchase Agreement, dated December 3, 2020, by and between AeroVironment, Inc., Unmanned</w:t>
        </w:r>
      </w:hyperlink>
    </w:p>
    <w:p>
      <w:pPr>
        <w:spacing w:after="0" w:line="10" w:lineRule="exact"/>
        <w:rPr>
          <w:rFonts w:ascii="Times New Roman" w:cs="Times New Roman" w:eastAsia="Times New Roman" w:hAnsi="Times New Roman"/>
          <w:sz w:val="18"/>
          <w:szCs w:val="18"/>
          <w:u w:val="single" w:color="auto"/>
          <w:color w:val="0000EE"/>
        </w:rPr>
      </w:pPr>
    </w:p>
    <w:p>
      <w:pPr>
        <w:ind w:left="1200"/>
        <w:spacing w:after="0"/>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Systems Investments GmbH, and each of the unit holders of Unmanned Systems Investments GmbH</w:t>
        </w:r>
      </w:hyperlink>
    </w:p>
    <w:p>
      <w:pPr>
        <w:spacing w:after="0" w:line="7" w:lineRule="exact"/>
        <w:rPr>
          <w:rFonts w:ascii="Times New Roman" w:cs="Times New Roman" w:eastAsia="Times New Roman" w:hAnsi="Times New Roman"/>
          <w:sz w:val="18"/>
          <w:szCs w:val="18"/>
          <w:u w:val="single" w:color="auto"/>
          <w:color w:val="0000EE"/>
        </w:rPr>
      </w:pPr>
    </w:p>
    <w:p>
      <w:pPr>
        <w:ind w:left="16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10.50(20)</w:t>
      </w:r>
      <w:r>
        <w:rPr>
          <w:sz w:val="20"/>
          <w:szCs w:val="20"/>
          <w:color w:val="auto"/>
        </w:rPr>
        <w:tab/>
      </w:r>
      <w:hyperlink r:id="rId196">
        <w:r>
          <w:rPr>
            <w:rFonts w:ascii="Times New Roman" w:cs="Times New Roman" w:eastAsia="Times New Roman" w:hAnsi="Times New Roman"/>
            <w:sz w:val="17"/>
            <w:szCs w:val="17"/>
            <w:u w:val="single" w:color="auto"/>
            <w:color w:val="0000EE"/>
          </w:rPr>
          <w:t>AeroVironment, Inc. 2023 Employee Stock Purchase Plan</w:t>
        </w:r>
      </w:hyperlink>
    </w:p>
    <w:p>
      <w:pPr>
        <w:spacing w:after="0" w:line="9" w:lineRule="exact"/>
        <w:rPr>
          <w:rFonts w:ascii="Times New Roman" w:cs="Times New Roman" w:eastAsia="Times New Roman" w:hAnsi="Times New Roman"/>
          <w:sz w:val="18"/>
          <w:szCs w:val="18"/>
          <w:u w:val="single" w:color="auto"/>
          <w:color w:val="0000EE"/>
        </w:rPr>
      </w:pPr>
    </w:p>
    <w:p>
      <w:pPr>
        <w:ind w:left="16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10.51(25)</w:t>
      </w:r>
      <w:r>
        <w:rPr>
          <w:sz w:val="20"/>
          <w:szCs w:val="20"/>
          <w:color w:val="auto"/>
        </w:rPr>
        <w:tab/>
      </w:r>
      <w:hyperlink r:id="rId197">
        <w:r>
          <w:rPr>
            <w:rFonts w:ascii="Times New Roman" w:cs="Times New Roman" w:eastAsia="Times New Roman" w:hAnsi="Times New Roman"/>
            <w:sz w:val="17"/>
            <w:szCs w:val="17"/>
            <w:u w:val="single" w:color="auto"/>
            <w:color w:val="0000EE"/>
          </w:rPr>
          <w:t>Form of Seller and Sponsor Member Support Agreement</w:t>
        </w:r>
      </w:hyperlink>
    </w:p>
    <w:p>
      <w:pPr>
        <w:spacing w:after="0" w:line="9" w:lineRule="exact"/>
        <w:rPr>
          <w:rFonts w:ascii="Times New Roman" w:cs="Times New Roman" w:eastAsia="Times New Roman" w:hAnsi="Times New Roman"/>
          <w:sz w:val="18"/>
          <w:szCs w:val="18"/>
          <w:u w:val="single" w:color="auto"/>
          <w:color w:val="0000EE"/>
        </w:rPr>
      </w:pPr>
    </w:p>
    <w:p>
      <w:pPr>
        <w:ind w:left="16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10.52(25)</w:t>
      </w:r>
      <w:r>
        <w:rPr>
          <w:sz w:val="20"/>
          <w:szCs w:val="20"/>
          <w:color w:val="auto"/>
        </w:rPr>
        <w:tab/>
      </w:r>
      <w:hyperlink r:id="rId198">
        <w:r>
          <w:rPr>
            <w:rFonts w:ascii="Times New Roman" w:cs="Times New Roman" w:eastAsia="Times New Roman" w:hAnsi="Times New Roman"/>
            <w:sz w:val="17"/>
            <w:szCs w:val="17"/>
            <w:u w:val="single" w:color="auto"/>
            <w:color w:val="0000EE"/>
          </w:rPr>
          <w:t>Form of Joinder and Lock-Up Agreement</w:t>
        </w:r>
      </w:hyperlink>
    </w:p>
    <w:p>
      <w:pPr>
        <w:spacing w:after="0" w:line="9" w:lineRule="exact"/>
        <w:rPr>
          <w:rFonts w:ascii="Times New Roman" w:cs="Times New Roman" w:eastAsia="Times New Roman" w:hAnsi="Times New Roman"/>
          <w:sz w:val="18"/>
          <w:szCs w:val="18"/>
          <w:u w:val="single" w:color="auto"/>
          <w:color w:val="0000EE"/>
        </w:rPr>
      </w:pPr>
    </w:p>
    <w:p>
      <w:pPr>
        <w:ind w:left="1200" w:right="31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10.53(25)</w:t>
      </w:r>
      <w:r>
        <w:rPr>
          <w:sz w:val="20"/>
          <w:szCs w:val="20"/>
          <w:color w:val="auto"/>
        </w:rPr>
        <w:tab/>
      </w:r>
      <w:hyperlink r:id="rId199">
        <w:r>
          <w:rPr>
            <w:rFonts w:ascii="Times New Roman" w:cs="Times New Roman" w:eastAsia="Times New Roman" w:hAnsi="Times New Roman"/>
            <w:sz w:val="18"/>
            <w:szCs w:val="18"/>
            <w:u w:val="single" w:color="auto"/>
            <w:color w:val="0000EE"/>
          </w:rPr>
          <w:t>Shareholder’s Agreement, dated as of November 18, 2024, by and among the Company and the Sponsor</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Members</w:t>
        </w:r>
      </w:hyperlink>
    </w:p>
    <w:p>
      <w:pPr>
        <w:spacing w:after="0" w:line="1" w:lineRule="exact"/>
        <w:rPr>
          <w:sz w:val="20"/>
          <w:szCs w:val="20"/>
          <w:color w:val="auto"/>
        </w:rPr>
      </w:pPr>
    </w:p>
    <w:p>
      <w:pPr>
        <w:ind w:left="1200" w:right="979" w:hanging="1071"/>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10.54(32)#</w:t>
      </w:r>
      <w:r>
        <w:rPr>
          <w:sz w:val="20"/>
          <w:szCs w:val="20"/>
          <w:color w:val="auto"/>
        </w:rPr>
        <w:tab/>
      </w:r>
      <w:hyperlink r:id="rId200">
        <w:r>
          <w:rPr>
            <w:rFonts w:ascii="Times New Roman" w:cs="Times New Roman" w:eastAsia="Times New Roman" w:hAnsi="Times New Roman"/>
            <w:sz w:val="18"/>
            <w:szCs w:val="18"/>
            <w:u w:val="single" w:color="auto"/>
            <w:color w:val="0000EE"/>
          </w:rPr>
          <w:t>Retirement Agreement by and between AeroVironment, Inc. and Keivn McDonnell dated as of</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February 20, 2026.</w:t>
        </w:r>
      </w:hyperlink>
    </w:p>
    <w:p>
      <w:pPr>
        <w:spacing w:after="0" w:line="1" w:lineRule="exact"/>
        <w:rPr>
          <w:sz w:val="20"/>
          <w:szCs w:val="20"/>
          <w:color w:val="auto"/>
        </w:rPr>
      </w:pPr>
    </w:p>
    <w:p>
      <w:pPr>
        <w:ind w:left="12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10.55(33)#</w:t>
      </w:r>
      <w:r>
        <w:rPr>
          <w:sz w:val="20"/>
          <w:szCs w:val="20"/>
          <w:color w:val="auto"/>
        </w:rPr>
        <w:tab/>
      </w:r>
      <w:hyperlink r:id="rId201">
        <w:r>
          <w:rPr>
            <w:rFonts w:ascii="Times New Roman" w:cs="Times New Roman" w:eastAsia="Times New Roman" w:hAnsi="Times New Roman"/>
            <w:sz w:val="17"/>
            <w:szCs w:val="17"/>
            <w:u w:val="single" w:color="auto"/>
            <w:color w:val="0000EE"/>
          </w:rPr>
          <w:t>AeroVironment, Inc. Non-Qualified Deferred Compensation Plan.</w:t>
        </w:r>
      </w:hyperlink>
    </w:p>
    <w:p>
      <w:pPr>
        <w:spacing w:after="0" w:line="9" w:lineRule="exact"/>
        <w:rPr>
          <w:sz w:val="20"/>
          <w:szCs w:val="20"/>
          <w:color w:val="auto"/>
        </w:rPr>
      </w:pPr>
    </w:p>
    <w:p>
      <w:pPr>
        <w:ind w:left="1200" w:right="51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10.56(34)</w:t>
      </w:r>
      <w:r>
        <w:rPr>
          <w:sz w:val="20"/>
          <w:szCs w:val="20"/>
          <w:color w:val="auto"/>
        </w:rPr>
        <w:tab/>
      </w:r>
      <w:hyperlink r:id="rId202">
        <w:r>
          <w:rPr>
            <w:rFonts w:ascii="Times New Roman" w:cs="Times New Roman" w:eastAsia="Times New Roman" w:hAnsi="Times New Roman"/>
            <w:sz w:val="18"/>
            <w:szCs w:val="18"/>
            <w:u w:val="single" w:color="auto"/>
            <w:color w:val="0000EE"/>
          </w:rPr>
          <w:t>Lease, dated December 18, 2025, between AeroVironment, Inc. and QOZ 201CC TWO, LLC, for the</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property located at 4387 West 2100 South, West Valley City, Utah 84120</w:t>
        </w:r>
      </w:hyperlink>
    </w:p>
    <w:p>
      <w:pPr>
        <w:spacing w:after="0" w:line="1" w:lineRule="exact"/>
        <w:rPr>
          <w:sz w:val="20"/>
          <w:szCs w:val="20"/>
          <w:color w:val="auto"/>
        </w:rPr>
      </w:pPr>
    </w:p>
    <w:p>
      <w:pPr>
        <w:ind w:left="12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10.57(35)#</w:t>
      </w:r>
      <w:r>
        <w:rPr>
          <w:sz w:val="20"/>
          <w:szCs w:val="20"/>
          <w:color w:val="auto"/>
        </w:rPr>
        <w:tab/>
      </w:r>
      <w:hyperlink r:id="rId203">
        <w:r>
          <w:rPr>
            <w:rFonts w:ascii="Times New Roman" w:cs="Times New Roman" w:eastAsia="Times New Roman" w:hAnsi="Times New Roman"/>
            <w:sz w:val="17"/>
            <w:szCs w:val="17"/>
            <w:u w:val="single" w:color="auto"/>
            <w:color w:val="0000EE"/>
          </w:rPr>
          <w:t>Offer Letter dated March 18, 2026 with Robert Smith.</w:t>
        </w:r>
      </w:hyperlink>
    </w:p>
    <w:p>
      <w:pPr>
        <w:spacing w:after="0" w:line="9" w:lineRule="exact"/>
        <w:rPr>
          <w:sz w:val="20"/>
          <w:szCs w:val="20"/>
          <w:color w:val="auto"/>
        </w:rPr>
      </w:pPr>
    </w:p>
    <w:p>
      <w:pPr>
        <w:ind w:left="1200" w:right="1459" w:hanging="1071"/>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10.58(35)#</w:t>
      </w:r>
      <w:r>
        <w:rPr>
          <w:sz w:val="20"/>
          <w:szCs w:val="20"/>
          <w:color w:val="auto"/>
        </w:rPr>
        <w:tab/>
      </w:r>
      <w:hyperlink r:id="rId204">
        <w:r>
          <w:rPr>
            <w:rFonts w:ascii="Times New Roman" w:cs="Times New Roman" w:eastAsia="Times New Roman" w:hAnsi="Times New Roman"/>
            <w:sz w:val="18"/>
            <w:szCs w:val="18"/>
            <w:u w:val="single" w:color="auto"/>
            <w:color w:val="0000EE"/>
          </w:rPr>
          <w:t>Consulting Agreement and Amendment No. 1 to Consulting Agreement by and between</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AeroVironment, Inc. and Truesdell Capital LLC effective May 1, 2026.</w:t>
        </w:r>
      </w:hyperlink>
    </w:p>
    <w:p>
      <w:pPr>
        <w:spacing w:after="0" w:line="1" w:lineRule="exact"/>
        <w:rPr>
          <w:sz w:val="20"/>
          <w:szCs w:val="20"/>
          <w:color w:val="auto"/>
        </w:rPr>
      </w:pPr>
    </w:p>
    <w:p>
      <w:pPr>
        <w:ind w:left="1200" w:hanging="769"/>
        <w:spacing w:after="0"/>
        <w:tabs>
          <w:tab w:leader="none" w:pos="1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Insider Trading Policy</w:t>
      </w:r>
    </w:p>
    <w:tbl>
      <w:tblPr>
        <w:tblLayout w:type="fixed"/>
        <w:tblInd w:w="180" w:type="dxa"/>
        <w:tblCellMar>
          <w:top w:w="0" w:type="dxa"/>
          <w:left w:w="0" w:type="dxa"/>
          <w:bottom w:w="0" w:type="dxa"/>
          <w:right w:w="0" w:type="dxa"/>
        </w:tblCellMar>
      </w:tblPr>
      <w:tr>
        <w:trPr>
          <w:trHeight w:val="185"/>
        </w:trPr>
        <w:tc>
          <w:tcPr>
            <w:tcW w:w="102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color w:val="auto"/>
              </w:rPr>
              <w:t>21.1</w:t>
            </w:r>
          </w:p>
        </w:tc>
        <w:tc>
          <w:tcPr>
            <w:tcW w:w="732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0000EE"/>
              </w:rPr>
              <w:t>Subsidiaries of AeroVironment, Inc.</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w:t>
            </w:r>
          </w:p>
        </w:tc>
        <w:tc>
          <w:tcPr>
            <w:tcW w:w="1400" w:type="dxa"/>
            <w:vAlign w:val="bottom"/>
            <w:gridSpan w:val="3"/>
          </w:tcPr>
          <w:p>
            <w:pPr>
              <w:spacing w:after="0"/>
              <w:rPr>
                <w:sz w:val="17"/>
                <w:szCs w:val="17"/>
                <w:color w:val="auto"/>
              </w:rPr>
            </w:pPr>
          </w:p>
        </w:tc>
      </w:tr>
      <w:tr>
        <w:trPr>
          <w:trHeight w:val="196"/>
        </w:trPr>
        <w:tc>
          <w:tcPr>
            <w:tcW w:w="10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6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(incorporated by reference to the signature page of this Annual Report)</w:t>
            </w:r>
          </w:p>
        </w:tc>
        <w:tc>
          <w:tcPr>
            <w:tcW w:w="820" w:type="dxa"/>
            <w:vAlign w:val="bottom"/>
            <w:gridSpan w:val="2"/>
          </w:tcPr>
          <w:p>
            <w:pPr>
              <w:spacing w:after="0"/>
              <w:rPr>
                <w:sz w:val="17"/>
                <w:szCs w:val="17"/>
                <w:color w:val="auto"/>
              </w:rPr>
            </w:pPr>
          </w:p>
        </w:tc>
      </w:tr>
      <w:tr>
        <w:trPr>
          <w:trHeight w:val="196"/>
        </w:trPr>
        <w:tc>
          <w:tcPr>
            <w:tcW w:w="10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Rule 13a-14(a) or Rule 15d-14(a) of the Securities Exchange Act of 1934</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Rule 13a-14(a) or Rule 15d-14(a) of the Securities Exchange Act of 1934</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w:t>
            </w:r>
          </w:p>
        </w:tc>
      </w:tr>
      <w:tr>
        <w:trPr>
          <w:trHeight w:val="196"/>
        </w:trPr>
        <w:tc>
          <w:tcPr>
            <w:tcW w:w="1020" w:type="dxa"/>
            <w:vAlign w:val="bottom"/>
          </w:tcPr>
          <w:p>
            <w:pPr>
              <w:spacing w:after="0"/>
              <w:rPr>
                <w:sz w:val="17"/>
                <w:szCs w:val="17"/>
                <w:color w:val="auto"/>
              </w:rPr>
            </w:pPr>
          </w:p>
        </w:tc>
        <w:tc>
          <w:tcPr>
            <w:tcW w:w="7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r>
      <w:tr>
        <w:trPr>
          <w:trHeight w:val="196"/>
        </w:trPr>
        <w:tc>
          <w:tcPr>
            <w:tcW w:w="10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97(23)</w:t>
            </w:r>
          </w:p>
        </w:tc>
        <w:tc>
          <w:tcPr>
            <w:tcW w:w="7320" w:type="dxa"/>
            <w:vAlign w:val="bottom"/>
            <w:gridSpan w:val="7"/>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Nasdaq Rule 5608 Equity Incentive Compensation Recovery Policy</w:t>
              </w:r>
            </w:hyperlink>
          </w:p>
        </w:tc>
      </w:tr>
      <w:tr>
        <w:trPr>
          <w:trHeight w:val="218"/>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101.INS</w:t>
            </w:r>
          </w:p>
        </w:tc>
        <w:tc>
          <w:tcPr>
            <w:tcW w:w="48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440" w:type="dxa"/>
            <w:vAlign w:val="bottom"/>
            <w:gridSpan w:val="4"/>
          </w:tcPr>
          <w:p>
            <w:pPr>
              <w:spacing w:after="0"/>
              <w:rPr>
                <w:sz w:val="18"/>
                <w:szCs w:val="18"/>
                <w:color w:val="auto"/>
              </w:rPr>
            </w:pPr>
          </w:p>
        </w:tc>
      </w:tr>
      <w:tr>
        <w:trPr>
          <w:trHeight w:val="216"/>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101.SCH</w:t>
            </w:r>
          </w:p>
        </w:tc>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101.CAL</w:t>
            </w:r>
          </w:p>
        </w:tc>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101.DEF</w:t>
            </w:r>
          </w:p>
        </w:tc>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101.LAB</w:t>
            </w:r>
          </w:p>
        </w:tc>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780" w:type="dxa"/>
            <w:vAlign w:val="bottom"/>
            <w:vMerge w:val="restart"/>
          </w:tcPr>
          <w:p>
            <w:pPr>
              <w:ind w:left="36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bottom w:val="single" w:sz="8" w:color="auto"/>
            </w:tcBorders>
            <w:vMerge w:val="continue"/>
          </w:tcPr>
          <w:p>
            <w:pPr>
              <w:spacing w:after="0"/>
              <w:rPr>
                <w:sz w:val="15"/>
                <w:szCs w:val="15"/>
                <w:color w:val="auto"/>
              </w:rPr>
            </w:pPr>
          </w:p>
        </w:tc>
        <w:tc>
          <w:tcPr>
            <w:tcW w:w="7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22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ind w:left="1200" w:hanging="814"/>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700" w:right="559" w:hanging="656"/>
        <w:spacing w:after="0" w:line="261"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Registration Statement on Form S-1 (File No. 333-137658).</w:t>
      </w:r>
    </w:p>
    <w:p>
      <w:pPr>
        <w:ind w:left="700" w:right="4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24, 2020 (File No. 001-33261).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 K filed on June 29, 2016 (File No. 001 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to the Company’s Current Report on Form 8-K filed on October 5, 2011 (File No. 001-33261).</w:t>
      </w:r>
    </w:p>
    <w:p>
      <w:pPr>
        <w:ind w:left="700" w:right="3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28, 2017 (File No. 001-33261).</w:t>
      </w:r>
    </w:p>
    <w:p>
      <w:pPr>
        <w:ind w:left="700" w:right="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July 28, 2010 (File No. 001-33261).</w:t>
      </w:r>
    </w:p>
    <w:p>
      <w:pPr>
        <w:ind w:left="700" w:right="3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26, 2019 (File No. 001-33261).</w:t>
      </w:r>
    </w:p>
    <w:p>
      <w:pPr>
        <w:ind w:left="700" w:right="5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Registration Statement on Form S-8 filed October 13, 2021 (File No. 333-260227).</w:t>
      </w:r>
    </w:p>
    <w:p>
      <w:pPr>
        <w:ind w:left="700" w:right="3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26, 2008 (File No. 001-33261).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5, 2014 (File No. 001-33261).</w:t>
      </w:r>
    </w:p>
    <w:p>
      <w:pPr>
        <w:ind w:left="700" w:right="3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29, 2021 (File No. 001-33261).</w:t>
      </w:r>
    </w:p>
    <w:p>
      <w:pPr>
        <w:ind w:left="700" w:right="8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September 6, 2018 (File No. 001-33261).</w:t>
      </w:r>
    </w:p>
    <w:p>
      <w:pPr>
        <w:ind w:left="700" w:right="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November 30, 2018 (File No. 001 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9, 2016 (File No. 001-33261).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7, 2018 (File No. 001-33261).</w:t>
      </w:r>
    </w:p>
    <w:p>
      <w:pPr>
        <w:ind w:left="700" w:right="1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4, 2022 (File No. 001-33261).</w:t>
      </w:r>
    </w:p>
    <w:p>
      <w:pPr>
        <w:ind w:left="700" w:right="4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28, 2022 (File No. 001-33261).</w:t>
      </w:r>
    </w:p>
    <w:p>
      <w:pPr>
        <w:ind w:left="700" w:right="1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7, 2022 (File No. 001-33261).</w:t>
      </w:r>
    </w:p>
    <w:p>
      <w:pPr>
        <w:ind w:left="700" w:right="4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27, 2023 (File No. 001-33261).</w:t>
      </w:r>
    </w:p>
    <w:p>
      <w:pPr>
        <w:ind w:left="700" w:right="23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Appendix A to the Company’s Definitive Proxy Statement on Schedule 14A filed August 17, 2023 (File No. 001-33261).</w:t>
      </w:r>
    </w:p>
    <w:p>
      <w:pPr>
        <w:ind w:left="700" w:right="2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August 22, 2023 (File No. 001-33261).</w:t>
      </w:r>
    </w:p>
    <w:p>
      <w:pPr>
        <w:ind w:left="700" w:right="1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5, 2023 (File No. 001-33261).</w:t>
      </w:r>
    </w:p>
    <w:p>
      <w:pPr>
        <w:ind w:left="700" w:right="4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26, 2024 (File No. 001-33261).</w:t>
      </w:r>
    </w:p>
    <w:p>
      <w:pPr>
        <w:ind w:left="700" w:right="319" w:hanging="656"/>
        <w:spacing w:after="0" w:line="220" w:lineRule="exact"/>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October 3, 2024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-6656705</wp:posOffset>
            </wp:positionV>
            <wp:extent cx="14141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319" w:hanging="656"/>
        <w:spacing w:after="0" w:line="226" w:lineRule="exact"/>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November 19, 2024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ind w:left="700" w:right="119" w:hanging="656"/>
        <w:spacing w:after="0" w:line="249"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4, 2024 (File No. 001-33261).</w:t>
      </w:r>
    </w:p>
    <w:p>
      <w:pPr>
        <w:ind w:left="700" w:right="11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April 7, 2025 (File No. 001-33261).</w:t>
      </w:r>
    </w:p>
    <w:p>
      <w:pPr>
        <w:ind w:left="700" w:right="15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May 1, 2025 (File No. 001-33261).</w:t>
      </w:r>
    </w:p>
    <w:p>
      <w:pPr>
        <w:ind w:left="700" w:right="19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July 3, 2025 (File No. 001-33261).</w:t>
      </w:r>
    </w:p>
    <w:p>
      <w:pPr>
        <w:ind w:left="700" w:right="31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October 1, 2025 (File No. 001-33261).</w:t>
      </w:r>
    </w:p>
    <w:p>
      <w:pPr>
        <w:ind w:left="700" w:right="31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November 25, 2025 (File No. 001-33261).</w:t>
      </w:r>
    </w:p>
    <w:p>
      <w:pPr>
        <w:ind w:left="700" w:right="15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February 23, 2026 (File No. 001-33261).</w:t>
      </w:r>
    </w:p>
    <w:p>
      <w:pPr>
        <w:ind w:left="700" w:right="43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March 5, 2026 (File No. 001-33261).</w:t>
      </w:r>
    </w:p>
    <w:p>
      <w:pPr>
        <w:ind w:left="700" w:right="11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10, 2026 (File No. 001-33261).</w:t>
      </w:r>
    </w:p>
    <w:p>
      <w:pPr>
        <w:ind w:left="700" w:right="119" w:hanging="656"/>
        <w:spacing w:after="0" w:line="26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April 9, 2026 (File No. 001-33261).</w:t>
      </w:r>
    </w:p>
    <w:p>
      <w:pPr>
        <w:spacing w:after="0" w:line="181" w:lineRule="exact"/>
        <w:rPr>
          <w:sz w:val="20"/>
          <w:szCs w:val="20"/>
          <w:color w:val="auto"/>
        </w:rPr>
      </w:pPr>
    </w:p>
    <w:p>
      <w:pPr>
        <w:ind w:left="700" w:right="179" w:hanging="656"/>
        <w:spacing w:after="0" w:line="312" w:lineRule="auto"/>
        <w:tabs>
          <w:tab w:leader="none" w:pos="700" w:val="left"/>
        </w:tabs>
        <w:numPr>
          <w:ilvl w:val="0"/>
          <w:numId w:val="7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Items 601(b)(2) and/or 601(b)(10) of Regulation S-K, certain immaterial provisions of the agreement that would likely cause competitive harm to the Company if publicly disclosed have been redacted or omitted.</w:t>
      </w:r>
    </w:p>
    <w:p>
      <w:pPr>
        <w:spacing w:after="0" w:line="140" w:lineRule="exact"/>
        <w:rPr>
          <w:sz w:val="20"/>
          <w:szCs w:val="20"/>
          <w:color w:val="auto"/>
        </w:rPr>
      </w:pPr>
    </w:p>
    <w:p>
      <w:pPr>
        <w:ind w:left="700" w:hanging="656"/>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jc w:val="both"/>
        <w:ind w:left="700" w:right="299" w:hanging="656"/>
        <w:spacing w:after="0" w:line="266" w:lineRule="auto"/>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(or similar attachments) to this Exhibit have been omitted in accordance with Items 601(a)(5) and/or 601(b)(2) of Regulation S-K. The Registrant agrees to furnish supplementary a copy of all omitted schedules to the Securities and Exchange Commission on a confidential basis upon request.</w:t>
      </w:r>
    </w:p>
    <w:p>
      <w:pPr>
        <w:spacing w:after="0" w:line="176" w:lineRule="exact"/>
        <w:rPr>
          <w:sz w:val="20"/>
          <w:szCs w:val="20"/>
          <w:color w:val="auto"/>
        </w:rPr>
      </w:pPr>
    </w:p>
    <w:p>
      <w:pPr>
        <w:ind w:left="700" w:right="479" w:hanging="656"/>
        <w:spacing w:after="0" w:line="282" w:lineRule="auto"/>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and Separate Financial Statements of Subsidiaries Not Consolidated and Fifty Percent or Less Owned Persons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9" w:lineRule="exact"/>
        <w:rPr>
          <w:sz w:val="20"/>
          <w:szCs w:val="20"/>
          <w:color w:val="auto"/>
        </w:rPr>
      </w:pPr>
    </w:p>
    <w:p>
      <w:pPr>
        <w:ind w:left="40" w:right="79"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6500" w:type="dxa"/>
            <w:vAlign w:val="bottom"/>
            <w:gridSpan w:val="2"/>
          </w:tcPr>
          <w:p>
            <w:pPr>
              <w:ind w:left="2060"/>
              <w:spacing w:after="0"/>
              <w:rPr>
                <w:sz w:val="20"/>
                <w:szCs w:val="20"/>
                <w:color w:val="auto"/>
              </w:rPr>
            </w:pPr>
            <w:r>
              <w:rPr>
                <w:rFonts w:ascii="Times New Roman" w:cs="Times New Roman" w:eastAsia="Times New Roman" w:hAnsi="Times New Roman"/>
                <w:sz w:val="16"/>
                <w:szCs w:val="16"/>
                <w:b w:val="1"/>
                <w:bCs w:val="1"/>
                <w:color w:val="auto"/>
              </w:rPr>
              <w:t>AEROVIRONMENT, INC.</w:t>
            </w:r>
          </w:p>
        </w:tc>
      </w:tr>
      <w:tr>
        <w:trPr>
          <w:trHeight w:val="405"/>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Date: June 29, 2026</w:t>
            </w:r>
          </w:p>
        </w:tc>
        <w:tc>
          <w:tcPr>
            <w:tcW w:w="2060" w:type="dxa"/>
            <w:vAlign w:val="bottom"/>
          </w:tcPr>
          <w:p>
            <w:pPr>
              <w:spacing w:after="0"/>
              <w:rPr>
                <w:sz w:val="24"/>
                <w:szCs w:val="24"/>
                <w:color w:val="auto"/>
              </w:rPr>
            </w:pPr>
          </w:p>
        </w:tc>
        <w:tc>
          <w:tcPr>
            <w:tcW w:w="4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/s/ W</w:t>
            </w:r>
            <w:r>
              <w:rPr>
                <w:rFonts w:ascii="Times New Roman" w:cs="Times New Roman" w:eastAsia="Times New Roman" w:hAnsi="Times New Roman"/>
                <w:sz w:val="10"/>
                <w:szCs w:val="10"/>
                <w:color w:val="auto"/>
              </w:rPr>
              <w:t>ahid</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awabi</w:t>
            </w:r>
          </w:p>
        </w:tc>
      </w:tr>
      <w:tr>
        <w:trPr>
          <w:trHeight w:val="188"/>
        </w:trPr>
        <w:tc>
          <w:tcPr>
            <w:tcW w:w="2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By:Wahid Nawabi</w:t>
            </w:r>
          </w:p>
        </w:tc>
      </w:tr>
      <w:tr>
        <w:trPr>
          <w:trHeight w:val="203"/>
        </w:trPr>
        <w:tc>
          <w:tcPr>
            <w:tcW w:w="2420" w:type="dxa"/>
            <w:vAlign w:val="bottom"/>
          </w:tcPr>
          <w:p>
            <w:pPr>
              <w:spacing w:after="0"/>
              <w:rPr>
                <w:sz w:val="17"/>
                <w:szCs w:val="17"/>
                <w:color w:val="auto"/>
              </w:rPr>
            </w:pPr>
          </w:p>
        </w:tc>
        <w:tc>
          <w:tcPr>
            <w:tcW w:w="6500" w:type="dxa"/>
            <w:vAlign w:val="bottom"/>
            <w:gridSpan w:val="2"/>
          </w:tcPr>
          <w:p>
            <w:pPr>
              <w:ind w:left="2060"/>
              <w:spacing w:after="0"/>
              <w:rPr>
                <w:sz w:val="20"/>
                <w:szCs w:val="20"/>
                <w:color w:val="auto"/>
              </w:rPr>
            </w:pPr>
            <w:r>
              <w:rPr>
                <w:rFonts w:ascii="Times New Roman" w:cs="Times New Roman" w:eastAsia="Times New Roman" w:hAnsi="Times New Roman"/>
                <w:sz w:val="16"/>
                <w:szCs w:val="16"/>
                <w:color w:val="auto"/>
              </w:rPr>
              <w:t>Its: Chief Executive Officer and President</w:t>
            </w:r>
          </w:p>
        </w:tc>
      </w:tr>
      <w:tr>
        <w:trPr>
          <w:trHeight w:val="210"/>
        </w:trPr>
        <w:tc>
          <w:tcPr>
            <w:tcW w:w="2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24"/>
        </w:trPr>
        <w:tc>
          <w:tcPr>
            <w:tcW w:w="2420" w:type="dxa"/>
            <w:vAlign w:val="bottom"/>
          </w:tcPr>
          <w:p>
            <w:pPr>
              <w:spacing w:after="0"/>
              <w:rPr>
                <w:sz w:val="24"/>
                <w:szCs w:val="24"/>
                <w:color w:val="auto"/>
              </w:rPr>
            </w:pPr>
          </w:p>
        </w:tc>
        <w:tc>
          <w:tcPr>
            <w:tcW w:w="650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POWER OF ATTORNEY</w:t>
            </w:r>
          </w:p>
        </w:tc>
      </w:tr>
    </w:tbl>
    <w:p>
      <w:pPr>
        <w:spacing w:after="0" w:line="114" w:lineRule="exact"/>
        <w:rPr>
          <w:sz w:val="20"/>
          <w:szCs w:val="20"/>
          <w:color w:val="auto"/>
        </w:rPr>
      </w:pPr>
    </w:p>
    <w:p>
      <w:pPr>
        <w:ind w:left="40" w:right="119" w:firstLine="648"/>
        <w:spacing w:after="0" w:line="269" w:lineRule="auto"/>
        <w:rPr>
          <w:sz w:val="20"/>
          <w:szCs w:val="20"/>
          <w:color w:val="auto"/>
        </w:rPr>
      </w:pPr>
      <w:r>
        <w:rPr>
          <w:rFonts w:ascii="Times New Roman" w:cs="Times New Roman" w:eastAsia="Times New Roman" w:hAnsi="Times New Roman"/>
          <w:sz w:val="16"/>
          <w:szCs w:val="16"/>
          <w:color w:val="auto"/>
        </w:rPr>
        <w:t>KNOW ALL PERSONS BY THESE PRESENTS, that each of the persons whose signature appears below hereby constitutes and appoints Wahid Nawabi and Sean T. Woodward,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 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95" w:lineRule="exact"/>
        <w:rPr>
          <w:sz w:val="20"/>
          <w:szCs w:val="20"/>
          <w:color w:val="auto"/>
        </w:rPr>
      </w:pPr>
    </w:p>
    <w:p>
      <w:pPr>
        <w:ind w:left="40" w:right="519"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320" w:type="dxa"/>
            <w:vAlign w:val="bottom"/>
          </w:tcPr>
          <w:p>
            <w:pPr>
              <w:spacing w:after="0"/>
              <w:rPr>
                <w:sz w:val="18"/>
                <w:szCs w:val="18"/>
                <w:color w:val="auto"/>
              </w:rPr>
            </w:pPr>
          </w:p>
        </w:tc>
        <w:tc>
          <w:tcPr>
            <w:tcW w:w="34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3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W</w:t>
            </w:r>
            <w:r>
              <w:rPr>
                <w:rFonts w:ascii="Times New Roman" w:cs="Times New Roman" w:eastAsia="Times New Roman" w:hAnsi="Times New Roman"/>
                <w:sz w:val="10"/>
                <w:szCs w:val="10"/>
                <w:color w:val="auto"/>
              </w:rPr>
              <w:t>ahid</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awabi</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 Chief</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Wahid Nawabi</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Officer and Chairman</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40" w:type="dxa"/>
            <w:vAlign w:val="bottom"/>
          </w:tcPr>
          <w:p>
            <w:pPr>
              <w:spacing w:after="0"/>
              <w:rPr>
                <w:sz w:val="18"/>
                <w:szCs w:val="18"/>
                <w:color w:val="auto"/>
              </w:rPr>
            </w:pPr>
          </w:p>
        </w:tc>
      </w:tr>
      <w:tr>
        <w:trPr>
          <w:trHeight w:val="324"/>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w:t>
            </w:r>
            <w:r>
              <w:rPr>
                <w:rFonts w:ascii="Times New Roman" w:cs="Times New Roman" w:eastAsia="Times New Roman" w:hAnsi="Times New Roman"/>
                <w:sz w:val="10"/>
                <w:szCs w:val="10"/>
                <w:color w:val="auto"/>
              </w:rPr>
              <w:t>ean</w:t>
            </w:r>
            <w:r>
              <w:rPr>
                <w:rFonts w:ascii="Times New Roman" w:cs="Times New Roman" w:eastAsia="Times New Roman" w:hAnsi="Times New Roman"/>
                <w:sz w:val="16"/>
                <w:szCs w:val="16"/>
                <w:color w:val="auto"/>
              </w:rPr>
              <w:t xml:space="preserve"> T. W</w:t>
            </w:r>
            <w:r>
              <w:rPr>
                <w:rFonts w:ascii="Times New Roman" w:cs="Times New Roman" w:eastAsia="Times New Roman" w:hAnsi="Times New Roman"/>
                <w:sz w:val="10"/>
                <w:szCs w:val="10"/>
                <w:color w:val="auto"/>
              </w:rPr>
              <w:t>oodward</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Sean T. Woodward</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(Principal</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Officer)</w:t>
            </w:r>
          </w:p>
        </w:tc>
        <w:tc>
          <w:tcPr>
            <w:tcW w:w="1740" w:type="dxa"/>
            <w:vAlign w:val="bottom"/>
          </w:tcPr>
          <w:p>
            <w:pPr>
              <w:spacing w:after="0"/>
              <w:rPr>
                <w:sz w:val="18"/>
                <w:szCs w:val="18"/>
                <w:color w:val="auto"/>
              </w:rPr>
            </w:pPr>
          </w:p>
        </w:tc>
      </w:tr>
      <w:tr>
        <w:trPr>
          <w:trHeight w:val="324"/>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w:t>
            </w:r>
            <w:r>
              <w:rPr>
                <w:rFonts w:ascii="Times New Roman" w:cs="Times New Roman" w:eastAsia="Times New Roman" w:hAnsi="Times New Roman"/>
                <w:sz w:val="10"/>
                <w:szCs w:val="10"/>
                <w:color w:val="auto"/>
              </w:rPr>
              <w:t>rian</w:t>
            </w:r>
            <w:r>
              <w:rPr>
                <w:rFonts w:ascii="Times New Roman" w:cs="Times New Roman" w:eastAsia="Times New Roman" w:hAnsi="Times New Roman"/>
                <w:sz w:val="16"/>
                <w:szCs w:val="16"/>
                <w:color w:val="auto"/>
              </w:rPr>
              <w:t xml:space="preserve"> C. S</w:t>
            </w:r>
            <w:r>
              <w:rPr>
                <w:rFonts w:ascii="Times New Roman" w:cs="Times New Roman" w:eastAsia="Times New Roman" w:hAnsi="Times New Roman"/>
                <w:sz w:val="10"/>
                <w:szCs w:val="10"/>
                <w:color w:val="auto"/>
              </w:rPr>
              <w:t>hackley</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and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Brian C. Shackley</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Accounting Officer (Principal</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Officer)</w:t>
            </w:r>
          </w:p>
        </w:tc>
        <w:tc>
          <w:tcPr>
            <w:tcW w:w="1740" w:type="dxa"/>
            <w:vAlign w:val="bottom"/>
          </w:tcPr>
          <w:p>
            <w:pPr>
              <w:spacing w:after="0"/>
              <w:rPr>
                <w:sz w:val="18"/>
                <w:szCs w:val="18"/>
                <w:color w:val="auto"/>
              </w:rPr>
            </w:pPr>
          </w:p>
        </w:tc>
      </w:tr>
      <w:tr>
        <w:trPr>
          <w:trHeight w:val="327"/>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w:t>
            </w:r>
            <w:r>
              <w:rPr>
                <w:rFonts w:ascii="Times New Roman" w:cs="Times New Roman" w:eastAsia="Times New Roman" w:hAnsi="Times New Roman"/>
                <w:sz w:val="10"/>
                <w:szCs w:val="10"/>
                <w:color w:val="auto"/>
              </w:rPr>
              <w:t>dward</w:t>
            </w:r>
            <w:r>
              <w:rPr>
                <w:rFonts w:ascii="Times New Roman" w:cs="Times New Roman" w:eastAsia="Times New Roman" w:hAnsi="Times New Roman"/>
                <w:sz w:val="16"/>
                <w:szCs w:val="16"/>
                <w:color w:val="auto"/>
              </w:rPr>
              <w:t xml:space="preserve"> R. M</w:t>
            </w:r>
            <w:r>
              <w:rPr>
                <w:rFonts w:ascii="Times New Roman" w:cs="Times New Roman" w:eastAsia="Times New Roman" w:hAnsi="Times New Roman"/>
                <w:sz w:val="10"/>
                <w:szCs w:val="10"/>
                <w:color w:val="auto"/>
              </w:rPr>
              <w:t>uller</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Edward R. Muller</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w:t>
            </w:r>
            <w:r>
              <w:rPr>
                <w:rFonts w:ascii="Times New Roman" w:cs="Times New Roman" w:eastAsia="Times New Roman" w:hAnsi="Times New Roman"/>
                <w:sz w:val="10"/>
                <w:szCs w:val="10"/>
                <w:color w:val="auto"/>
              </w:rPr>
              <w:t>indy</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ewis</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Cindy Lewis</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w:t>
            </w:r>
            <w:r>
              <w:rPr>
                <w:rFonts w:ascii="Times New Roman" w:cs="Times New Roman" w:eastAsia="Times New Roman" w:hAnsi="Times New Roman"/>
                <w:sz w:val="10"/>
                <w:szCs w:val="10"/>
                <w:color w:val="auto"/>
              </w:rPr>
              <w:t>tephen</w:t>
            </w:r>
            <w:r>
              <w:rPr>
                <w:rFonts w:ascii="Times New Roman" w:cs="Times New Roman" w:eastAsia="Times New Roman" w:hAnsi="Times New Roman"/>
                <w:sz w:val="16"/>
                <w:szCs w:val="16"/>
                <w:color w:val="auto"/>
              </w:rPr>
              <w:t xml:space="preserve"> F. P</w:t>
            </w:r>
            <w:r>
              <w:rPr>
                <w:rFonts w:ascii="Times New Roman" w:cs="Times New Roman" w:eastAsia="Times New Roman" w:hAnsi="Times New Roman"/>
                <w:sz w:val="10"/>
                <w:szCs w:val="10"/>
                <w:color w:val="auto"/>
              </w:rPr>
              <w:t>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Stephen F. Page</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w:t>
            </w:r>
            <w:r>
              <w:rPr>
                <w:rFonts w:ascii="Times New Roman" w:cs="Times New Roman" w:eastAsia="Times New Roman" w:hAnsi="Times New Roman"/>
                <w:sz w:val="10"/>
                <w:szCs w:val="10"/>
                <w:color w:val="auto"/>
              </w:rPr>
              <w:t>ary</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0"/>
                <w:szCs w:val="10"/>
                <w:color w:val="auto"/>
              </w:rPr>
              <w:t>eth</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ong</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Mary Beth Long</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w:t>
            </w:r>
            <w:r>
              <w:rPr>
                <w:rFonts w:ascii="Times New Roman" w:cs="Times New Roman" w:eastAsia="Times New Roman" w:hAnsi="Times New Roman"/>
                <w:sz w:val="10"/>
                <w:szCs w:val="10"/>
                <w:color w:val="auto"/>
              </w:rPr>
              <w:t>oseph</w:t>
            </w:r>
            <w:r>
              <w:rPr>
                <w:rFonts w:ascii="Times New Roman" w:cs="Times New Roman" w:eastAsia="Times New Roman" w:hAnsi="Times New Roman"/>
                <w:sz w:val="16"/>
                <w:szCs w:val="16"/>
                <w:color w:val="auto"/>
              </w:rPr>
              <w:t xml:space="preserve"> L. V</w:t>
            </w:r>
            <w:r>
              <w:rPr>
                <w:rFonts w:ascii="Times New Roman" w:cs="Times New Roman" w:eastAsia="Times New Roman" w:hAnsi="Times New Roman"/>
                <w:sz w:val="10"/>
                <w:szCs w:val="10"/>
                <w:color w:val="auto"/>
              </w:rPr>
              <w:t>otel</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Joseph L. Votel</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w:t>
            </w:r>
            <w:r>
              <w:rPr>
                <w:rFonts w:ascii="Times New Roman" w:cs="Times New Roman" w:eastAsia="Times New Roman" w:hAnsi="Times New Roman"/>
                <w:sz w:val="10"/>
                <w:szCs w:val="10"/>
                <w:color w:val="auto"/>
              </w:rPr>
              <w:t>harles</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homas</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0"/>
                <w:szCs w:val="10"/>
                <w:color w:val="auto"/>
              </w:rPr>
              <w:t>urbage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Charles Thomas Burbage</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w:t>
            </w:r>
            <w:r>
              <w:rPr>
                <w:rFonts w:ascii="Times New Roman" w:cs="Times New Roman" w:eastAsia="Times New Roman" w:hAnsi="Times New Roman"/>
                <w:sz w:val="10"/>
                <w:szCs w:val="10"/>
                <w:color w:val="auto"/>
              </w:rPr>
              <w:t>hilip</w:t>
            </w:r>
            <w:r>
              <w:rPr>
                <w:rFonts w:ascii="Times New Roman" w:cs="Times New Roman" w:eastAsia="Times New Roman" w:hAnsi="Times New Roman"/>
                <w:sz w:val="16"/>
                <w:szCs w:val="16"/>
                <w:color w:val="auto"/>
              </w:rPr>
              <w:t xml:space="preserve"> S. D</w:t>
            </w:r>
            <w:r>
              <w:rPr>
                <w:rFonts w:ascii="Times New Roman" w:cs="Times New Roman" w:eastAsia="Times New Roman" w:hAnsi="Times New Roman"/>
                <w:sz w:val="10"/>
                <w:szCs w:val="10"/>
                <w:color w:val="auto"/>
              </w:rPr>
              <w:t>avidson</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Philip S. Davidson</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W</w:t>
            </w:r>
            <w:r>
              <w:rPr>
                <w:rFonts w:ascii="Times New Roman" w:cs="Times New Roman" w:eastAsia="Times New Roman" w:hAnsi="Times New Roman"/>
                <w:sz w:val="10"/>
                <w:szCs w:val="10"/>
                <w:color w:val="auto"/>
              </w:rPr>
              <w:t>illiam</w:t>
            </w:r>
            <w:r>
              <w:rPr>
                <w:rFonts w:ascii="Times New Roman" w:cs="Times New Roman" w:eastAsia="Times New Roman" w:hAnsi="Times New Roman"/>
                <w:sz w:val="16"/>
                <w:szCs w:val="16"/>
                <w:color w:val="auto"/>
              </w:rPr>
              <w:t xml:space="preserve"> J. L</w:t>
            </w:r>
            <w:r>
              <w:rPr>
                <w:rFonts w:ascii="Times New Roman" w:cs="Times New Roman" w:eastAsia="Times New Roman" w:hAnsi="Times New Roman"/>
                <w:sz w:val="10"/>
                <w:szCs w:val="10"/>
                <w:color w:val="auto"/>
              </w:rPr>
              <w:t>ynn</w:t>
            </w:r>
            <w:r>
              <w:rPr>
                <w:rFonts w:ascii="Times New Roman" w:cs="Times New Roman" w:eastAsia="Times New Roman" w:hAnsi="Times New Roman"/>
                <w:sz w:val="16"/>
                <w:szCs w:val="16"/>
                <w:color w:val="auto"/>
              </w:rPr>
              <w:t xml:space="preserve"> III</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29, 2026</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William J. Lynn III</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10.34</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 TO LEASE</w:t>
      </w:r>
    </w:p>
    <w:p>
      <w:pPr>
        <w:spacing w:after="0" w:line="23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THIS THIRD AMENDMENT TO LEASE (this “</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dated as of June 23,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is entered into by and between </w:t>
      </w:r>
      <w:r>
        <w:rPr>
          <w:rFonts w:ascii="Times New Roman" w:cs="Times New Roman" w:eastAsia="Times New Roman" w:hAnsi="Times New Roman"/>
          <w:sz w:val="22"/>
          <w:szCs w:val="22"/>
          <w:b w:val="1"/>
          <w:bCs w:val="1"/>
          <w:color w:val="auto"/>
        </w:rPr>
        <w:t>PRINCETON AVENUE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HOLDINGS, LLC</w:t>
      </w:r>
      <w:r>
        <w:rPr>
          <w:rFonts w:ascii="Times New Roman" w:cs="Times New Roman" w:eastAsia="Times New Roman" w:hAnsi="Times New Roman"/>
          <w:sz w:val="22"/>
          <w:szCs w:val="22"/>
          <w:color w:val="auto"/>
        </w:rPr>
        <w:t>, a California limited liability company (the “</w:t>
      </w:r>
      <w:r>
        <w:rPr>
          <w:rFonts w:ascii="Times New Roman" w:cs="Times New Roman" w:eastAsia="Times New Roman" w:hAnsi="Times New Roman"/>
          <w:sz w:val="22"/>
          <w:szCs w:val="22"/>
          <w:u w:val="single" w:color="auto"/>
          <w:color w:val="auto"/>
        </w:rPr>
        <w:t>Original Landlord</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PRINCETON AVENUE HOLDINGS II, LLC</w:t>
      </w:r>
      <w:r>
        <w:rPr>
          <w:rFonts w:ascii="Times New Roman" w:cs="Times New Roman" w:eastAsia="Times New Roman" w:hAnsi="Times New Roman"/>
          <w:sz w:val="22"/>
          <w:szCs w:val="22"/>
          <w:color w:val="auto"/>
        </w:rPr>
        <w:t>, a California limited liability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Princeton II</w:t>
      </w:r>
      <w:r>
        <w:rPr>
          <w:rFonts w:ascii="Times New Roman" w:cs="Times New Roman" w:eastAsia="Times New Roman" w:hAnsi="Times New Roman"/>
          <w:sz w:val="22"/>
          <w:szCs w:val="22"/>
          <w:color w:val="auto"/>
        </w:rPr>
        <w:t>”, collectively with Original Landlord, as tenants in common,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AEROVIRONMENT,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Landlord and Tenant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hereinafter be referred to collectively as “the parties”.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left="200" w:right="219" w:firstLine="657"/>
        <w:spacing w:after="0" w:line="238" w:lineRule="auto"/>
        <w:tabs>
          <w:tab w:leader="none" w:pos="14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Original Landlord and Tenant entered into that certain Lease dated March 28, 2018 (the “</w:t>
      </w:r>
      <w:r>
        <w:rPr>
          <w:rFonts w:ascii="Times New Roman" w:cs="Times New Roman" w:eastAsia="Times New Roman" w:hAnsi="Times New Roman"/>
          <w:sz w:val="22"/>
          <w:szCs w:val="22"/>
          <w:u w:val="single" w:color="auto"/>
          <w:color w:val="auto"/>
        </w:rPr>
        <w:t>Original Lease</w:t>
      </w:r>
      <w:r>
        <w:rPr>
          <w:rFonts w:ascii="Times New Roman" w:cs="Times New Roman" w:eastAsia="Times New Roman" w:hAnsi="Times New Roman"/>
          <w:sz w:val="22"/>
          <w:szCs w:val="22"/>
          <w:color w:val="auto"/>
        </w:rPr>
        <w:t>”) whereby Landlord leased to Tenant and Tenant leased from Original Landlord premises designated as Suite 200 at 14501 Princeton Avenue, Moorpark, California, consisting of approximately ninety-four thousand two hundred eighty (94,280) square feet of floor area (the “</w:t>
      </w:r>
      <w:r>
        <w:rPr>
          <w:rFonts w:ascii="Times New Roman" w:cs="Times New Roman" w:eastAsia="Times New Roman" w:hAnsi="Times New Roman"/>
          <w:sz w:val="22"/>
          <w:szCs w:val="22"/>
          <w:u w:val="single" w:color="auto"/>
          <w:color w:val="auto"/>
        </w:rPr>
        <w:t>Original Premises</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Original Landlord and Tenant subsequently entered into that certain First Amendment to Lease dated October 26, 2018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restructuring in the ownership of the Premises, the Premises are owned by both Original Landlord and Princeton II, as tenants in common, and are collectively “Landlord.”</w:t>
      </w:r>
    </w:p>
    <w:p>
      <w:pPr>
        <w:spacing w:after="0" w:line="200"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entered into that certain Second Amendment to Lease dated November 2, 2022 (the “Second Amendment”, and together with the Original Lease and First Amendment, referred to as the “</w:t>
      </w:r>
      <w:r>
        <w:rPr>
          <w:rFonts w:ascii="Times New Roman" w:cs="Times New Roman" w:eastAsia="Times New Roman" w:hAnsi="Times New Roman"/>
          <w:sz w:val="22"/>
          <w:szCs w:val="22"/>
          <w:u w:val="single" w:color="auto"/>
          <w:color w:val="auto"/>
        </w:rPr>
        <w:t>Existing Lease</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now desire to enter into this Third Amendment in order extend the Term of the Lease.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33"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are hereby acknowledged, the parties hereto agree as follows:</w:t>
      </w:r>
    </w:p>
    <w:p>
      <w:pPr>
        <w:spacing w:after="0" w:line="185" w:lineRule="exact"/>
        <w:rPr>
          <w:sz w:val="20"/>
          <w:szCs w:val="20"/>
          <w:color w:val="auto"/>
        </w:rPr>
      </w:pPr>
    </w:p>
    <w:p>
      <w:pPr>
        <w:ind w:left="200" w:right="219" w:firstLine="657"/>
        <w:spacing w:after="0" w:line="236" w:lineRule="auto"/>
        <w:tabs>
          <w:tab w:leader="none" w:pos="14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Recitals and Definitions</w:t>
      </w:r>
      <w:r>
        <w:rPr>
          <w:rFonts w:ascii="Times New Roman" w:cs="Times New Roman" w:eastAsia="Times New Roman" w:hAnsi="Times New Roman"/>
          <w:sz w:val="22"/>
          <w:szCs w:val="22"/>
          <w:color w:val="auto"/>
        </w:rPr>
        <w:t>. Capitalized terms used in this Third Amendment not otherwise defined shall have the meanings given such terms in the Existing Lease. The Recitals are hereby incorporated herein by this reference. In the event of any conflicts between the Existing Lease and this Third Amendment, the terms of this Third Amendment shall control. The Existing Lease as modified by this Third Amendment shall be hereinafter referred to as “Lease.”</w:t>
      </w:r>
    </w:p>
    <w:p>
      <w:pPr>
        <w:spacing w:after="0" w:line="208" w:lineRule="exact"/>
        <w:rPr>
          <w:rFonts w:ascii="Times New Roman" w:cs="Times New Roman" w:eastAsia="Times New Roman" w:hAnsi="Times New Roman"/>
          <w:sz w:val="22"/>
          <w:szCs w:val="22"/>
          <w:color w:val="auto"/>
        </w:rPr>
      </w:pPr>
    </w:p>
    <w:p>
      <w:pPr>
        <w:ind w:left="200" w:right="219" w:firstLine="657"/>
        <w:spacing w:after="0" w:line="244" w:lineRule="auto"/>
        <w:tabs>
          <w:tab w:leader="none" w:pos="14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Term</w:t>
      </w:r>
      <w:r>
        <w:rPr>
          <w:rFonts w:ascii="Times New Roman" w:cs="Times New Roman" w:eastAsia="Times New Roman" w:hAnsi="Times New Roman"/>
          <w:sz w:val="22"/>
          <w:szCs w:val="22"/>
          <w:color w:val="auto"/>
        </w:rPr>
        <w:t>. Landlord and Tenant agree and acknowledge that the Existing Lease is set to expire on March 31, 2027. Provided that the Extension Requirements (as defined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535940</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9" w:name="page140"/>
    <w:bookmarkEnd w:id="139"/>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below) have been satisfied, notwithstanding anything to the contrary in the Existing Lease, the Term of the Existing Lease shall be extended for an additional thirty-six (36) month period (the “</w:t>
      </w:r>
      <w:r>
        <w:rPr>
          <w:rFonts w:ascii="Times New Roman" w:cs="Times New Roman" w:eastAsia="Times New Roman" w:hAnsi="Times New Roman"/>
          <w:sz w:val="22"/>
          <w:szCs w:val="22"/>
          <w:u w:val="single" w:color="auto"/>
          <w:color w:val="auto"/>
        </w:rPr>
        <w:t>Extended Term</w:t>
      </w:r>
      <w:r>
        <w:rPr>
          <w:rFonts w:ascii="Times New Roman" w:cs="Times New Roman" w:eastAsia="Times New Roman" w:hAnsi="Times New Roman"/>
          <w:sz w:val="22"/>
          <w:szCs w:val="22"/>
          <w:color w:val="auto"/>
        </w:rPr>
        <w:t>”). The Extended Term shall commence on April 1, 2027 (the “</w:t>
      </w:r>
      <w:r>
        <w:rPr>
          <w:rFonts w:ascii="Times New Roman" w:cs="Times New Roman" w:eastAsia="Times New Roman" w:hAnsi="Times New Roman"/>
          <w:sz w:val="22"/>
          <w:szCs w:val="22"/>
          <w:u w:val="single" w:color="auto"/>
          <w:color w:val="auto"/>
        </w:rPr>
        <w:t>Extended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and end on March 31, 2030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Extension Requirements</w:t>
      </w:r>
      <w:r>
        <w:rPr>
          <w:rFonts w:ascii="Times New Roman" w:cs="Times New Roman" w:eastAsia="Times New Roman" w:hAnsi="Times New Roman"/>
          <w:sz w:val="22"/>
          <w:szCs w:val="22"/>
          <w:color w:val="auto"/>
        </w:rPr>
        <w:t>” means that from the Effective Date until the Extended Term Commencement Date, (i) Tenant shall not have been in default beyond any applicable notice and cure periods and shall not then be in default beyond any applicable notice and cure periods under the Existing Lease, and (ii) Tenant shall not have assigned the Existing Lease and shall be in possession of the Premises. From and after the Extended Term Commencement Date, references in the Existing Lease to the “Term” shall mean and refer to the Term of the Existing Lease as extended by the Extended Term.</w:t>
      </w:r>
    </w:p>
    <w:p>
      <w:pPr>
        <w:spacing w:after="0" w:line="214" w:lineRule="exact"/>
        <w:rPr>
          <w:sz w:val="20"/>
          <w:szCs w:val="20"/>
          <w:color w:val="auto"/>
        </w:rPr>
      </w:pPr>
    </w:p>
    <w:p>
      <w:pPr>
        <w:ind w:left="1500" w:hanging="643"/>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As-Is/CASp Disclosure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57"/>
        <w:spacing w:after="0" w:line="235" w:lineRule="auto"/>
        <w:tabs>
          <w:tab w:leader="none" w:pos="149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prior occupant of the Premises, Tenant hereby accepts the Premises in “AS-IS” condition with all faults, and without any representation or warranty, including, without limitation, any warranty that may be implied in this Third Amendment or the Existing Lease, any warranty as to the condition of the Premises or compliance with law, or any warranty that the Premises are suitable for Tenant’s use, and Landlord shall not be required to perform any improvements to the Premises and does not owe any allowance, free rent or similar concession to Tenant other than those obligations for which Landlord is already for under the Existing Lease (in connection with the extension of the Term contemplated herein or otherwise).</w:t>
      </w:r>
    </w:p>
    <w:p>
      <w:pPr>
        <w:spacing w:after="0" w:line="178" w:lineRule="exact"/>
        <w:rPr>
          <w:rFonts w:ascii="Times New Roman" w:cs="Times New Roman" w:eastAsia="Times New Roman" w:hAnsi="Times New Roman"/>
          <w:sz w:val="22"/>
          <w:szCs w:val="22"/>
          <w:color w:val="auto"/>
        </w:rPr>
      </w:pPr>
    </w:p>
    <w:p>
      <w:pPr>
        <w:jc w:val="right"/>
        <w:ind w:left="200" w:right="219" w:firstLine="657"/>
        <w:spacing w:after="0" w:line="243" w:lineRule="auto"/>
        <w:tabs>
          <w:tab w:leader="none" w:pos="1496"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required by Section 1938(a) of the California Civil Code, Landlord discloses to Tenant that the Premises has not undergone inspection by a Certified Access Specialist ("CASp"). As required by Section 1938(e) of the California Civil Code, Landlord also states that: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As permitted by the quoted language above, it is agreed that: (i) any CASp inspection requested by Tenant shall be requested by Tenant within ten</w:t>
      </w:r>
    </w:p>
    <w:p>
      <w:pPr>
        <w:spacing w:after="0" w:line="4" w:lineRule="exact"/>
        <w:rPr>
          <w:rFonts w:ascii="Times New Roman" w:cs="Times New Roman" w:eastAsia="Times New Roman" w:hAnsi="Times New Roman"/>
          <w:sz w:val="21"/>
          <w:szCs w:val="21"/>
          <w:color w:val="auto"/>
        </w:rPr>
      </w:pPr>
    </w:p>
    <w:p>
      <w:pPr>
        <w:jc w:val="both"/>
        <w:ind w:left="200" w:right="219" w:firstLine="9"/>
        <w:spacing w:after="0" w:line="241" w:lineRule="auto"/>
        <w:tabs>
          <w:tab w:leader="none" w:pos="65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date on which this Third Amendment has been executed by Landlord and Tenant, (ii) Landlord shall be an intended third party beneficiary of the contract under which the inspection is to be performed and the contract shall otherwise comply with the provisions of the Lease applicable to Tenant contracts for construction; (iii) the CASp inspection shall be conducted</w:t>
      </w:r>
    </w:p>
    <w:p>
      <w:pPr>
        <w:spacing w:after="0" w:line="2" w:lineRule="exact"/>
        <w:rPr>
          <w:rFonts w:ascii="Times New Roman" w:cs="Times New Roman" w:eastAsia="Times New Roman" w:hAnsi="Times New Roman"/>
          <w:sz w:val="21"/>
          <w:szCs w:val="21"/>
          <w:color w:val="auto"/>
        </w:rPr>
      </w:pPr>
    </w:p>
    <w:p>
      <w:pPr>
        <w:jc w:val="both"/>
        <w:ind w:left="200" w:right="219"/>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at Tenant's sole cost and expense, (B) by a CASp approved in advance by Landlord and only after ten (10) days' prior written notice to Landlord of the date of such CASp inspection, (C) in a manner reasonably satisfactory to Landlord, and (D) shall be addressed to, and, upon completion, promptly delivered to, Landlord and Tenant; (iv) the information in the inspection shall not be disclosed by Tenant to anyone other than contractors, subcontractors, and consultants of Tenant who have a need to know the information therein and who agree in writing not to further disclose such information; (v) Tenant, at its sole cost and expense, shall be responsible for making any</w:t>
      </w:r>
    </w:p>
    <w:p>
      <w:pPr>
        <w:ind w:left="200"/>
        <w:spacing w:after="0"/>
        <w:rPr>
          <w:sz w:val="20"/>
          <w:szCs w:val="20"/>
          <w:color w:val="auto"/>
        </w:rPr>
      </w:pPr>
      <w:r>
        <w:rPr>
          <w:rFonts w:ascii="Times New Roman" w:cs="Times New Roman" w:eastAsia="Times New Roman" w:hAnsi="Times New Roman"/>
          <w:sz w:val="22"/>
          <w:szCs w:val="22"/>
          <w:color w:val="auto"/>
        </w:rPr>
        <w:t>improvements, alterations,</w:t>
      </w: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535940</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0" w:name="page141"/>
    <w:bookmarkEnd w:id="140"/>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modifications and/or repairs to or within the Premises to correct violations of construction-related accessibility standards including, without limitation, any violations disclosed by such CASp inspection; and (vi) if such CASp inspection identifies any improvements, alterations, modifications and/or repairs necessary to correct violations of construction-related accessibility standards relating to those items of the building located outside the Premises that are Landlord's obligation to repair under this Lease, then Landlord shall perform such improvements, alterations, modifications and/or repairs as and to the extent required by applicable laws to correct such violations, and Tenant shall reimburse Landlord for the cost of such improvements, alterations, modifications and/or repairs within ten (10) business days after Tenant's receipt of an invoice therefor from Landlord.</w:t>
      </w:r>
    </w:p>
    <w:p>
      <w:pPr>
        <w:spacing w:after="0" w:line="206" w:lineRule="exact"/>
        <w:rPr>
          <w:sz w:val="20"/>
          <w:szCs w:val="20"/>
          <w:color w:val="auto"/>
        </w:rPr>
      </w:pPr>
    </w:p>
    <w:p>
      <w:pPr>
        <w:ind w:left="1500" w:hanging="643"/>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Commencing on the Extended Term Commencement Date, Base Rent for the Premises during the Extended Term shall be as follows:</w:t>
      </w:r>
    </w:p>
    <w:p>
      <w:pPr>
        <w:spacing w:after="0" w:line="185" w:lineRule="exact"/>
        <w:rPr>
          <w:sz w:val="20"/>
          <w:szCs w:val="20"/>
          <w:color w:val="auto"/>
        </w:rPr>
      </w:pPr>
    </w:p>
    <w:p>
      <w:pPr>
        <w:ind w:left="1980"/>
        <w:spacing w:after="0"/>
        <w:tabs>
          <w:tab w:leader="none" w:pos="2660" w:val="left"/>
          <w:tab w:leader="none" w:pos="3520" w:val="left"/>
          <w:tab w:leader="none" w:pos="4340" w:val="left"/>
          <w:tab w:leader="none" w:pos="52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For</w:t>
      </w:r>
      <w:r>
        <w:rPr>
          <w:sz w:val="20"/>
          <w:szCs w:val="20"/>
          <w:color w:val="auto"/>
        </w:rPr>
        <w:tab/>
      </w:r>
      <w:r>
        <w:rPr>
          <w:rFonts w:ascii="Times New Roman" w:cs="Times New Roman" w:eastAsia="Times New Roman" w:hAnsi="Times New Roman"/>
          <w:sz w:val="22"/>
          <w:szCs w:val="22"/>
          <w:color w:val="auto"/>
        </w:rPr>
        <w:t>the</w:t>
      </w:r>
      <w:r>
        <w:rPr>
          <w:sz w:val="20"/>
          <w:szCs w:val="20"/>
          <w:color w:val="auto"/>
        </w:rPr>
        <w:tab/>
      </w:r>
      <w:r>
        <w:rPr>
          <w:rFonts w:ascii="Times New Roman" w:cs="Times New Roman" w:eastAsia="Times New Roman" w:hAnsi="Times New Roman"/>
          <w:sz w:val="22"/>
          <w:szCs w:val="22"/>
          <w:color w:val="auto"/>
        </w:rPr>
        <w:t>period</w:t>
      </w:r>
      <w:r>
        <w:rPr>
          <w:sz w:val="20"/>
          <w:szCs w:val="20"/>
          <w:color w:val="auto"/>
        </w:rPr>
        <w:tab/>
      </w:r>
      <w:r>
        <w:rPr>
          <w:rFonts w:ascii="Times New Roman" w:cs="Times New Roman" w:eastAsia="Times New Roman" w:hAnsi="Times New Roman"/>
          <w:sz w:val="21"/>
          <w:szCs w:val="21"/>
          <w:color w:val="auto"/>
        </w:rPr>
        <w:t>$148,292.19</w:t>
      </w:r>
    </w:p>
    <w:p>
      <w:pPr>
        <w:spacing w:after="0" w:line="4" w:lineRule="exact"/>
        <w:rPr>
          <w:sz w:val="20"/>
          <w:szCs w:val="20"/>
          <w:color w:val="auto"/>
        </w:rPr>
      </w:pPr>
    </w:p>
    <w:p>
      <w:pPr>
        <w:ind w:left="2000"/>
        <w:spacing w:after="0"/>
        <w:tabs>
          <w:tab w:leader="none" w:pos="3260" w:val="left"/>
          <w:tab w:leader="none" w:pos="3660" w:val="left"/>
          <w:tab w:leader="none" w:pos="4080" w:val="left"/>
          <w:tab w:leader="none" w:pos="5260" w:val="left"/>
        </w:tabs>
        <w:rPr>
          <w:sz w:val="20"/>
          <w:szCs w:val="20"/>
          <w:color w:val="auto"/>
        </w:rPr>
      </w:pPr>
      <w:r>
        <w:rPr>
          <w:rFonts w:ascii="Times New Roman" w:cs="Times New Roman" w:eastAsia="Times New Roman" w:hAnsi="Times New Roman"/>
          <w:sz w:val="22"/>
          <w:szCs w:val="22"/>
          <w:color w:val="auto"/>
        </w:rPr>
        <w:t>commencing</w:t>
        <w:tab/>
        <w:t>on</w:t>
        <w:tab/>
        <w:t>the</w:t>
        <w:tab/>
        <w:t>Extended</w:t>
      </w:r>
      <w:r>
        <w:rPr>
          <w:sz w:val="20"/>
          <w:szCs w:val="20"/>
          <w:color w:val="auto"/>
        </w:rPr>
        <w:tab/>
      </w:r>
      <w:r>
        <w:rPr>
          <w:rFonts w:ascii="Times New Roman" w:cs="Times New Roman" w:eastAsia="Times New Roman" w:hAnsi="Times New Roman"/>
          <w:sz w:val="21"/>
          <w:szCs w:val="21"/>
          <w:color w:val="auto"/>
        </w:rPr>
        <w:t>(per month);</w:t>
      </w:r>
    </w:p>
    <w:p>
      <w:pPr>
        <w:ind w:left="2000"/>
        <w:spacing w:after="0"/>
        <w:tabs>
          <w:tab w:leader="none" w:pos="2760" w:val="left"/>
          <w:tab w:leader="none" w:pos="4500" w:val="left"/>
        </w:tabs>
        <w:rPr>
          <w:sz w:val="20"/>
          <w:szCs w:val="20"/>
          <w:color w:val="auto"/>
        </w:rPr>
      </w:pPr>
      <w:r>
        <w:rPr>
          <w:rFonts w:ascii="Times New Roman" w:cs="Times New Roman" w:eastAsia="Times New Roman" w:hAnsi="Times New Roman"/>
          <w:sz w:val="22"/>
          <w:szCs w:val="22"/>
          <w:color w:val="auto"/>
        </w:rPr>
        <w:t>Term</w:t>
      </w:r>
      <w:r>
        <w:rPr>
          <w:sz w:val="20"/>
          <w:szCs w:val="20"/>
          <w:color w:val="auto"/>
        </w:rPr>
        <w:tab/>
      </w:r>
      <w:r>
        <w:rPr>
          <w:rFonts w:ascii="Times New Roman" w:cs="Times New Roman" w:eastAsia="Times New Roman" w:hAnsi="Times New Roman"/>
          <w:sz w:val="22"/>
          <w:szCs w:val="22"/>
          <w:color w:val="auto"/>
        </w:rPr>
        <w:t>Commencement</w:t>
      </w:r>
      <w:r>
        <w:rPr>
          <w:sz w:val="20"/>
          <w:szCs w:val="20"/>
          <w:color w:val="auto"/>
        </w:rPr>
        <w:tab/>
      </w:r>
      <w:r>
        <w:rPr>
          <w:rFonts w:ascii="Times New Roman" w:cs="Times New Roman" w:eastAsia="Times New Roman" w:hAnsi="Times New Roman"/>
          <w:sz w:val="21"/>
          <w:szCs w:val="21"/>
          <w:color w:val="auto"/>
        </w:rPr>
        <w:t>Date</w:t>
      </w:r>
    </w:p>
    <w:p>
      <w:pPr>
        <w:ind w:left="2000"/>
        <w:spacing w:after="0"/>
        <w:tabs>
          <w:tab w:leader="none" w:pos="2860" w:val="left"/>
          <w:tab w:leader="none" w:pos="3320" w:val="left"/>
          <w:tab w:leader="none" w:pos="3840" w:val="left"/>
        </w:tabs>
        <w:rPr>
          <w:sz w:val="20"/>
          <w:szCs w:val="20"/>
          <w:color w:val="auto"/>
        </w:rPr>
      </w:pPr>
      <w:r>
        <w:rPr>
          <w:rFonts w:ascii="Times New Roman" w:cs="Times New Roman" w:eastAsia="Times New Roman" w:hAnsi="Times New Roman"/>
          <w:sz w:val="22"/>
          <w:szCs w:val="22"/>
          <w:color w:val="auto"/>
        </w:rPr>
        <w:t>through</w:t>
        <w:tab/>
        <w:t>the</w:t>
        <w:tab/>
        <w:t>day</w:t>
      </w:r>
      <w:r>
        <w:rPr>
          <w:sz w:val="20"/>
          <w:szCs w:val="20"/>
          <w:color w:val="auto"/>
        </w:rPr>
        <w:tab/>
      </w:r>
      <w:r>
        <w:rPr>
          <w:rFonts w:ascii="Times New Roman" w:cs="Times New Roman" w:eastAsia="Times New Roman" w:hAnsi="Times New Roman"/>
          <w:sz w:val="21"/>
          <w:szCs w:val="21"/>
          <w:color w:val="auto"/>
        </w:rPr>
        <w:t>immediately</w:t>
      </w:r>
    </w:p>
    <w:p>
      <w:pPr>
        <w:ind w:left="2000"/>
        <w:spacing w:after="0" w:line="230" w:lineRule="auto"/>
        <w:rPr>
          <w:sz w:val="20"/>
          <w:szCs w:val="20"/>
          <w:color w:val="auto"/>
        </w:rPr>
      </w:pPr>
      <w:r>
        <w:rPr>
          <w:rFonts w:ascii="Times New Roman" w:cs="Times New Roman" w:eastAsia="Times New Roman" w:hAnsi="Times New Roman"/>
          <w:sz w:val="22"/>
          <w:szCs w:val="22"/>
          <w:color w:val="auto"/>
        </w:rPr>
        <w:t>preceding  the  first  day  of  the</w:t>
      </w:r>
    </w:p>
    <w:p>
      <w:pPr>
        <w:ind w:left="2000"/>
        <w:spacing w:after="0" w:line="231" w:lineRule="auto"/>
        <w:rPr>
          <w:sz w:val="20"/>
          <w:szCs w:val="20"/>
          <w:color w:val="auto"/>
        </w:rPr>
      </w:pPr>
      <w:r>
        <w:rPr>
          <w:rFonts w:ascii="Times New Roman" w:cs="Times New Roman" w:eastAsia="Times New Roman" w:hAnsi="Times New Roman"/>
          <w:sz w:val="22"/>
          <w:szCs w:val="22"/>
          <w:color w:val="auto"/>
        </w:rPr>
        <w:t>calendar month in which the first</w:t>
      </w:r>
    </w:p>
    <w:p>
      <w:pPr>
        <w:ind w:left="2000"/>
        <w:spacing w:after="0" w:line="230" w:lineRule="auto"/>
        <w:rPr>
          <w:sz w:val="20"/>
          <w:szCs w:val="20"/>
          <w:color w:val="auto"/>
        </w:rPr>
      </w:pPr>
      <w:r>
        <w:rPr>
          <w:rFonts w:ascii="Times New Roman" w:cs="Times New Roman" w:eastAsia="Times New Roman" w:hAnsi="Times New Roman"/>
          <w:sz w:val="22"/>
          <w:szCs w:val="22"/>
          <w:color w:val="auto"/>
        </w:rPr>
        <w:t>(1st) annual anniversary of the</w:t>
      </w:r>
    </w:p>
    <w:p>
      <w:pPr>
        <w:ind w:left="2000"/>
        <w:spacing w:after="0" w:line="231" w:lineRule="auto"/>
        <w:rPr>
          <w:sz w:val="20"/>
          <w:szCs w:val="20"/>
          <w:color w:val="auto"/>
        </w:rPr>
      </w:pPr>
      <w:r>
        <w:rPr>
          <w:rFonts w:ascii="Times New Roman" w:cs="Times New Roman" w:eastAsia="Times New Roman" w:hAnsi="Times New Roman"/>
          <w:sz w:val="22"/>
          <w:szCs w:val="22"/>
          <w:color w:val="auto"/>
        </w:rPr>
        <w:t>Extended Term Commencement</w:t>
      </w:r>
    </w:p>
    <w:p>
      <w:pPr>
        <w:ind w:left="2000"/>
        <w:spacing w:after="0"/>
        <w:tabs>
          <w:tab w:leader="none" w:pos="2700" w:val="left"/>
          <w:tab w:leader="none" w:pos="3580" w:val="left"/>
          <w:tab w:leader="none" w:pos="4220" w:val="left"/>
        </w:tabs>
        <w:rPr>
          <w:sz w:val="20"/>
          <w:szCs w:val="20"/>
          <w:color w:val="auto"/>
        </w:rPr>
      </w:pPr>
      <w:r>
        <w:rPr>
          <w:rFonts w:ascii="Times New Roman" w:cs="Times New Roman" w:eastAsia="Times New Roman" w:hAnsi="Times New Roman"/>
          <w:sz w:val="22"/>
          <w:szCs w:val="22"/>
          <w:color w:val="auto"/>
        </w:rPr>
        <w:t>Date</w:t>
        <w:tab/>
        <w:t>occurs</w:t>
        <w:tab/>
        <w:t>(the</w:t>
      </w:r>
      <w:r>
        <w:rPr>
          <w:sz w:val="20"/>
          <w:szCs w:val="20"/>
          <w:color w:val="auto"/>
        </w:rPr>
        <w:tab/>
      </w:r>
      <w:r>
        <w:rPr>
          <w:rFonts w:ascii="Times New Roman" w:cs="Times New Roman" w:eastAsia="Times New Roman" w:hAnsi="Times New Roman"/>
          <w:sz w:val="21"/>
          <w:szCs w:val="21"/>
          <w:color w:val="auto"/>
        </w:rPr>
        <w:t>“1-Year</w:t>
      </w:r>
    </w:p>
    <w:p>
      <w:pPr>
        <w:spacing w:after="0" w:line="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Anniversary”);</w:t>
      </w:r>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For</w:t>
            </w:r>
          </w:p>
        </w:tc>
        <w:tc>
          <w:tcPr>
            <w:tcW w:w="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w:t>
            </w:r>
          </w:p>
        </w:tc>
        <w:tc>
          <w:tcPr>
            <w:tcW w:w="98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period</w:t>
            </w:r>
          </w:p>
        </w:tc>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$152,740.96</w:t>
            </w:r>
          </w:p>
        </w:tc>
      </w:tr>
      <w:tr>
        <w:trPr>
          <w:trHeight w:val="243"/>
        </w:trPr>
        <w:tc>
          <w:tcPr>
            <w:tcW w:w="11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commencing</w:t>
            </w:r>
          </w:p>
        </w:tc>
        <w:tc>
          <w:tcPr>
            <w:tcW w:w="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on  the</w:t>
            </w:r>
          </w:p>
        </w:tc>
        <w:tc>
          <w:tcPr>
            <w:tcW w:w="980" w:type="dxa"/>
            <w:vAlign w:val="bottom"/>
            <w:gridSpan w:val="2"/>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1-Year</w:t>
            </w:r>
          </w:p>
        </w:tc>
        <w:tc>
          <w:tcPr>
            <w:tcW w:w="1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5"/>
              </w:rPr>
              <w:t>(per month);</w:t>
            </w:r>
          </w:p>
        </w:tc>
      </w:tr>
      <w:tr>
        <w:trPr>
          <w:trHeight w:val="243"/>
        </w:trPr>
        <w:tc>
          <w:tcPr>
            <w:tcW w:w="11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Anniversary</w:t>
            </w: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through</w:t>
            </w:r>
          </w:p>
        </w:tc>
        <w:tc>
          <w:tcPr>
            <w:tcW w:w="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the</w:t>
            </w:r>
          </w:p>
        </w:tc>
        <w:tc>
          <w:tcPr>
            <w:tcW w:w="5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day</w:t>
            </w:r>
          </w:p>
        </w:tc>
        <w:tc>
          <w:tcPr>
            <w:tcW w:w="1260" w:type="dxa"/>
            <w:vAlign w:val="bottom"/>
          </w:tcPr>
          <w:p>
            <w:pPr>
              <w:spacing w:after="0"/>
              <w:rPr>
                <w:sz w:val="21"/>
                <w:szCs w:val="21"/>
                <w:color w:val="auto"/>
              </w:rPr>
            </w:pPr>
          </w:p>
        </w:tc>
      </w:tr>
      <w:tr>
        <w:trPr>
          <w:trHeight w:val="243"/>
        </w:trPr>
        <w:tc>
          <w:tcPr>
            <w:tcW w:w="11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immediately</w:t>
            </w: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preceding</w:t>
            </w:r>
          </w:p>
        </w:tc>
        <w:tc>
          <w:tcPr>
            <w:tcW w:w="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the</w:t>
            </w:r>
          </w:p>
        </w:tc>
        <w:tc>
          <w:tcPr>
            <w:tcW w:w="5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first</w:t>
            </w:r>
          </w:p>
        </w:tc>
        <w:tc>
          <w:tcPr>
            <w:tcW w:w="1260" w:type="dxa"/>
            <w:vAlign w:val="bottom"/>
          </w:tcPr>
          <w:p>
            <w:pPr>
              <w:spacing w:after="0"/>
              <w:rPr>
                <w:sz w:val="21"/>
                <w:szCs w:val="21"/>
                <w:color w:val="auto"/>
              </w:rPr>
            </w:pPr>
          </w:p>
        </w:tc>
      </w:tr>
      <w:tr>
        <w:trPr>
          <w:trHeight w:val="243"/>
        </w:trPr>
        <w:tc>
          <w:tcPr>
            <w:tcW w:w="3120" w:type="dxa"/>
            <w:vAlign w:val="bottom"/>
            <w:gridSpan w:val="5"/>
          </w:tcPr>
          <w:p>
            <w:pPr>
              <w:ind w:left="20"/>
              <w:spacing w:after="0" w:line="243" w:lineRule="exact"/>
              <w:rPr>
                <w:sz w:val="20"/>
                <w:szCs w:val="20"/>
                <w:color w:val="auto"/>
              </w:rPr>
            </w:pPr>
            <w:r>
              <w:rPr>
                <w:rFonts w:ascii="Times New Roman" w:cs="Times New Roman" w:eastAsia="Times New Roman" w:hAnsi="Times New Roman"/>
                <w:sz w:val="22"/>
                <w:szCs w:val="22"/>
                <w:color w:val="auto"/>
              </w:rPr>
              <w:t>day  of  the  calendar  month  in</w:t>
            </w:r>
          </w:p>
        </w:tc>
        <w:tc>
          <w:tcPr>
            <w:tcW w:w="1260" w:type="dxa"/>
            <w:vAlign w:val="bottom"/>
          </w:tcPr>
          <w:p>
            <w:pPr>
              <w:spacing w:after="0"/>
              <w:rPr>
                <w:sz w:val="21"/>
                <w:szCs w:val="21"/>
                <w:color w:val="auto"/>
              </w:rPr>
            </w:pPr>
          </w:p>
        </w:tc>
      </w:tr>
      <w:tr>
        <w:trPr>
          <w:trHeight w:val="243"/>
        </w:trPr>
        <w:tc>
          <w:tcPr>
            <w:tcW w:w="3120" w:type="dxa"/>
            <w:vAlign w:val="bottom"/>
            <w:gridSpan w:val="5"/>
          </w:tcPr>
          <w:p>
            <w:pPr>
              <w:ind w:left="20"/>
              <w:spacing w:after="0" w:line="243" w:lineRule="exact"/>
              <w:rPr>
                <w:sz w:val="20"/>
                <w:szCs w:val="20"/>
                <w:color w:val="auto"/>
              </w:rPr>
            </w:pPr>
            <w:r>
              <w:rPr>
                <w:rFonts w:ascii="Times New Roman" w:cs="Times New Roman" w:eastAsia="Times New Roman" w:hAnsi="Times New Roman"/>
                <w:sz w:val="22"/>
                <w:szCs w:val="22"/>
                <w:color w:val="auto"/>
              </w:rPr>
              <w:t>which the second (2nd) annual</w:t>
            </w:r>
          </w:p>
        </w:tc>
        <w:tc>
          <w:tcPr>
            <w:tcW w:w="1260" w:type="dxa"/>
            <w:vAlign w:val="bottom"/>
          </w:tcPr>
          <w:p>
            <w:pPr>
              <w:spacing w:after="0"/>
              <w:rPr>
                <w:sz w:val="21"/>
                <w:szCs w:val="21"/>
                <w:color w:val="auto"/>
              </w:rPr>
            </w:pPr>
          </w:p>
        </w:tc>
      </w:tr>
      <w:tr>
        <w:trPr>
          <w:trHeight w:val="243"/>
        </w:trPr>
        <w:tc>
          <w:tcPr>
            <w:tcW w:w="3120" w:type="dxa"/>
            <w:vAlign w:val="bottom"/>
            <w:gridSpan w:val="5"/>
          </w:tcPr>
          <w:p>
            <w:pPr>
              <w:ind w:left="20"/>
              <w:spacing w:after="0" w:line="243" w:lineRule="exact"/>
              <w:rPr>
                <w:sz w:val="20"/>
                <w:szCs w:val="20"/>
                <w:color w:val="auto"/>
              </w:rPr>
            </w:pPr>
            <w:r>
              <w:rPr>
                <w:rFonts w:ascii="Times New Roman" w:cs="Times New Roman" w:eastAsia="Times New Roman" w:hAnsi="Times New Roman"/>
                <w:sz w:val="22"/>
                <w:szCs w:val="22"/>
                <w:color w:val="auto"/>
              </w:rPr>
              <w:t>anniversary of the Extended Term</w:t>
            </w:r>
          </w:p>
        </w:tc>
        <w:tc>
          <w:tcPr>
            <w:tcW w:w="1260" w:type="dxa"/>
            <w:vAlign w:val="bottom"/>
          </w:tcPr>
          <w:p>
            <w:pPr>
              <w:spacing w:after="0"/>
              <w:rPr>
                <w:sz w:val="21"/>
                <w:szCs w:val="21"/>
                <w:color w:val="auto"/>
              </w:rPr>
            </w:pPr>
          </w:p>
        </w:tc>
      </w:tr>
      <w:tr>
        <w:trPr>
          <w:trHeight w:val="243"/>
        </w:trPr>
        <w:tc>
          <w:tcPr>
            <w:tcW w:w="3120" w:type="dxa"/>
            <w:vAlign w:val="bottom"/>
            <w:gridSpan w:val="5"/>
          </w:tcPr>
          <w:p>
            <w:pPr>
              <w:ind w:left="20"/>
              <w:spacing w:after="0" w:line="243" w:lineRule="exact"/>
              <w:rPr>
                <w:sz w:val="20"/>
                <w:szCs w:val="20"/>
                <w:color w:val="auto"/>
              </w:rPr>
            </w:pPr>
            <w:r>
              <w:rPr>
                <w:rFonts w:ascii="Times New Roman" w:cs="Times New Roman" w:eastAsia="Times New Roman" w:hAnsi="Times New Roman"/>
                <w:sz w:val="22"/>
                <w:szCs w:val="22"/>
                <w:color w:val="auto"/>
              </w:rPr>
              <w:t>Commencement Date occurs (the</w:t>
            </w:r>
          </w:p>
        </w:tc>
        <w:tc>
          <w:tcPr>
            <w:tcW w:w="1260" w:type="dxa"/>
            <w:vAlign w:val="bottom"/>
          </w:tcPr>
          <w:p>
            <w:pPr>
              <w:spacing w:after="0"/>
              <w:rPr>
                <w:sz w:val="21"/>
                <w:szCs w:val="21"/>
                <w:color w:val="auto"/>
              </w:rPr>
            </w:pPr>
          </w:p>
        </w:tc>
      </w:tr>
      <w:tr>
        <w:trPr>
          <w:trHeight w:val="243"/>
        </w:trPr>
        <w:tc>
          <w:tcPr>
            <w:tcW w:w="21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“2-Year Anniversary”);</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6"/>
              </w:rPr>
              <w:t>$157,323.18</w:t>
            </w:r>
          </w:p>
        </w:tc>
      </w:tr>
      <w:tr>
        <w:trPr>
          <w:trHeight w:val="267"/>
        </w:trPr>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(per month);</w:t>
            </w:r>
          </w:p>
        </w:tc>
      </w:tr>
    </w:tbl>
    <w:p>
      <w:pPr>
        <w:ind w:left="1980"/>
        <w:spacing w:after="0"/>
        <w:tabs>
          <w:tab w:leader="none" w:pos="2660" w:val="left"/>
          <w:tab w:leader="none" w:pos="3520" w:val="left"/>
          <w:tab w:leader="none" w:pos="434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For</w:t>
      </w:r>
      <w:r>
        <w:rPr>
          <w:sz w:val="20"/>
          <w:szCs w:val="20"/>
          <w:color w:val="auto"/>
        </w:rPr>
        <w:tab/>
      </w:r>
      <w:r>
        <w:rPr>
          <w:rFonts w:ascii="Times New Roman" w:cs="Times New Roman" w:eastAsia="Times New Roman" w:hAnsi="Times New Roman"/>
          <w:sz w:val="22"/>
          <w:szCs w:val="22"/>
          <w:color w:val="auto"/>
        </w:rPr>
        <w:t>the</w:t>
      </w:r>
      <w:r>
        <w:rPr>
          <w:sz w:val="20"/>
          <w:szCs w:val="20"/>
          <w:color w:val="auto"/>
        </w:rPr>
        <w:tab/>
      </w:r>
      <w:r>
        <w:rPr>
          <w:rFonts w:ascii="Times New Roman" w:cs="Times New Roman" w:eastAsia="Times New Roman" w:hAnsi="Times New Roman"/>
          <w:sz w:val="21"/>
          <w:szCs w:val="21"/>
          <w:color w:val="auto"/>
        </w:rPr>
        <w:t>period</w:t>
      </w:r>
    </w:p>
    <w:p>
      <w:pPr>
        <w:ind w:left="2000"/>
        <w:spacing w:after="0"/>
        <w:tabs>
          <w:tab w:leader="none" w:pos="3340" w:val="left"/>
          <w:tab w:leader="none" w:pos="3820" w:val="left"/>
          <w:tab w:leader="none" w:pos="4320" w:val="left"/>
        </w:tabs>
        <w:rPr>
          <w:sz w:val="20"/>
          <w:szCs w:val="20"/>
          <w:color w:val="auto"/>
        </w:rPr>
      </w:pPr>
      <w:r>
        <w:rPr>
          <w:rFonts w:ascii="Times New Roman" w:cs="Times New Roman" w:eastAsia="Times New Roman" w:hAnsi="Times New Roman"/>
          <w:sz w:val="22"/>
          <w:szCs w:val="22"/>
          <w:color w:val="auto"/>
        </w:rPr>
        <w:t>commencing</w:t>
        <w:tab/>
        <w:t>on</w:t>
        <w:tab/>
        <w:t>the</w:t>
      </w:r>
      <w:r>
        <w:rPr>
          <w:sz w:val="20"/>
          <w:szCs w:val="20"/>
          <w:color w:val="auto"/>
        </w:rPr>
        <w:tab/>
      </w:r>
      <w:r>
        <w:rPr>
          <w:rFonts w:ascii="Times New Roman" w:cs="Times New Roman" w:eastAsia="Times New Roman" w:hAnsi="Times New Roman"/>
          <w:sz w:val="19"/>
          <w:szCs w:val="19"/>
          <w:color w:val="auto"/>
        </w:rPr>
        <w:t>2-Year</w:t>
      </w:r>
    </w:p>
    <w:p>
      <w:pPr>
        <w:ind w:left="2000"/>
        <w:spacing w:after="0" w:line="230" w:lineRule="auto"/>
        <w:tabs>
          <w:tab w:leader="none" w:pos="3520" w:val="left"/>
          <w:tab w:leader="none" w:pos="4640" w:val="left"/>
        </w:tabs>
        <w:rPr>
          <w:sz w:val="20"/>
          <w:szCs w:val="20"/>
          <w:color w:val="auto"/>
        </w:rPr>
      </w:pPr>
      <w:r>
        <w:rPr>
          <w:rFonts w:ascii="Times New Roman" w:cs="Times New Roman" w:eastAsia="Times New Roman" w:hAnsi="Times New Roman"/>
          <w:sz w:val="22"/>
          <w:szCs w:val="22"/>
          <w:color w:val="auto"/>
        </w:rPr>
        <w:t>Anniversary</w:t>
      </w:r>
      <w:r>
        <w:rPr>
          <w:sz w:val="20"/>
          <w:szCs w:val="20"/>
          <w:color w:val="auto"/>
        </w:rPr>
        <w:tab/>
      </w:r>
      <w:r>
        <w:rPr>
          <w:rFonts w:ascii="Times New Roman" w:cs="Times New Roman" w:eastAsia="Times New Roman" w:hAnsi="Times New Roman"/>
          <w:sz w:val="22"/>
          <w:szCs w:val="22"/>
          <w:color w:val="auto"/>
        </w:rPr>
        <w:t>through</w:t>
      </w:r>
      <w:r>
        <w:rPr>
          <w:sz w:val="20"/>
          <w:szCs w:val="20"/>
          <w:color w:val="auto"/>
        </w:rPr>
        <w:tab/>
      </w:r>
      <w:r>
        <w:rPr>
          <w:rFonts w:ascii="Times New Roman" w:cs="Times New Roman" w:eastAsia="Times New Roman" w:hAnsi="Times New Roman"/>
          <w:sz w:val="22"/>
          <w:szCs w:val="22"/>
          <w:color w:val="auto"/>
        </w:rPr>
        <w:t>the</w:t>
      </w:r>
    </w:p>
    <w:p>
      <w:pPr>
        <w:ind w:left="2000"/>
        <w:spacing w:after="0" w:line="231" w:lineRule="auto"/>
        <w:rPr>
          <w:sz w:val="20"/>
          <w:szCs w:val="20"/>
          <w:color w:val="auto"/>
        </w:rPr>
      </w:pPr>
      <w:r>
        <w:rPr>
          <w:rFonts w:ascii="Times New Roman" w:cs="Times New Roman" w:eastAsia="Times New Roman" w:hAnsi="Times New Roman"/>
          <w:sz w:val="22"/>
          <w:szCs w:val="22"/>
          <w:color w:val="auto"/>
        </w:rPr>
        <w:t>Expiration Date.</w:t>
      </w:r>
    </w:p>
    <w:p>
      <w:pPr>
        <w:jc w:val="both"/>
        <w:ind w:left="200" w:right="219" w:firstLine="657"/>
        <w:spacing w:after="0" w:line="242" w:lineRule="auto"/>
        <w:tabs>
          <w:tab w:leader="none" w:pos="149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Extension Option</w:t>
      </w:r>
      <w:r>
        <w:rPr>
          <w:rFonts w:ascii="Times New Roman" w:cs="Times New Roman" w:eastAsia="Times New Roman" w:hAnsi="Times New Roman"/>
          <w:sz w:val="21"/>
          <w:szCs w:val="21"/>
          <w:color w:val="auto"/>
        </w:rPr>
        <w:t>. Tenant shall have the right to extend the Term of the Lease (the “</w:t>
      </w:r>
      <w:r>
        <w:rPr>
          <w:rFonts w:ascii="Times New Roman" w:cs="Times New Roman" w:eastAsia="Times New Roman" w:hAnsi="Times New Roman"/>
          <w:sz w:val="21"/>
          <w:szCs w:val="21"/>
          <w:u w:val="single" w:color="auto"/>
          <w:color w:val="auto"/>
        </w:rPr>
        <w:t>Extension Option</w:t>
      </w:r>
      <w:r>
        <w:rPr>
          <w:rFonts w:ascii="Times New Roman" w:cs="Times New Roman" w:eastAsia="Times New Roman" w:hAnsi="Times New Roman"/>
          <w:sz w:val="21"/>
          <w:szCs w:val="21"/>
          <w:color w:val="auto"/>
        </w:rPr>
        <w:t>”) solely with respect to the entire Premises, and in no event with respect to only a portion of the Premises, for one (1) period of eighty-four (84) months, (the “</w:t>
      </w: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if Tenant (i) gives Landlord written notice of such election (the “</w:t>
      </w:r>
      <w:r>
        <w:rPr>
          <w:rFonts w:ascii="Times New Roman" w:cs="Times New Roman" w:eastAsia="Times New Roman" w:hAnsi="Times New Roman"/>
          <w:sz w:val="21"/>
          <w:szCs w:val="21"/>
          <w:u w:val="single" w:color="auto"/>
          <w:color w:val="auto"/>
        </w:rPr>
        <w:t>Option Notice</w:t>
      </w:r>
      <w:r>
        <w:rPr>
          <w:rFonts w:ascii="Times New Roman" w:cs="Times New Roman" w:eastAsia="Times New Roman" w:hAnsi="Times New Roman"/>
          <w:sz w:val="21"/>
          <w:szCs w:val="21"/>
          <w:color w:val="auto"/>
        </w:rPr>
        <w:t>”) not earlier than thirty (30) months, and not later than twenty-four (24) months, prior to the Expiration Date, (ii) is not in default of any provision of the Lease beyond any applicable notice and cure periods on or prior to the Expiration Date, and (iii) is not in default of any provision of the Lease on the date of giving the applicable Option Notice. The Base Rent attributable to the Premises during the Option Terms shall be equal to one hundred percent (100%) of the “</w:t>
      </w:r>
      <w:r>
        <w:rPr>
          <w:rFonts w:ascii="Times New Roman" w:cs="Times New Roman" w:eastAsia="Times New Roman" w:hAnsi="Times New Roman"/>
          <w:sz w:val="21"/>
          <w:szCs w:val="21"/>
          <w:u w:val="single" w:color="auto"/>
          <w:color w:val="auto"/>
        </w:rPr>
        <w:t>Fair Market Rental Rate</w:t>
      </w:r>
      <w:r>
        <w:rPr>
          <w:rFonts w:ascii="Times New Roman" w:cs="Times New Roman" w:eastAsia="Times New Roman" w:hAnsi="Times New Roman"/>
          <w:sz w:val="21"/>
          <w:szCs w:val="21"/>
          <w:color w:val="auto"/>
        </w:rPr>
        <w:t>”, as defined below, provided that in no event shall Base Rent during the Option Terms be less than one hundred</w:t>
      </w: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535940</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1" w:name="page142"/>
    <w:bookmarkEnd w:id="141"/>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three percent (103%). of the Base Rent attributable to the Premises immediately preceding the Expiration Date.</w:t>
      </w:r>
    </w:p>
    <w:p>
      <w:pPr>
        <w:spacing w:after="0" w:line="185"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term “Fair Market Rental Rate” shall mean the fair market rental rate that would be agreed upon between a landlord and tenant entering into a renewal lease or new lease for comparable space with respect to build-out, location, configuration and size, in a comparable building for a comparable term, (A) assuming that the landlord and tenant are informed and well-advised and each is acting in what it considers its own best interests; and (B) taking into consideration all relevant factors, including such factors as the duration of the renewal term, and/or whether a broker’s commission or finder’s fee will be paid.</w:t>
      </w:r>
    </w:p>
    <w:p>
      <w:pPr>
        <w:spacing w:after="0" w:line="183"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The Fair Market Rental Rate shall be determined as follows: Landlord and Tenant shall negotiate in good faith to determine the Base Rent for the applicable Option Term for a period of thirty (30) days after the date on which Landlord receives the Option Notice. If Landlord and Tenant are unable to agree upon the Base Rent for the applicable Option Term within said 30-day period, then the Fair Market Rental Rate for the Premises shall be determined as follows: Within ten (10) business days of the expiration of such thirty (30) day period, Landlord and Tenant shall each hire and appoint a real estate broker licensed in California specializing in the field of office leasing in buildings similar to the Premises, having no fewer than ten (10) years’ experience in such field, and recognized as ethical and reputable within the field (each, an “</w:t>
      </w:r>
      <w:r>
        <w:rPr>
          <w:rFonts w:ascii="Times New Roman" w:cs="Times New Roman" w:eastAsia="Times New Roman" w:hAnsi="Times New Roman"/>
          <w:sz w:val="21"/>
          <w:szCs w:val="21"/>
          <w:u w:val="single" w:color="auto"/>
          <w:color w:val="auto"/>
        </w:rPr>
        <w:t>Appraiser</w:t>
      </w:r>
      <w:r>
        <w:rPr>
          <w:rFonts w:ascii="Times New Roman" w:cs="Times New Roman" w:eastAsia="Times New Roman" w:hAnsi="Times New Roman"/>
          <w:sz w:val="21"/>
          <w:szCs w:val="21"/>
          <w:color w:val="auto"/>
        </w:rPr>
        <w:t>”). Each party shall designate its Appraiser by written notice to the other party. If either party shall fail to appoint its Appraiser within the period specified above (such party referred to hereinafter as the “failing party”), the other party may serve notice on the failing party requiring the failing party to appoint its Appraiser within ten (10) days of the giving of such notice and if the failing party shall not respond by appointment of its Appraiser within said ten (10) day period, then the Appraiser appointed by the other party shall be the sole Appraiser whose determination of the Fair Market Rental Rate shall be binding and conclusive upon Tenant and Landlord. Following appointment of the Appraisers, the Appraisers will each submit their estimated Fair Market Rental Rate (a “</w:t>
      </w:r>
      <w:r>
        <w:rPr>
          <w:rFonts w:ascii="Times New Roman" w:cs="Times New Roman" w:eastAsia="Times New Roman" w:hAnsi="Times New Roman"/>
          <w:sz w:val="21"/>
          <w:szCs w:val="21"/>
          <w:u w:val="single" w:color="auto"/>
          <w:color w:val="auto"/>
        </w:rPr>
        <w:t>Fair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Market Determination</w:t>
      </w:r>
      <w:r>
        <w:rPr>
          <w:rFonts w:ascii="Times New Roman" w:cs="Times New Roman" w:eastAsia="Times New Roman" w:hAnsi="Times New Roman"/>
          <w:sz w:val="21"/>
          <w:szCs w:val="21"/>
          <w:color w:val="auto"/>
        </w:rPr>
        <w:t>”) to the other. If Appraisers are unable to agree within thirty (30) days of the exchange of Fair Market Rental Rate estimates, then the Appraisers will elect a third Appraiser (the “</w:t>
      </w:r>
      <w:r>
        <w:rPr>
          <w:rFonts w:ascii="Times New Roman" w:cs="Times New Roman" w:eastAsia="Times New Roman" w:hAnsi="Times New Roman"/>
          <w:sz w:val="21"/>
          <w:szCs w:val="21"/>
          <w:u w:val="single" w:color="auto"/>
          <w:color w:val="auto"/>
        </w:rPr>
        <w:t>Neutral Appraiser</w:t>
      </w:r>
      <w:r>
        <w:rPr>
          <w:rFonts w:ascii="Times New Roman" w:cs="Times New Roman" w:eastAsia="Times New Roman" w:hAnsi="Times New Roman"/>
          <w:sz w:val="21"/>
          <w:szCs w:val="21"/>
          <w:color w:val="auto"/>
        </w:rPr>
        <w:t>”) meeting the qualifications stated above and each of Landlord’s and Tenant’s Appraiser will present the Neutral Appraiser with his or her Fair Market Determination. The Neutral Appraiser shall then select which of the two Fair Market Determinations previously submitted by the initial two Appraisers is closest to the Fair Market Rental Rate and shall not have the right to propose a different Fair Market Rental Rate. The Neutral Appraiser must be a person who has not acted in any capacity for either Landlord or Tenant in the immediately prior ten (10) years, or their affiliates. The cost and expenses of the Neutral Appraiser shall be shared equally by Tenant and Landlord. The Fair Market Rental Rate of the Premises determined in accordance with the provisions of this Section shall be binding and conclusive on Tenant and Landlord.</w:t>
      </w:r>
    </w:p>
    <w:p>
      <w:pPr>
        <w:spacing w:after="0" w:line="174"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All of the other terms and conditions of the Lease shall apply during the Option Terms (other than the further right to extend the Term beyond the Extension Options provided above, and any obligation to construct Landlord’s Work provided in the Lease, which shall be inapplicable).</w:t>
      </w:r>
    </w:p>
    <w:p>
      <w:pPr>
        <w:spacing w:after="0" w:line="15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The foregoing Extension Option(s) are personal to the named Tenant under this Lease, and shall not inure to the benefit of any assignee or subtenant unless otherwise agreed to in writing between the parties. The Extension Option(s) shall be void and of no further effect if at any time</w:t>
      </w: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535940</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2" w:name="page143"/>
    <w:bookmarkEnd w:id="142"/>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the named Tenant under this Lease assigns this Lease or subleases any portion of the rentable square footage of the Premises unless otherwise agreed to in writing between the parties.</w:t>
      </w:r>
    </w:p>
    <w:p>
      <w:pPr>
        <w:spacing w:after="0" w:line="158" w:lineRule="exact"/>
        <w:rPr>
          <w:sz w:val="20"/>
          <w:szCs w:val="20"/>
          <w:color w:val="auto"/>
        </w:rPr>
      </w:pPr>
    </w:p>
    <w:p>
      <w:pPr>
        <w:jc w:val="both"/>
        <w:ind w:left="200" w:right="219" w:firstLine="657"/>
        <w:spacing w:after="0" w:line="232" w:lineRule="auto"/>
        <w:tabs>
          <w:tab w:leader="none" w:pos="14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As a material condition to the effectiveness of this Third Amendment, Tenant hereby agrees, on behalf of itself and its directors, officers, employees, agents, representatives, advisors, successors and assigns (collectively, “</w:t>
      </w:r>
      <w:r>
        <w:rPr>
          <w:rFonts w:ascii="Times New Roman" w:cs="Times New Roman" w:eastAsia="Times New Roman" w:hAnsi="Times New Roman"/>
          <w:sz w:val="22"/>
          <w:szCs w:val="22"/>
          <w:u w:val="single" w:color="auto"/>
          <w:color w:val="auto"/>
        </w:rPr>
        <w:t>Tenant Parties</w:t>
      </w:r>
      <w:r>
        <w:rPr>
          <w:rFonts w:ascii="Times New Roman" w:cs="Times New Roman" w:eastAsia="Times New Roman" w:hAnsi="Times New Roman"/>
          <w:sz w:val="22"/>
          <w:szCs w:val="22"/>
          <w:color w:val="auto"/>
        </w:rPr>
        <w:t>”), that the contents and terms of this Third Amendment shall remain strictly confidential and any of the Tenant Parties shall not directly or indirectly disclose, publish or otherwise reveal any of the contents or terms of this Third Amendment to any other person, party or entity without the specific prior written authorization of Landlord. The foregoing obligations of the Tenant Parties shall be effective as of the date of this Third Amendment and shall remain in effect throughout the remainder of the Lease Term (including any extensions thereof). Notwithstanding the foregoing, Tenant shall be permitted to disclose the contents and terms of this Third Amendment to: (i) affiliated companies, lenders, prospective lenders and prospective purchasers (including prospective purchases of the Tenant’s equity), provided that the recipient is advised of the confidential nature thereof and is bound to maintain the confidentiality of the same (subject to exclusions herein); and (ii) to the extent legally required by (a) any subpoena, court order, or other applicable administrative, regulatory or legal process or proceeding including, but not limited to, any applicable SEC filing requirements, or (b) any law or regulation, however only to the extent required by process, proceeding law or regulation, provided that the recipient, to the extent practicable, is advised of the confidential nature thereof.</w:t>
      </w:r>
    </w:p>
    <w:p>
      <w:pPr>
        <w:spacing w:after="0" w:line="215"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Tenant warrants that no real estate brokerage firm or agent or other person can claim a right through its dealings with Tenant to a commission or finder's fee in connection with the negotiation of this Third Amendment and that no real estate commissions or finder's fees are payable in connection herewith.</w:t>
      </w:r>
    </w:p>
    <w:p>
      <w:pPr>
        <w:spacing w:after="0" w:line="20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The terms of this Agreement shall apply to, bind and inure to the benefit of the heirs, successors, executors, legal and personal representatives, administrators and assigns of the parties, as the case may be.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Third Amendment constitutes the entire understanding and agreement of the parties with respect to the subject matter hereof, and shall supersede and replace all prior understandings and agreements, whether oral or in writing.</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If there is any legal action or proceeding to enforce or interpret any provision of this Third Amendment or to protect or establish any right or remedy of any party, the prevailing party may seek all costs and expenses, including, without limitation, reasonable attorneys’ fees and costs, incurred by such prevailing party in such action or proceeding, in enforcing such judgment, and in connection with any appeal from such judgment.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Landlord and Tenant hereby ratify and confirm their respective rights and obligations under the Lease. Except as specifically herein amended, the Lease is and shall remain in full force and effect according to the terms thereof. In the event of any conflict between the terms of the Lease and the terms of this Third Amendment, the terms of this Third Amendment shall control.</w:t>
      </w: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535940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3" w:name="page144"/>
    <w:bookmarkEnd w:id="143"/>
    <w:p>
      <w:pPr>
        <w:ind w:left="200" w:right="219" w:firstLine="1305"/>
        <w:spacing w:after="0" w:line="258" w:lineRule="auto"/>
        <w:tabs>
          <w:tab w:leader="none" w:pos="21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to sections of this Agreement are for convenient reference only and shall not be used in interpreting this Third Amendment.</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Third Amendment may be executed in counterparts, each of which shall be deemed to be an original, but all of which together shall constitute one and the same agreement. This Third Amendment may be executed by a party's signature transmitted by facsimile ("fax") or email or by a party's electronic signature, and copies of this Third Amendment executed and delivered by means of faxed or emailed copies of signatures or originals of this Third Amendment executed by electronic signature shall have the same force and effect as copies hereof executed and delivered with original wet signatures. The parties may rely upon faxed, emailed or electronic signatures as if such signatures were original wet signatures. Any party executing and delivering this Third Amendment by fax or email shall promptly thereafter deliver a counterpart signature page of this Third Amendment containing said party's original signature. The parties agree that a faxed or emailed signature page or an electronic signature may be introduced into evidence in any proceeding arising out of or related to this Third Amendment as if it were an original wet signature page.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535940</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4" w:name="page145"/>
    <w:bookmarkEnd w:id="144"/>
    <w:p>
      <w:pPr>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Third Amendment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written above.</w:t>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3880" w:type="dxa"/>
            <w:vAlign w:val="bottom"/>
            <w:gridSpan w:val="13"/>
          </w:tcPr>
          <w:p>
            <w:pPr>
              <w:spacing w:after="0"/>
              <w:rPr>
                <w:sz w:val="20"/>
                <w:szCs w:val="20"/>
                <w:color w:val="auto"/>
              </w:rPr>
            </w:pPr>
            <w:r>
              <w:rPr>
                <w:rFonts w:ascii="Times New Roman" w:cs="Times New Roman" w:eastAsia="Times New Roman" w:hAnsi="Times New Roman"/>
                <w:sz w:val="22"/>
                <w:szCs w:val="22"/>
                <w:b w:val="1"/>
                <w:bCs w:val="1"/>
                <w:color w:val="auto"/>
              </w:rPr>
              <w:t>TENANT:</w:t>
            </w:r>
          </w:p>
        </w:tc>
        <w:tc>
          <w:tcPr>
            <w:tcW w:w="3020" w:type="dxa"/>
            <w:vAlign w:val="bottom"/>
            <w:gridSpan w:val="7"/>
          </w:tcPr>
          <w:p>
            <w:pPr>
              <w:ind w:left="440"/>
              <w:spacing w:after="0"/>
              <w:rPr>
                <w:sz w:val="20"/>
                <w:szCs w:val="20"/>
                <w:color w:val="auto"/>
              </w:rPr>
            </w:pPr>
            <w:r>
              <w:rPr>
                <w:rFonts w:ascii="Times New Roman" w:cs="Times New Roman" w:eastAsia="Times New Roman" w:hAnsi="Times New Roman"/>
                <w:sz w:val="22"/>
                <w:szCs w:val="22"/>
                <w:b w:val="1"/>
                <w:bCs w:val="1"/>
                <w:color w:val="auto"/>
              </w:rPr>
              <w:t>LANDLORD:</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0" w:type="dxa"/>
            <w:vAlign w:val="bottom"/>
          </w:tcPr>
          <w:p>
            <w:pPr>
              <w:spacing w:after="0"/>
              <w:rPr>
                <w:sz w:val="24"/>
                <w:szCs w:val="24"/>
                <w:color w:val="auto"/>
              </w:rPr>
            </w:pPr>
          </w:p>
        </w:tc>
        <w:tc>
          <w:tcPr>
            <w:tcW w:w="3880" w:type="dxa"/>
            <w:vAlign w:val="bottom"/>
            <w:gridSpan w:val="13"/>
          </w:tcPr>
          <w:p>
            <w:pPr>
              <w:spacing w:after="0"/>
              <w:rPr>
                <w:sz w:val="20"/>
                <w:szCs w:val="20"/>
                <w:color w:val="auto"/>
              </w:rPr>
            </w:pPr>
            <w:r>
              <w:rPr>
                <w:rFonts w:ascii="Times New Roman" w:cs="Times New Roman" w:eastAsia="Times New Roman" w:hAnsi="Times New Roman"/>
                <w:sz w:val="22"/>
                <w:szCs w:val="22"/>
                <w:b w:val="1"/>
                <w:bCs w:val="1"/>
                <w:color w:val="auto"/>
              </w:rPr>
              <w:t>AEROVIRONMENT, INC.</w:t>
            </w:r>
            <w:r>
              <w:rPr>
                <w:rFonts w:ascii="Times New Roman" w:cs="Times New Roman" w:eastAsia="Times New Roman" w:hAnsi="Times New Roman"/>
                <w:sz w:val="22"/>
                <w:szCs w:val="22"/>
                <w:color w:val="auto"/>
              </w:rPr>
              <w:t>,</w:t>
            </w:r>
          </w:p>
        </w:tc>
        <w:tc>
          <w:tcPr>
            <w:tcW w:w="4620" w:type="dxa"/>
            <w:vAlign w:val="bottom"/>
            <w:gridSpan w:val="10"/>
          </w:tcPr>
          <w:p>
            <w:pPr>
              <w:ind w:left="440"/>
              <w:spacing w:after="0"/>
              <w:rPr>
                <w:sz w:val="20"/>
                <w:szCs w:val="20"/>
                <w:color w:val="auto"/>
              </w:rPr>
            </w:pPr>
            <w:r>
              <w:rPr>
                <w:rFonts w:ascii="Times New Roman" w:cs="Times New Roman" w:eastAsia="Times New Roman" w:hAnsi="Times New Roman"/>
                <w:sz w:val="22"/>
                <w:szCs w:val="22"/>
                <w:b w:val="1"/>
                <w:bCs w:val="1"/>
                <w:color w:val="auto"/>
                <w:w w:val="99"/>
              </w:rPr>
              <w:t>PRINCETON AVENUE HOLDINGS, LLC</w:t>
            </w: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388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a Delaware corporation</w:t>
            </w:r>
          </w:p>
        </w:tc>
        <w:tc>
          <w:tcPr>
            <w:tcW w:w="4620" w:type="dxa"/>
            <w:vAlign w:val="bottom"/>
            <w:gridSpan w:val="10"/>
          </w:tcPr>
          <w:p>
            <w:pPr>
              <w:ind w:left="440"/>
              <w:spacing w:after="0"/>
              <w:rPr>
                <w:sz w:val="20"/>
                <w:szCs w:val="20"/>
                <w:color w:val="auto"/>
              </w:rPr>
            </w:pPr>
            <w:r>
              <w:rPr>
                <w:rFonts w:ascii="Times New Roman" w:cs="Times New Roman" w:eastAsia="Times New Roman" w:hAnsi="Times New Roman"/>
                <w:sz w:val="22"/>
                <w:szCs w:val="22"/>
                <w:color w:val="auto"/>
              </w:rPr>
              <w:t>a California limited liability company</w:t>
            </w:r>
          </w:p>
        </w:tc>
        <w:tc>
          <w:tcPr>
            <w:tcW w:w="0" w:type="dxa"/>
            <w:vAlign w:val="bottom"/>
          </w:tcPr>
          <w:p>
            <w:pPr>
              <w:spacing w:after="0"/>
              <w:rPr>
                <w:sz w:val="1"/>
                <w:szCs w:val="1"/>
                <w:color w:val="auto"/>
              </w:rPr>
            </w:pPr>
          </w:p>
        </w:tc>
      </w:tr>
      <w:tr>
        <w:trPr>
          <w:trHeight w:val="447"/>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By:</w:t>
            </w: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Nearon</w:t>
            </w:r>
          </w:p>
        </w:tc>
        <w:tc>
          <w:tcPr>
            <w:tcW w:w="12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9"/>
              </w:rPr>
              <w:t>Enterprises,</w:t>
            </w:r>
          </w:p>
        </w:tc>
        <w:tc>
          <w:tcPr>
            <w:tcW w:w="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880" w:type="dxa"/>
            <w:vAlign w:val="bottom"/>
            <w:gridSpan w:val="13"/>
            <w:vMerge w:val="restart"/>
          </w:tcPr>
          <w:p>
            <w:pPr>
              <w:spacing w:after="0"/>
              <w:rPr>
                <w:sz w:val="20"/>
                <w:szCs w:val="20"/>
                <w:color w:val="auto"/>
              </w:rPr>
            </w:pPr>
            <w:r>
              <w:rPr>
                <w:rFonts w:ascii="Times New Roman" w:cs="Times New Roman" w:eastAsia="Times New Roman" w:hAnsi="Times New Roman"/>
                <w:sz w:val="22"/>
                <w:szCs w:val="22"/>
                <w:color w:val="auto"/>
              </w:rPr>
              <w:t>By:​   /s/Deane Edelman   ​</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880" w:type="dxa"/>
            <w:vAlign w:val="bottom"/>
            <w:gridSpan w:val="13"/>
            <w:vMerge w:val="continue"/>
          </w:tcPr>
          <w:p>
            <w:pPr>
              <w:spacing w:after="0"/>
              <w:rPr>
                <w:sz w:val="19"/>
                <w:szCs w:val="19"/>
                <w:color w:val="auto"/>
              </w:rPr>
            </w:pPr>
          </w:p>
        </w:tc>
        <w:tc>
          <w:tcPr>
            <w:tcW w:w="1000" w:type="dxa"/>
            <w:vAlign w:val="bottom"/>
            <w:gridSpan w:val="2"/>
          </w:tcPr>
          <w:p>
            <w:pPr>
              <w:ind w:left="440"/>
              <w:spacing w:after="0" w:line="230" w:lineRule="exact"/>
              <w:rPr>
                <w:sz w:val="20"/>
                <w:szCs w:val="20"/>
                <w:color w:val="auto"/>
              </w:rPr>
            </w:pPr>
            <w:r>
              <w:rPr>
                <w:rFonts w:ascii="Times New Roman" w:cs="Times New Roman" w:eastAsia="Times New Roman" w:hAnsi="Times New Roman"/>
                <w:sz w:val="22"/>
                <w:szCs w:val="22"/>
                <w:color w:val="auto"/>
              </w:rPr>
              <w:t>Its:</w:t>
            </w:r>
          </w:p>
        </w:tc>
        <w:tc>
          <w:tcPr>
            <w:tcW w:w="2020" w:type="dxa"/>
            <w:vAlign w:val="bottom"/>
            <w:gridSpan w:val="5"/>
          </w:tcPr>
          <w:p>
            <w:pPr>
              <w:ind w:left="60"/>
              <w:spacing w:after="0" w:line="230" w:lineRule="exact"/>
              <w:rPr>
                <w:sz w:val="20"/>
                <w:szCs w:val="20"/>
                <w:color w:val="auto"/>
              </w:rPr>
            </w:pPr>
            <w:r>
              <w:rPr>
                <w:rFonts w:ascii="Times New Roman" w:cs="Times New Roman" w:eastAsia="Times New Roman" w:hAnsi="Times New Roman"/>
                <w:sz w:val="22"/>
                <w:szCs w:val="22"/>
                <w:color w:val="auto"/>
              </w:rPr>
              <w:t>Designated Manager</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6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20" w:type="dxa"/>
            <w:vAlign w:val="bottom"/>
            <w:vMerge w:val="continue"/>
          </w:tcPr>
          <w:p>
            <w:pPr>
              <w:spacing w:after="0"/>
              <w:rPr>
                <w:sz w:val="19"/>
                <w:szCs w:val="19"/>
                <w:color w:val="auto"/>
              </w:rPr>
            </w:pPr>
          </w:p>
        </w:tc>
        <w:tc>
          <w:tcPr>
            <w:tcW w:w="158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rPr>
              <w:t>Deane Edelman</w:t>
            </w:r>
          </w:p>
        </w:tc>
        <w:tc>
          <w:tcPr>
            <w:tcW w:w="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4"/>
              </w:rPr>
              <w:t>By:</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9"/>
                <w:szCs w:val="19"/>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/s/Min Kim​</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3880" w:type="dxa"/>
            <w:vAlign w:val="bottom"/>
            <w:gridSpan w:val="13"/>
            <w:vMerge w:val="restart"/>
          </w:tcPr>
          <w:p>
            <w:pPr>
              <w:spacing w:after="0" w:line="250" w:lineRule="exact"/>
              <w:rPr>
                <w:sz w:val="20"/>
                <w:szCs w:val="20"/>
                <w:color w:val="auto"/>
              </w:rPr>
            </w:pP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16"/>
                <w:szCs w:val="16"/>
                <w:color w:val="auto"/>
              </w:rPr>
              <w:t>Vice President, Real Estate &amp; Facility Operations</w:t>
            </w:r>
            <w:r>
              <w:rPr>
                <w:rFonts w:ascii="Times New Roman" w:cs="Times New Roman" w:eastAsia="Times New Roman" w:hAnsi="Times New Roman"/>
                <w:sz w:val="25"/>
                <w:szCs w:val="25"/>
                <w:color w:val="auto"/>
              </w:rPr>
              <w:t>​</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320" w:type="dxa"/>
            <w:vAlign w:val="bottom"/>
            <w:tcBorders>
              <w:bottom w:val="single" w:sz="8" w:color="auto"/>
            </w:tcBorders>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3880" w:type="dxa"/>
            <w:vAlign w:val="bottom"/>
            <w:gridSpan w:val="13"/>
            <w:vMerge w:val="continue"/>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080" w:type="dxa"/>
            <w:vAlign w:val="bottom"/>
            <w:gridSpan w:val="5"/>
            <w:vMerge w:val="restart"/>
          </w:tcPr>
          <w:p>
            <w:pPr>
              <w:ind w:left="160"/>
              <w:spacing w:after="0"/>
              <w:rPr>
                <w:sz w:val="20"/>
                <w:szCs w:val="20"/>
                <w:color w:val="auto"/>
              </w:rPr>
            </w:pPr>
            <w:r>
              <w:rPr>
                <w:rFonts w:ascii="Times New Roman" w:cs="Times New Roman" w:eastAsia="Times New Roman" w:hAnsi="Times New Roman"/>
                <w:sz w:val="22"/>
                <w:szCs w:val="22"/>
                <w:color w:val="auto"/>
              </w:rPr>
              <w:t>Min Kim, President</w:t>
            </w: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gridSpan w:val="5"/>
            <w:vMerge w:val="continue"/>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gridSpan w:val="6"/>
          </w:tcPr>
          <w:p>
            <w:pPr>
              <w:ind w:left="440"/>
              <w:spacing w:after="0"/>
              <w:rPr>
                <w:sz w:val="20"/>
                <w:szCs w:val="20"/>
                <w:color w:val="auto"/>
              </w:rPr>
            </w:pPr>
            <w:r>
              <w:rPr>
                <w:rFonts w:ascii="Times New Roman" w:cs="Times New Roman" w:eastAsia="Times New Roman" w:hAnsi="Times New Roman"/>
                <w:sz w:val="22"/>
                <w:szCs w:val="22"/>
                <w:b w:val="1"/>
                <w:bCs w:val="1"/>
                <w:color w:val="auto"/>
                <w:w w:val="96"/>
              </w:rPr>
              <w:t>PRINCETON</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22"/>
                <w:szCs w:val="22"/>
                <w:b w:val="1"/>
                <w:bCs w:val="1"/>
                <w:color w:val="auto"/>
              </w:rPr>
              <w:t>AVENUE  HOLDINGS  II,</w:t>
            </w: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2"/>
          </w:tcPr>
          <w:p>
            <w:pPr>
              <w:ind w:left="440"/>
              <w:spacing w:after="0" w:line="247" w:lineRule="exact"/>
              <w:rPr>
                <w:sz w:val="20"/>
                <w:szCs w:val="20"/>
                <w:color w:val="auto"/>
              </w:rPr>
            </w:pP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20" w:type="dxa"/>
            <w:vAlign w:val="bottom"/>
            <w:gridSpan w:val="10"/>
          </w:tcPr>
          <w:p>
            <w:pPr>
              <w:ind w:left="440"/>
              <w:spacing w:after="0"/>
              <w:rPr>
                <w:sz w:val="20"/>
                <w:szCs w:val="20"/>
                <w:color w:val="auto"/>
              </w:rPr>
            </w:pPr>
            <w:r>
              <w:rPr>
                <w:rFonts w:ascii="Times New Roman" w:cs="Times New Roman" w:eastAsia="Times New Roman" w:hAnsi="Times New Roman"/>
                <w:sz w:val="22"/>
                <w:szCs w:val="22"/>
                <w:color w:val="auto"/>
              </w:rPr>
              <w:t>a California limited liability company</w:t>
            </w:r>
          </w:p>
        </w:tc>
        <w:tc>
          <w:tcPr>
            <w:tcW w:w="0" w:type="dxa"/>
            <w:vAlign w:val="bottom"/>
          </w:tcPr>
          <w:p>
            <w:pPr>
              <w:spacing w:after="0"/>
              <w:rPr>
                <w:sz w:val="1"/>
                <w:szCs w:val="1"/>
                <w:color w:val="auto"/>
              </w:rPr>
            </w:pPr>
          </w:p>
        </w:tc>
      </w:tr>
      <w:tr>
        <w:trPr>
          <w:trHeight w:val="447"/>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By:</w:t>
            </w: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Nearon</w:t>
            </w:r>
          </w:p>
        </w:tc>
        <w:tc>
          <w:tcPr>
            <w:tcW w:w="12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9"/>
              </w:rPr>
              <w:t>Enterprises,</w:t>
            </w:r>
          </w:p>
        </w:tc>
        <w:tc>
          <w:tcPr>
            <w:tcW w:w="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Its:</w:t>
            </w:r>
          </w:p>
        </w:tc>
        <w:tc>
          <w:tcPr>
            <w:tcW w:w="20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Designated Manager</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By:​</w:t>
            </w:r>
          </w:p>
        </w:tc>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/s/Min Kim​</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Min Kim, President</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8"/>
        </w:trPr>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7" w:right="1440" w:bottom="1440" w:gutter="0" w:footer="0" w:header="0"/>
        </w:sectPr>
      </w:pPr>
    </w:p>
    <w:bookmarkStart w:id="145" w:name="page146"/>
    <w:bookmarkEnd w:id="145"/>
    <w:p>
      <w:pPr>
        <w:jc w:val="right"/>
        <w:ind w:right="219"/>
        <w:spacing w:after="0"/>
        <w:rPr>
          <w:sz w:val="20"/>
          <w:szCs w:val="20"/>
          <w:color w:val="auto"/>
        </w:rPr>
      </w:pPr>
      <w:r>
        <w:rPr>
          <w:rFonts w:ascii="Arial" w:cs="Arial" w:eastAsia="Arial" w:hAnsi="Arial"/>
          <w:sz w:val="16"/>
          <w:szCs w:val="16"/>
          <w:b w:val="1"/>
          <w:bCs w:val="1"/>
          <w:color w:val="1C355E"/>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638175</wp:posOffset>
            </wp:positionV>
            <wp:extent cx="545211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7">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89535</wp:posOffset>
            </wp:positionV>
            <wp:extent cx="651510" cy="3340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8">
                      <a:extLst>
                        <a:ext uri="{28A0092B-C50C-407E-A947-70E740481C1C}"/>
                      </a:extLst>
                    </a:blip>
                    <a:srcRect/>
                    <a:stretch>
                      <a:fillRect/>
                    </a:stretch>
                  </pic:blipFill>
                  <pic:spPr bwMode="auto">
                    <a:xfrm>
                      <a:off x="0" y="0"/>
                      <a:ext cx="651510" cy="33401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89535</wp:posOffset>
            </wp:positionV>
            <wp:extent cx="141414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9">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AEROVIRONMENT,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9" w:lineRule="exact"/>
        <w:rPr>
          <w:sz w:val="20"/>
          <w:szCs w:val="20"/>
          <w:color w:val="auto"/>
        </w:rPr>
      </w:pPr>
    </w:p>
    <w:p>
      <w:pPr>
        <w:ind w:left="860" w:hanging="651"/>
        <w:spacing w:after="0"/>
        <w:tabs>
          <w:tab w:leader="none" w:pos="86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20" w:lineRule="exact"/>
        <w:rPr>
          <w:sz w:val="20"/>
          <w:szCs w:val="20"/>
          <w:color w:val="auto"/>
        </w:rPr>
      </w:pPr>
    </w:p>
    <w:p>
      <w:pPr>
        <w:ind w:left="200" w:right="239" w:firstLine="648"/>
        <w:spacing w:after="0" w:line="256" w:lineRule="auto"/>
        <w:rPr>
          <w:sz w:val="20"/>
          <w:szCs w:val="20"/>
          <w:color w:val="auto"/>
        </w:rPr>
      </w:pPr>
      <w:r>
        <w:rPr>
          <w:rFonts w:ascii="Times New Roman" w:cs="Times New Roman" w:eastAsia="Times New Roman" w:hAnsi="Times New Roman"/>
          <w:sz w:val="19"/>
          <w:szCs w:val="19"/>
          <w:color w:val="auto"/>
        </w:rPr>
        <w:t>Insider trading violates securities laws and threatens the reputation and integrity of AeroVironment, Inc., its subsidiaries and all persons affiliated with them. Collectively, AeroVironment, Inc. and its subsidiaries are referred to herein as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This Insider Trading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describes requirements with respect to transactions in the securities of the Company and the handling of material non-public information about the Company and the companies with which the Company conducts business. AeroVironment’s board of directors has adopted this policy to promote compliance with laws that prohibit insider trading. Insider trading laws prohibit buying or selling a company’s securities while in possession of material non-public information (also sometimes referred to as “inside information”) relating to that company. Insider trading is a crime and the penalties for violating insider trading laws include imprisonment, disgorgement of profits, civil fines of up to three times the profit gained or loss avoided, and criminal fines of up to $5,000,000 for individuals and $25,000,000 for entities. This Policy also prohibits insider trading and any violations could result in serious Company-imposed sanctions and disciplinary action, including dismissal.</w:t>
      </w:r>
    </w:p>
    <w:p>
      <w:pPr>
        <w:spacing w:after="0" w:line="183" w:lineRule="exact"/>
        <w:rPr>
          <w:sz w:val="20"/>
          <w:szCs w:val="20"/>
          <w:color w:val="auto"/>
        </w:rPr>
      </w:pPr>
    </w:p>
    <w:p>
      <w:pPr>
        <w:ind w:left="860" w:hanging="651"/>
        <w:spacing w:after="0"/>
        <w:tabs>
          <w:tab w:leader="none" w:pos="8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w:t>
      </w:r>
    </w:p>
    <w:p>
      <w:pPr>
        <w:spacing w:after="0" w:line="215"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u w:val="single" w:color="auto"/>
          <w:color w:val="auto"/>
        </w:rPr>
        <w:t>Transactions Subject to this Policy</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200" w:right="239" w:firstLine="648"/>
        <w:spacing w:after="0" w:line="246" w:lineRule="auto"/>
        <w:rPr>
          <w:sz w:val="20"/>
          <w:szCs w:val="20"/>
          <w:color w:val="auto"/>
        </w:rPr>
      </w:pPr>
      <w:r>
        <w:rPr>
          <w:rFonts w:ascii="Times New Roman" w:cs="Times New Roman" w:eastAsia="Times New Roman" w:hAnsi="Times New Roman"/>
          <w:sz w:val="20"/>
          <w:szCs w:val="20"/>
          <w:color w:val="auto"/>
        </w:rPr>
        <w:t>All transactions in the Company’s securities, including common stock, options for common stock and any other securities the Company may issue from time to time, including preferred stock, warrants and any convertible debentures, as well as to derivative securities relating to the Company’s stock, whether or not issued by the Company, such as exchange-traded options are subject to this policy. This Policy also applies to transactions in securities of other companies as indicated herein.</w:t>
      </w:r>
    </w:p>
    <w:p>
      <w:pPr>
        <w:spacing w:after="0" w:line="181" w:lineRule="exact"/>
        <w:rPr>
          <w:sz w:val="20"/>
          <w:szCs w:val="20"/>
          <w:color w:val="auto"/>
        </w:rPr>
      </w:pPr>
    </w:p>
    <w:p>
      <w:pPr>
        <w:ind w:left="1500" w:hanging="643"/>
        <w:spacing w:after="0"/>
        <w:tabs>
          <w:tab w:leader="none" w:pos="150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Persons Subject to this Policy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200" w:right="239" w:firstLine="648"/>
        <w:spacing w:after="0" w:line="255" w:lineRule="auto"/>
        <w:rPr>
          <w:sz w:val="20"/>
          <w:szCs w:val="20"/>
          <w:color w:val="auto"/>
        </w:rPr>
      </w:pPr>
      <w:r>
        <w:rPr>
          <w:rFonts w:ascii="Times New Roman" w:cs="Times New Roman" w:eastAsia="Times New Roman" w:hAnsi="Times New Roman"/>
          <w:sz w:val="19"/>
          <w:szCs w:val="19"/>
          <w:color w:val="auto"/>
        </w:rPr>
        <w:t>This Policy covers all officers, employees, members of the board of directors of AeroVironment, Inc. and each of its subsidiaries (collectively, members of the boards of directors of such entities are referred to herein as “</w:t>
      </w:r>
      <w:r>
        <w:rPr>
          <w:rFonts w:ascii="Times New Roman" w:cs="Times New Roman" w:eastAsia="Times New Roman" w:hAnsi="Times New Roman"/>
          <w:sz w:val="19"/>
          <w:szCs w:val="19"/>
          <w:b w:val="1"/>
          <w:bCs w:val="1"/>
          <w:i w:val="1"/>
          <w:iCs w:val="1"/>
          <w:color w:val="auto"/>
        </w:rPr>
        <w:t>Directors</w:t>
      </w:r>
      <w:r>
        <w:rPr>
          <w:rFonts w:ascii="Times New Roman" w:cs="Times New Roman" w:eastAsia="Times New Roman" w:hAnsi="Times New Roman"/>
          <w:sz w:val="19"/>
          <w:szCs w:val="19"/>
          <w:color w:val="auto"/>
        </w:rPr>
        <w:t>”), and Designated Consultants (as defined below) of the Company, as well as family members and other persons residing with such persons, any family members subject to such persons’ control or whose transactions are directed by such persons, and entities controlled by such persons (collectively, “</w:t>
      </w:r>
      <w:r>
        <w:rPr>
          <w:rFonts w:ascii="Times New Roman" w:cs="Times New Roman" w:eastAsia="Times New Roman" w:hAnsi="Times New Roman"/>
          <w:sz w:val="19"/>
          <w:szCs w:val="19"/>
          <w:b w:val="1"/>
          <w:bCs w:val="1"/>
          <w:i w:val="1"/>
          <w:iCs w:val="1"/>
          <w:color w:val="auto"/>
        </w:rPr>
        <w:t>Covered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Persons</w:t>
      </w:r>
      <w:r>
        <w:rPr>
          <w:rFonts w:ascii="Times New Roman" w:cs="Times New Roman" w:eastAsia="Times New Roman" w:hAnsi="Times New Roman"/>
          <w:sz w:val="19"/>
          <w:szCs w:val="19"/>
          <w:color w:val="auto"/>
        </w:rPr>
        <w:t>”). The Compliance Officer may determine that certain consultants to the Company should be covered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under this Policy if they possess or could reasonably be expected to possess material non-public information (such consultants, the “</w:t>
      </w:r>
      <w:r>
        <w:rPr>
          <w:rFonts w:ascii="Times New Roman" w:cs="Times New Roman" w:eastAsia="Times New Roman" w:hAnsi="Times New Roman"/>
          <w:sz w:val="19"/>
          <w:szCs w:val="19"/>
          <w:b w:val="1"/>
          <w:bCs w:val="1"/>
          <w:i w:val="1"/>
          <w:iCs w:val="1"/>
          <w:color w:val="auto"/>
        </w:rPr>
        <w:t>Designated Consultants</w:t>
      </w:r>
      <w:r>
        <w:rPr>
          <w:rFonts w:ascii="Times New Roman" w:cs="Times New Roman" w:eastAsia="Times New Roman" w:hAnsi="Times New Roman"/>
          <w:sz w:val="19"/>
          <w:szCs w:val="19"/>
          <w:color w:val="auto"/>
        </w:rPr>
        <w:t>”). Each officer, employee, Director, and Designated Consultant of the Company shall comply with this Policy, and that any applicable family member, household member or entity that is controlled by them complies with this Policy. You should make all applicable family members, household members or entities controlled by you aware of the need to confer with you before they trade in securities of the Company. This Policy will be made available to and/or delivered to all new officers, employees, and Directors of the Company, upon the</w:t>
      </w:r>
    </w:p>
    <w:p>
      <w:pPr>
        <w:spacing w:after="0" w:line="110" w:lineRule="exact"/>
        <w:rPr>
          <w:sz w:val="20"/>
          <w:szCs w:val="20"/>
          <w:color w:val="auto"/>
        </w:rPr>
      </w:pPr>
    </w:p>
    <w:p>
      <w:pPr>
        <w:jc w:val="center"/>
        <w:ind w:left="200" w:right="219"/>
        <w:spacing w:after="0" w:line="235" w:lineRule="auto"/>
        <w:rPr>
          <w:sz w:val="20"/>
          <w:szCs w:val="20"/>
          <w:color w:val="auto"/>
        </w:rPr>
      </w:pPr>
      <w:r>
        <w:rPr>
          <w:rFonts w:ascii="Times New Roman" w:cs="Times New Roman" w:eastAsia="Times New Roman" w:hAnsi="Times New Roman"/>
          <w:sz w:val="11"/>
          <w:szCs w:val="11"/>
          <w:color w:val="auto"/>
        </w:rPr>
        <w:t>AeroVironment, Inc. – 241 18th Street South, #650 Arlington, VA 22202 PH: +1.703.418.2828 – www.avinc.com AeroVironment, Inc. Proprietary Information. No further distribution or copying of this document or any part thereof is permitted absent the prior written consent of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p>
      <w:pPr>
        <w:jc w:val="center"/>
        <w:ind w:right="19"/>
        <w:spacing w:after="0" w:line="216" w:lineRule="auto"/>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1</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6" w:name="page147"/>
    <w:bookmarkEnd w:id="146"/>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1">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6" w:lineRule="exact"/>
        <w:rPr>
          <w:sz w:val="20"/>
          <w:szCs w:val="20"/>
          <w:color w:val="auto"/>
        </w:rPr>
      </w:pPr>
    </w:p>
    <w:p>
      <w:pPr>
        <w:ind w:left="200" w:right="999"/>
        <w:spacing w:after="0" w:line="269" w:lineRule="auto"/>
        <w:rPr>
          <w:sz w:val="20"/>
          <w:szCs w:val="20"/>
          <w:color w:val="auto"/>
        </w:rPr>
      </w:pPr>
      <w:r>
        <w:rPr>
          <w:rFonts w:ascii="Times New Roman" w:cs="Times New Roman" w:eastAsia="Times New Roman" w:hAnsi="Times New Roman"/>
          <w:sz w:val="20"/>
          <w:szCs w:val="20"/>
          <w:color w:val="auto"/>
        </w:rPr>
        <w:t>commencement of their relationships with the Company, and to Designated Consultants upon their designation as a Designated Consultant by the Compliance Officer.</w:t>
      </w:r>
    </w:p>
    <w:p>
      <w:pPr>
        <w:spacing w:after="0" w:line="159" w:lineRule="exact"/>
        <w:rPr>
          <w:sz w:val="20"/>
          <w:szCs w:val="20"/>
          <w:color w:val="auto"/>
        </w:rPr>
      </w:pPr>
    </w:p>
    <w:p>
      <w:pPr>
        <w:ind w:left="200" w:right="239" w:firstLine="648"/>
        <w:spacing w:after="0" w:line="243" w:lineRule="auto"/>
        <w:rPr>
          <w:sz w:val="20"/>
          <w:szCs w:val="20"/>
          <w:color w:val="auto"/>
        </w:rPr>
      </w:pPr>
      <w:r>
        <w:rPr>
          <w:rFonts w:ascii="Times New Roman" w:cs="Times New Roman" w:eastAsia="Times New Roman" w:hAnsi="Times New Roman"/>
          <w:sz w:val="20"/>
          <w:szCs w:val="20"/>
          <w:color w:val="auto"/>
        </w:rPr>
        <w:t>The policies and prohibitions contained in this Policy will continue to apply to the officer, Director, employee or Designated Consultant after the termination or cessation of their employment or service with the Company as long as they are in possession of material non-public information about the Company. If an individual is in possession of material non-public information about the Company or any company with which the Company conducts business when their service terminates, that individual may not trade in any securities of the entity to which such information relates until such information becomes public or is no longer material. See Section IV below for more information on what constitutes “material non-public information.”</w:t>
      </w:r>
    </w:p>
    <w:p>
      <w:pPr>
        <w:spacing w:after="0" w:line="189" w:lineRule="exact"/>
        <w:rPr>
          <w:sz w:val="20"/>
          <w:szCs w:val="20"/>
          <w:color w:val="auto"/>
        </w:rPr>
      </w:pPr>
    </w:p>
    <w:p>
      <w:pPr>
        <w:ind w:left="200" w:right="299" w:firstLine="648"/>
        <w:spacing w:after="0" w:line="257" w:lineRule="auto"/>
        <w:rPr>
          <w:sz w:val="20"/>
          <w:szCs w:val="20"/>
          <w:color w:val="auto"/>
        </w:rPr>
      </w:pPr>
      <w:r>
        <w:rPr>
          <w:rFonts w:ascii="Times New Roman" w:cs="Times New Roman" w:eastAsia="Times New Roman" w:hAnsi="Times New Roman"/>
          <w:sz w:val="19"/>
          <w:szCs w:val="19"/>
          <w:color w:val="auto"/>
        </w:rPr>
        <w:t>Persons subject to this Policy have ethical and legal obligations to maintain the confidentiality of material non-public information about the Company and not to engage in transactions in the Company’s securities while in possession of material non-public information. Further, persons subject to this Policy shall not engage in any transactions in another company’s securities while in possession of material nonpublic information concerning that company when that information was obtained in the course of employment with, other performance of services on behalf of, the Company. In all cases, the responsibility for determining whether a person is in possession of material non-public information rests with that individual; any action or inaction on the part of the Company, the Compliance Officer or any other employee or Director does not in any way constitute legal advice or insulate an individual from liability under applicable securities laws.</w:t>
      </w:r>
    </w:p>
    <w:p>
      <w:pPr>
        <w:spacing w:after="0" w:line="172" w:lineRule="exact"/>
        <w:rPr>
          <w:sz w:val="20"/>
          <w:szCs w:val="20"/>
          <w:color w:val="auto"/>
        </w:rPr>
      </w:pPr>
    </w:p>
    <w:p>
      <w:pPr>
        <w:ind w:left="860" w:hanging="651"/>
        <w:spacing w:after="0"/>
        <w:tabs>
          <w:tab w:leader="none" w:pos="86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OFFICER</w:t>
      </w:r>
    </w:p>
    <w:p>
      <w:pPr>
        <w:spacing w:after="0" w:line="220" w:lineRule="exact"/>
        <w:rPr>
          <w:sz w:val="20"/>
          <w:szCs w:val="20"/>
          <w:color w:val="auto"/>
        </w:rPr>
      </w:pPr>
    </w:p>
    <w:p>
      <w:pPr>
        <w:ind w:left="200" w:right="259" w:firstLine="648"/>
        <w:spacing w:after="0" w:line="263" w:lineRule="auto"/>
        <w:rPr>
          <w:sz w:val="20"/>
          <w:szCs w:val="20"/>
          <w:color w:val="auto"/>
        </w:rPr>
      </w:pPr>
      <w:r>
        <w:rPr>
          <w:rFonts w:ascii="Times New Roman" w:cs="Times New Roman" w:eastAsia="Times New Roman" w:hAnsi="Times New Roman"/>
          <w:sz w:val="19"/>
          <w:szCs w:val="19"/>
          <w:color w:val="auto"/>
        </w:rPr>
        <w:t>AeroVironment’s Chief Legal Officer (or an employee designated by the General Counsel) shall serve as the Compliance Officer under this Policy (the “</w:t>
      </w:r>
      <w:r>
        <w:rPr>
          <w:rFonts w:ascii="Times New Roman" w:cs="Times New Roman" w:eastAsia="Times New Roman" w:hAnsi="Times New Roman"/>
          <w:sz w:val="19"/>
          <w:szCs w:val="19"/>
          <w:b w:val="1"/>
          <w:bCs w:val="1"/>
          <w:i w:val="1"/>
          <w:iCs w:val="1"/>
          <w:color w:val="auto"/>
        </w:rPr>
        <w:t>Compliance Officer</w:t>
      </w:r>
      <w:r>
        <w:rPr>
          <w:rFonts w:ascii="Times New Roman" w:cs="Times New Roman" w:eastAsia="Times New Roman" w:hAnsi="Times New Roman"/>
          <w:sz w:val="19"/>
          <w:szCs w:val="19"/>
          <w:color w:val="auto"/>
        </w:rPr>
        <w:t>”). The Compliance Officer shall administer this Policy and monitor and enforce compliance with this Policy. The Compliance Officer shall make all determinations and interpretations of the Policy, which shall be final. Questions regarding this Policy or the application of the Policy to any proposed transaction should be directed to the Compliance Officer.</w:t>
      </w:r>
    </w:p>
    <w:p>
      <w:pPr>
        <w:spacing w:after="0" w:line="16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216" w:lineRule="exact"/>
        <w:rPr>
          <w:sz w:val="20"/>
          <w:szCs w:val="20"/>
          <w:color w:val="auto"/>
        </w:rPr>
      </w:pPr>
    </w:p>
    <w:p>
      <w:pPr>
        <w:ind w:left="200" w:right="479" w:firstLine="648"/>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“Securities” means stocks, bonds, notes and debentures, as well as options, warrants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similar instruments.</w:t>
      </w:r>
    </w:p>
    <w:p>
      <w:pPr>
        <w:spacing w:after="0" w:line="152" w:lineRule="exact"/>
        <w:rPr>
          <w:sz w:val="20"/>
          <w:szCs w:val="20"/>
          <w:color w:val="auto"/>
        </w:rPr>
      </w:pPr>
    </w:p>
    <w:p>
      <w:pPr>
        <w:ind w:left="200" w:right="239"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Purchase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sale. </w:t>
      </w:r>
      <w:r>
        <w:rPr>
          <w:rFonts w:ascii="Times New Roman" w:cs="Times New Roman" w:eastAsia="Times New Roman" w:hAnsi="Times New Roman"/>
          <w:sz w:val="20"/>
          <w:szCs w:val="20"/>
          <w:color w:val="auto"/>
        </w:rPr>
        <w:t>“Purchase” and “sale” are defined broadly under the federal securities laws.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grant and exercise of stock options and acquisitions and exercises of warrants or puts, calls or other options related to a security.</w:t>
      </w:r>
    </w:p>
    <w:p>
      <w:pPr>
        <w:spacing w:after="0" w:line="179" w:lineRule="exact"/>
        <w:rPr>
          <w:sz w:val="20"/>
          <w:szCs w:val="20"/>
          <w:color w:val="auto"/>
        </w:rPr>
      </w:pPr>
    </w:p>
    <w:p>
      <w:pPr>
        <w:ind w:left="200" w:right="259" w:firstLine="64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Insiders</w:t>
      </w:r>
      <w:r>
        <w:rPr>
          <w:rFonts w:ascii="Times New Roman" w:cs="Times New Roman" w:eastAsia="Times New Roman" w:hAnsi="Times New Roman"/>
          <w:sz w:val="19"/>
          <w:szCs w:val="19"/>
          <w:color w:val="auto"/>
        </w:rPr>
        <w:t>. “Insiders” means officers, directors, and employees of a company and anyone else who has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material non-public information about a company. Consultants who possess or could reasonably be expected to possess material non-public information can also be considered insiders. Insiders have independent fiduciary duties to their company and its stockholders not to trade on material non-public information relating to the company’s securities. All officers, Directors, employees, and Designated Consultants of the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p>
      <w:pPr>
        <w:sectPr>
          <w:pgSz w:w="11900" w:h="16838" w:orient="portrait"/>
          <w:cols w:equalWidth="0" w:num="1">
            <w:col w:w="9019"/>
          </w:cols>
          <w:pgMar w:left="1440" w:top="1440" w:right="1440" w:bottom="1440" w:gutter="0" w:footer="0" w:header="0"/>
        </w:sectPr>
      </w:pP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40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2"/>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type w:val="continuous"/>
        </w:sectPr>
      </w:pPr>
    </w:p>
    <w:bookmarkStart w:id="147" w:name="page148"/>
    <w:bookmarkEnd w:id="147"/>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6" w:lineRule="exact"/>
        <w:rPr>
          <w:sz w:val="20"/>
          <w:szCs w:val="20"/>
          <w:color w:val="auto"/>
        </w:rPr>
      </w:pPr>
    </w:p>
    <w:p>
      <w:pPr>
        <w:ind w:left="200" w:right="339"/>
        <w:spacing w:after="0" w:line="246" w:lineRule="auto"/>
        <w:rPr>
          <w:sz w:val="20"/>
          <w:szCs w:val="20"/>
          <w:color w:val="auto"/>
        </w:rPr>
      </w:pPr>
      <w:r>
        <w:rPr>
          <w:rFonts w:ascii="Times New Roman" w:cs="Times New Roman" w:eastAsia="Times New Roman" w:hAnsi="Times New Roman"/>
          <w:sz w:val="20"/>
          <w:szCs w:val="20"/>
          <w:color w:val="auto"/>
        </w:rPr>
        <w:t>should consider themselves insiders with respect to material non-public information about the Company’s business, activities and securities. A person can be considered an insider for a limited period time with respect to certain material non-public information even though they are not an officer or Director. For example, an assistant who knows that an acquisition is about to occur may be regarded as an insider with respect to that information until news of such acquisition becomes public.</w:t>
      </w:r>
    </w:p>
    <w:p>
      <w:pPr>
        <w:spacing w:after="0" w:line="181" w:lineRule="exact"/>
        <w:rPr>
          <w:sz w:val="20"/>
          <w:szCs w:val="20"/>
          <w:color w:val="auto"/>
        </w:rPr>
      </w:pPr>
    </w:p>
    <w:p>
      <w:pPr>
        <w:ind w:left="200" w:right="759" w:firstLine="648"/>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Insider trading. </w:t>
      </w:r>
      <w:r>
        <w:rPr>
          <w:rFonts w:ascii="Times New Roman" w:cs="Times New Roman" w:eastAsia="Times New Roman" w:hAnsi="Times New Roman"/>
          <w:sz w:val="20"/>
          <w:szCs w:val="20"/>
          <w:color w:val="auto"/>
        </w:rPr>
        <w:t>“Insider trading” means the purchase or sale of a security while in possession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“material non-public information” relating to the issuer of that security.</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It is generally understood that insider trading includes the following:</w:t>
      </w:r>
    </w:p>
    <w:p>
      <w:pPr>
        <w:spacing w:after="0" w:line="216" w:lineRule="exact"/>
        <w:rPr>
          <w:sz w:val="20"/>
          <w:szCs w:val="20"/>
          <w:color w:val="auto"/>
        </w:rPr>
      </w:pPr>
    </w:p>
    <w:p>
      <w:pPr>
        <w:ind w:left="1180" w:hanging="323"/>
        <w:spacing w:after="0"/>
        <w:tabs>
          <w:tab w:leader="none" w:pos="11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by insiders while in possession of material non-public information;</w:t>
      </w:r>
    </w:p>
    <w:p>
      <w:pPr>
        <w:spacing w:after="0" w:line="215" w:lineRule="exact"/>
        <w:rPr>
          <w:rFonts w:ascii="Times New Roman" w:cs="Times New Roman" w:eastAsia="Times New Roman" w:hAnsi="Times New Roman"/>
          <w:sz w:val="20"/>
          <w:szCs w:val="20"/>
          <w:color w:val="auto"/>
        </w:rPr>
      </w:pPr>
    </w:p>
    <w:p>
      <w:pPr>
        <w:ind w:left="1180" w:right="659" w:hanging="323"/>
        <w:spacing w:after="0" w:line="254" w:lineRule="auto"/>
        <w:tabs>
          <w:tab w:leader="none" w:pos="11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by persons other than insiders while in possession of material non-public information where the information either was given in breach of an insider’s fiduciary duty to keep it confidential or was misappropriated; and</w:t>
      </w:r>
    </w:p>
    <w:p>
      <w:pPr>
        <w:spacing w:after="0" w:line="174" w:lineRule="exact"/>
        <w:rPr>
          <w:rFonts w:ascii="Times New Roman" w:cs="Times New Roman" w:eastAsia="Times New Roman" w:hAnsi="Times New Roman"/>
          <w:sz w:val="20"/>
          <w:szCs w:val="20"/>
          <w:color w:val="auto"/>
        </w:rPr>
      </w:pPr>
    </w:p>
    <w:p>
      <w:pPr>
        <w:ind w:left="1180" w:right="399" w:hanging="323"/>
        <w:spacing w:after="0" w:line="269" w:lineRule="auto"/>
        <w:tabs>
          <w:tab w:leader="none" w:pos="11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or “tipping” material non-public information to others, including recommending the purchase or sale of a security while in possession of such information.</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i w:val="1"/>
          <w:iCs w:val="1"/>
          <w:color w:val="auto"/>
        </w:rPr>
        <w:t>Tipping</w:t>
      </w:r>
    </w:p>
    <w:p>
      <w:pPr>
        <w:spacing w:after="0" w:line="220" w:lineRule="exact"/>
        <w:rPr>
          <w:sz w:val="20"/>
          <w:szCs w:val="20"/>
          <w:color w:val="auto"/>
        </w:rPr>
      </w:pPr>
    </w:p>
    <w:p>
      <w:pPr>
        <w:ind w:left="200" w:right="239" w:firstLine="648"/>
        <w:spacing w:after="0" w:line="249" w:lineRule="auto"/>
        <w:rPr>
          <w:sz w:val="20"/>
          <w:szCs w:val="20"/>
          <w:color w:val="auto"/>
        </w:rPr>
      </w:pPr>
      <w:r>
        <w:rPr>
          <w:rFonts w:ascii="Times New Roman" w:cs="Times New Roman" w:eastAsia="Times New Roman" w:hAnsi="Times New Roman"/>
          <w:sz w:val="20"/>
          <w:szCs w:val="20"/>
          <w:color w:val="auto"/>
        </w:rPr>
        <w:t>Insiders may be liable for communicating or providing (i.e., tipping) material non-public information to a third party (“</w:t>
      </w:r>
      <w:r>
        <w:rPr>
          <w:rFonts w:ascii="Times New Roman" w:cs="Times New Roman" w:eastAsia="Times New Roman" w:hAnsi="Times New Roman"/>
          <w:sz w:val="20"/>
          <w:szCs w:val="20"/>
          <w:b w:val="1"/>
          <w:bCs w:val="1"/>
          <w:i w:val="1"/>
          <w:iCs w:val="1"/>
          <w:color w:val="auto"/>
        </w:rPr>
        <w:t>tippee</w:t>
      </w:r>
      <w:r>
        <w:rPr>
          <w:rFonts w:ascii="Times New Roman" w:cs="Times New Roman" w:eastAsia="Times New Roman" w:hAnsi="Times New Roman"/>
          <w:sz w:val="20"/>
          <w:szCs w:val="20"/>
          <w:color w:val="auto"/>
        </w:rPr>
        <w:t>”). Persons other than insiders also can be liable for insider trading, including tippees who trade on material non-public information tipped to them or individuals who trade on material non-public information which has been misappropriated.</w:t>
      </w:r>
    </w:p>
    <w:p>
      <w:pPr>
        <w:spacing w:after="0" w:line="180" w:lineRule="exact"/>
        <w:rPr>
          <w:sz w:val="20"/>
          <w:szCs w:val="20"/>
          <w:color w:val="auto"/>
        </w:rPr>
      </w:pPr>
    </w:p>
    <w:p>
      <w:pPr>
        <w:ind w:left="200" w:right="339" w:firstLine="648"/>
        <w:spacing w:after="0" w:line="245" w:lineRule="auto"/>
        <w:rPr>
          <w:sz w:val="20"/>
          <w:szCs w:val="20"/>
          <w:color w:val="auto"/>
        </w:rPr>
      </w:pPr>
      <w:r>
        <w:rPr>
          <w:rFonts w:ascii="Times New Roman" w:cs="Times New Roman" w:eastAsia="Times New Roman" w:hAnsi="Times New Roman"/>
          <w:sz w:val="20"/>
          <w:szCs w:val="20"/>
          <w:color w:val="auto"/>
        </w:rPr>
        <w:t>Once in receipt of such information,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i w:val="1"/>
          <w:iCs w:val="1"/>
          <w:color w:val="auto"/>
        </w:rPr>
        <w:t>Material Non-Public Information.</w:t>
      </w:r>
    </w:p>
    <w:p>
      <w:pPr>
        <w:spacing w:after="0" w:line="220" w:lineRule="exact"/>
        <w:rPr>
          <w:sz w:val="20"/>
          <w:szCs w:val="20"/>
          <w:color w:val="auto"/>
        </w:rPr>
      </w:pPr>
    </w:p>
    <w:p>
      <w:pPr>
        <w:ind w:left="200" w:right="239" w:firstLine="648"/>
        <w:spacing w:after="0" w:line="243" w:lineRule="auto"/>
        <w:rPr>
          <w:sz w:val="20"/>
          <w:szCs w:val="20"/>
          <w:color w:val="auto"/>
        </w:rPr>
      </w:pPr>
      <w:r>
        <w:rPr>
          <w:rFonts w:ascii="Times New Roman" w:cs="Times New Roman" w:eastAsia="Times New Roman" w:hAnsi="Times New Roman"/>
          <w:sz w:val="20"/>
          <w:szCs w:val="20"/>
          <w:u w:val="single" w:color="auto"/>
          <w:color w:val="auto"/>
        </w:rPr>
        <w:t>Material Information</w:t>
      </w:r>
      <w:r>
        <w:rPr>
          <w:rFonts w:ascii="Times New Roman" w:cs="Times New Roman" w:eastAsia="Times New Roman" w:hAnsi="Times New Roman"/>
          <w:sz w:val="20"/>
          <w:szCs w:val="20"/>
          <w:color w:val="auto"/>
        </w:rPr>
        <w:t>. Information is considered “material” if there is a substantial likelihood that a reasonable investor would consider it important in making a decision to buy, sell or hold a security or where the information is likely to have a significant effect on the market price of the security. Material information can be positive or negative and can relate to virtually any aspect of a company’s business or to any type of security, debt or equity. There is no bright-line standard for assessing materiality of information; rather, materiality is determined based on an assessment of all facts and circumstances, and is often evaluated by enforcement authorities with the benefit of hindsight. Moreover, material information does not have to relate to a company’s business. For example, the contents of a forthcoming newspaper column that is expected to affect the market price of a security can be considered material.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40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3</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48" w:name="page149"/>
    <w:bookmarkEnd w:id="148"/>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Examples of material information include (but are not limited to) information concerning:</w:t>
      </w:r>
    </w:p>
    <w:p>
      <w:pPr>
        <w:spacing w:after="0" w:line="216" w:lineRule="exact"/>
        <w:rPr>
          <w:sz w:val="20"/>
          <w:szCs w:val="20"/>
          <w:color w:val="auto"/>
        </w:rPr>
      </w:pP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earnings;</w:t>
      </w:r>
    </w:p>
    <w:p>
      <w:pPr>
        <w:spacing w:after="0" w:line="21" w:lineRule="exact"/>
        <w:rPr>
          <w:rFonts w:ascii="Times New Roman" w:cs="Times New Roman" w:eastAsia="Times New Roman" w:hAnsi="Times New Roman"/>
          <w:sz w:val="20"/>
          <w:szCs w:val="20"/>
          <w:color w:val="auto"/>
        </w:rPr>
      </w:pPr>
    </w:p>
    <w:p>
      <w:pPr>
        <w:ind w:left="1500" w:right="679" w:hanging="319"/>
        <w:spacing w:after="0" w:line="239" w:lineRule="auto"/>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forecasts or other earnings guidance, changes to previously announced earnings forecasts or guidance, or the decision to suspend earnings guidance;</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proposed merger, acquisition or tender offer;</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proposed acquisition or disposition of a significant asset;</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borrowings or other significant financing transactions;</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new product, process or service;</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proposed joint venture or other strategic arrangement;</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restructuring of the Company;</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related party transactions;</w:t>
      </w:r>
    </w:p>
    <w:p>
      <w:pPr>
        <w:ind w:left="1500" w:right="859" w:hanging="319"/>
        <w:spacing w:after="0" w:line="239" w:lineRule="auto"/>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dividend policy, the declaration of a stock split or an offering of additional securities;</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a repurchase program for Company securities;</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Company’s pricing or cost structure;</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management;</w:t>
      </w:r>
    </w:p>
    <w:p>
      <w:pPr>
        <w:ind w:left="1500" w:hanging="319"/>
        <w:spacing w:after="0"/>
        <w:tabs>
          <w:tab w:leader="none" w:pos="15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auditors or notification that the auditor’s reports may no longer be relied upon;</w:t>
      </w:r>
    </w:p>
    <w:p>
      <w:pPr>
        <w:spacing w:after="0" w:line="11" w:lineRule="exact"/>
        <w:rPr>
          <w:rFonts w:ascii="Times New Roman" w:cs="Times New Roman" w:eastAsia="Times New Roman" w:hAnsi="Times New Roman"/>
          <w:sz w:val="19"/>
          <w:szCs w:val="19"/>
          <w:color w:val="auto"/>
        </w:rPr>
      </w:pP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litigation, or the resolution of such litigation;</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the existence of severe liquidity problems;</w:t>
      </w:r>
    </w:p>
    <w:p>
      <w:pPr>
        <w:ind w:left="1500" w:hanging="319"/>
        <w:spacing w:after="0"/>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a significant customer or supplier;</w:t>
      </w:r>
    </w:p>
    <w:p>
      <w:pPr>
        <w:ind w:left="1500" w:right="399" w:hanging="319"/>
        <w:spacing w:after="0" w:line="239" w:lineRule="auto"/>
        <w:tabs>
          <w:tab w:leader="none" w:pos="15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one that leads to a material disruption in the Company’s operations or loss, potential loss, breach or unauthorized access of its property or assets, including its facilities and information technology infrastructure; and</w:t>
      </w:r>
    </w:p>
    <w:p>
      <w:pPr>
        <w:spacing w:after="0" w:line="1" w:lineRule="exact"/>
        <w:rPr>
          <w:rFonts w:ascii="Times New Roman" w:cs="Times New Roman" w:eastAsia="Times New Roman" w:hAnsi="Times New Roman"/>
          <w:sz w:val="20"/>
          <w:szCs w:val="20"/>
          <w:color w:val="auto"/>
        </w:rPr>
      </w:pPr>
    </w:p>
    <w:p>
      <w:pPr>
        <w:ind w:left="1500" w:hanging="319"/>
        <w:spacing w:after="0"/>
        <w:tabs>
          <w:tab w:leader="none" w:pos="15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imposition of a ban on trading in Company securities or the securities of another company.</w:t>
      </w:r>
    </w:p>
    <w:p>
      <w:pPr>
        <w:spacing w:after="0" w:line="219" w:lineRule="exact"/>
        <w:rPr>
          <w:sz w:val="20"/>
          <w:szCs w:val="20"/>
          <w:color w:val="auto"/>
        </w:rPr>
      </w:pPr>
    </w:p>
    <w:p>
      <w:pPr>
        <w:ind w:left="200" w:right="239" w:firstLine="648"/>
        <w:spacing w:after="0" w:line="243" w:lineRule="auto"/>
        <w:rPr>
          <w:sz w:val="20"/>
          <w:szCs w:val="20"/>
          <w:color w:val="auto"/>
        </w:rPr>
      </w:pP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Information is “non-public” if it is not available to the general public. In order for information to be considered public, it must be widely disseminated in a manner making it generally available to investors. Information generally would be considered widely disseminated if it has been disclosed through Dow Jones, newswire services, a broadcast on a widely-available radio or television program, publication in a widely-available newspaper, magazine or news website, or public disclosure of documents filed with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that are available on the SEC’s website. The circulation of rumors, even if accurate and reported in the media, does not constitute effective public dissemination.</w:t>
      </w:r>
    </w:p>
    <w:p>
      <w:pPr>
        <w:spacing w:after="0" w:line="189" w:lineRule="exact"/>
        <w:rPr>
          <w:sz w:val="20"/>
          <w:szCs w:val="20"/>
          <w:color w:val="auto"/>
        </w:rPr>
      </w:pPr>
    </w:p>
    <w:p>
      <w:pPr>
        <w:ind w:left="200" w:right="259" w:firstLine="648"/>
        <w:spacing w:after="0" w:line="260" w:lineRule="auto"/>
        <w:rPr>
          <w:sz w:val="20"/>
          <w:szCs w:val="20"/>
          <w:color w:val="auto"/>
        </w:rPr>
      </w:pPr>
      <w:r>
        <w:rPr>
          <w:rFonts w:ascii="Times New Roman" w:cs="Times New Roman" w:eastAsia="Times New Roman" w:hAnsi="Times New Roman"/>
          <w:sz w:val="19"/>
          <w:szCs w:val="19"/>
          <w:color w:val="auto"/>
        </w:rPr>
        <w:t>In addition, even after information is widely disseminated, information is only considered to be public once a reasonable period has passed such that the market can react to the information. Generally, one should allow two (2) full business days following publication as a reasonable waiting period before such information is deemed to be public. For example, if the Company were to make an announcement on Tuesday, you should not trade in the Company’s securities until Friday. Depending on the particular circumstances, the Company may determine that a longer or shorter period should apply to the release of certain material non-public information.</w:t>
      </w:r>
    </w:p>
    <w:p>
      <w:pPr>
        <w:spacing w:after="0" w:line="169" w:lineRule="exact"/>
        <w:rPr>
          <w:sz w:val="20"/>
          <w:szCs w:val="20"/>
          <w:color w:val="auto"/>
        </w:rPr>
      </w:pPr>
    </w:p>
    <w:p>
      <w:pPr>
        <w:ind w:left="200" w:right="279" w:firstLine="648"/>
        <w:spacing w:after="0" w:line="273" w:lineRule="auto"/>
        <w:rPr>
          <w:sz w:val="20"/>
          <w:szCs w:val="20"/>
          <w:color w:val="auto"/>
        </w:rPr>
      </w:pPr>
      <w:r>
        <w:rPr>
          <w:rFonts w:ascii="Times New Roman" w:cs="Times New Roman" w:eastAsia="Times New Roman" w:hAnsi="Times New Roman"/>
          <w:sz w:val="20"/>
          <w:szCs w:val="20"/>
          <w:color w:val="auto"/>
        </w:rPr>
        <w:t xml:space="preserve">A good general rule of thumb: </w:t>
      </w:r>
      <w:r>
        <w:rPr>
          <w:rFonts w:ascii="Times New Roman" w:cs="Times New Roman" w:eastAsia="Times New Roman" w:hAnsi="Times New Roman"/>
          <w:sz w:val="20"/>
          <w:szCs w:val="20"/>
          <w:b w:val="1"/>
          <w:bCs w:val="1"/>
          <w:color w:val="auto"/>
        </w:rPr>
        <w:t>when in doubt as to whether information is material or non-public,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do not trade.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40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49" w:name="page150"/>
    <w:bookmarkEnd w:id="149"/>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2" w:lineRule="exact"/>
        <w:rPr>
          <w:sz w:val="20"/>
          <w:szCs w:val="20"/>
          <w:color w:val="auto"/>
        </w:rPr>
      </w:pPr>
    </w:p>
    <w:p>
      <w:pPr>
        <w:ind w:left="860" w:hanging="651"/>
        <w:spacing w:after="0"/>
        <w:tabs>
          <w:tab w:leader="none" w:pos="8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POLICIES PROHIBITING INSIDER TRADING</w:t>
      </w:r>
    </w:p>
    <w:p>
      <w:pPr>
        <w:spacing w:after="0" w:line="215"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1"/>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Prohibited Activities</w:t>
      </w:r>
      <w:r>
        <w:rPr>
          <w:rFonts w:ascii="Times New Roman" w:cs="Times New Roman" w:eastAsia="Times New Roman" w:hAnsi="Times New Roman"/>
          <w:sz w:val="19"/>
          <w:szCs w:val="19"/>
          <w:color w:val="auto"/>
        </w:rPr>
        <w:t>. Except as provided in Section V(B) below, no Covered Person may:</w:t>
      </w:r>
    </w:p>
    <w:p>
      <w:pPr>
        <w:spacing w:after="0" w:line="231" w:lineRule="exact"/>
        <w:rPr>
          <w:rFonts w:ascii="Times New Roman" w:cs="Times New Roman" w:eastAsia="Times New Roman" w:hAnsi="Times New Roman"/>
          <w:sz w:val="19"/>
          <w:szCs w:val="19"/>
          <w:b w:val="1"/>
          <w:bCs w:val="1"/>
          <w:color w:val="auto"/>
        </w:rPr>
      </w:pPr>
    </w:p>
    <w:p>
      <w:pPr>
        <w:jc w:val="both"/>
        <w:ind w:left="1820" w:right="259" w:hanging="315"/>
        <w:spacing w:after="0" w:line="274" w:lineRule="auto"/>
        <w:tabs>
          <w:tab w:leader="none" w:pos="1820"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or sell, directly or indirectly through family members or other persons or entities, any securities while in possession of material non-public information relating to the issuer of the security, whether the issuer of such security is the Company or any other company;</w:t>
      </w:r>
    </w:p>
    <w:p>
      <w:pPr>
        <w:spacing w:after="0" w:line="156" w:lineRule="exact"/>
        <w:rPr>
          <w:rFonts w:ascii="Times New Roman" w:cs="Times New Roman" w:eastAsia="Times New Roman" w:hAnsi="Times New Roman"/>
          <w:sz w:val="19"/>
          <w:szCs w:val="19"/>
          <w:color w:val="auto"/>
        </w:rPr>
      </w:pPr>
    </w:p>
    <w:p>
      <w:pPr>
        <w:ind w:left="1820" w:right="279" w:hanging="315"/>
        <w:spacing w:after="0" w:line="249" w:lineRule="auto"/>
        <w:tabs>
          <w:tab w:leader="none" w:pos="1820"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(“tip”), directly or indirectly, material non-public information about any company to anyone who may trade while in possession of such information, or make recommendations or express opinions about any security while in possession of material non-public information regarding the issuer of such security;</w:t>
      </w:r>
    </w:p>
    <w:p>
      <w:pPr>
        <w:spacing w:after="0" w:line="179" w:lineRule="exact"/>
        <w:rPr>
          <w:rFonts w:ascii="Times New Roman" w:cs="Times New Roman" w:eastAsia="Times New Roman" w:hAnsi="Times New Roman"/>
          <w:sz w:val="20"/>
          <w:szCs w:val="20"/>
          <w:color w:val="auto"/>
        </w:rPr>
      </w:pPr>
    </w:p>
    <w:p>
      <w:pPr>
        <w:ind w:left="1820" w:right="339" w:hanging="315"/>
        <w:spacing w:after="0" w:line="246" w:lineRule="auto"/>
        <w:tabs>
          <w:tab w:leader="none" w:pos="1820"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whether relating to the Company or any company with which the Company conducts business, to anyone outside the Company under any circumstances (absent prior approval by the Compliance Officer and execution of an appropriate confidentiality agreement), or to anyone within the Company other than on a need-to-know basis; or</w:t>
      </w:r>
    </w:p>
    <w:p>
      <w:pPr>
        <w:spacing w:after="0" w:line="184"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anyone engaged in any of the above activities.</w:t>
      </w:r>
    </w:p>
    <w:p>
      <w:pPr>
        <w:spacing w:after="0" w:line="211" w:lineRule="exact"/>
        <w:rPr>
          <w:rFonts w:ascii="Times New Roman" w:cs="Times New Roman" w:eastAsia="Times New Roman" w:hAnsi="Times New Roman"/>
          <w:sz w:val="20"/>
          <w:szCs w:val="20"/>
          <w:color w:val="auto"/>
        </w:rPr>
      </w:pPr>
    </w:p>
    <w:p>
      <w:pPr>
        <w:ind w:left="200" w:right="559" w:firstLine="657"/>
        <w:spacing w:after="0" w:line="273" w:lineRule="auto"/>
        <w:tabs>
          <w:tab w:leader="none" w:pos="1496" w:val="left"/>
        </w:tabs>
        <w:numPr>
          <w:ilvl w:val="1"/>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Exceptions to Prohibited Activities</w:t>
      </w:r>
      <w:r>
        <w:rPr>
          <w:rFonts w:ascii="Times New Roman" w:cs="Times New Roman" w:eastAsia="Times New Roman" w:hAnsi="Times New Roman"/>
          <w:sz w:val="20"/>
          <w:szCs w:val="20"/>
          <w:color w:val="auto"/>
        </w:rPr>
        <w:t>. The restrictions and prohibitions set forth in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 above and Section VII below do not apply to:</w:t>
      </w:r>
    </w:p>
    <w:p>
      <w:pPr>
        <w:spacing w:after="0" w:line="151" w:lineRule="exact"/>
        <w:rPr>
          <w:rFonts w:ascii="Times New Roman" w:cs="Times New Roman" w:eastAsia="Times New Roman" w:hAnsi="Times New Roman"/>
          <w:sz w:val="20"/>
          <w:szCs w:val="20"/>
          <w:b w:val="1"/>
          <w:bCs w:val="1"/>
          <w:color w:val="auto"/>
        </w:rPr>
      </w:pPr>
    </w:p>
    <w:p>
      <w:pPr>
        <w:ind w:left="1820" w:right="219" w:hanging="315"/>
        <w:spacing w:after="0" w:line="261" w:lineRule="auto"/>
        <w:tabs>
          <w:tab w:leader="none" w:pos="1820"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Exercises of Stock Options for Cash</w:t>
      </w:r>
      <w:r>
        <w:rPr>
          <w:rFonts w:ascii="Times New Roman" w:cs="Times New Roman" w:eastAsia="Times New Roman" w:hAnsi="Times New Roman"/>
          <w:sz w:val="19"/>
          <w:szCs w:val="19"/>
          <w:color w:val="auto"/>
        </w:rPr>
        <w:t>. This Policy does not apply to the exercise of a stock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option for cash, or to the exercise of a tax withholding right pursuant to which a person has elected to have the Company withhold shares subject to an option to satisfy minimum statutory tax withholding requirements. However, the sale of any shares issued upon the exercise of options or any cashless exercises of options are transactions covered by this Policy and subject to the restrictions and prohibitions contained herein.</w:t>
      </w:r>
    </w:p>
    <w:p>
      <w:pPr>
        <w:spacing w:after="0" w:line="167" w:lineRule="exact"/>
        <w:rPr>
          <w:rFonts w:ascii="Times New Roman" w:cs="Times New Roman" w:eastAsia="Times New Roman" w:hAnsi="Times New Roman"/>
          <w:sz w:val="19"/>
          <w:szCs w:val="19"/>
          <w:color w:val="auto"/>
        </w:rPr>
      </w:pPr>
    </w:p>
    <w:p>
      <w:pPr>
        <w:ind w:left="1820" w:right="339" w:hanging="315"/>
        <w:spacing w:after="0" w:line="261" w:lineRule="auto"/>
        <w:tabs>
          <w:tab w:leader="none" w:pos="1820"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Vesting of Restricted Stock or Restricted Stock Unit Awards</w:t>
      </w:r>
      <w:r>
        <w:rPr>
          <w:rFonts w:ascii="Times New Roman" w:cs="Times New Roman" w:eastAsia="Times New Roman" w:hAnsi="Times New Roman"/>
          <w:sz w:val="19"/>
          <w:szCs w:val="19"/>
          <w:color w:val="auto"/>
        </w:rPr>
        <w:t>. This Policy does not apply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the vesting of restricted stock or restricted stock unit awards, or the exercise of a tax withholding right pursuant to which a person elects (or the Company elects on such person’s behalf) to have the Company withhold shares of stock to satisfy minimum statutory tax withholding requirements upon the vesting of any restricted stock or unit award. The Policy does apply, however, to any sale of restricted stock to a third party.</w:t>
      </w:r>
    </w:p>
    <w:p>
      <w:pPr>
        <w:spacing w:after="0" w:line="167" w:lineRule="exact"/>
        <w:rPr>
          <w:rFonts w:ascii="Times New Roman" w:cs="Times New Roman" w:eastAsia="Times New Roman" w:hAnsi="Times New Roman"/>
          <w:sz w:val="19"/>
          <w:szCs w:val="19"/>
          <w:color w:val="auto"/>
        </w:rPr>
      </w:pPr>
    </w:p>
    <w:p>
      <w:pPr>
        <w:ind w:left="1820" w:right="239" w:hanging="315"/>
        <w:spacing w:after="0" w:line="246" w:lineRule="auto"/>
        <w:tabs>
          <w:tab w:leader="none" w:pos="1820"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Bona Fide Gifts</w:t>
      </w:r>
      <w:r>
        <w:rPr>
          <w:rFonts w:ascii="Times New Roman" w:cs="Times New Roman" w:eastAsia="Times New Roman" w:hAnsi="Times New Roman"/>
          <w:sz w:val="20"/>
          <w:szCs w:val="20"/>
          <w:color w:val="auto"/>
        </w:rPr>
        <w:t>. Bona fide gifts of securities of the Company are exempt from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restrictions contained in this Policy, unless the person making the gift has reason to believe that the recipient intends to sell the securities when the donor is aware of material non-public information or during a Blackout Period or Special Blackout Period applicable to the donor. Any sale of any such gifted securities is subject to this Policy and the restrictions herein.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40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5</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50" w:name="page151"/>
    <w:bookmarkEnd w:id="150"/>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2" w:lineRule="exact"/>
        <w:rPr>
          <w:sz w:val="20"/>
          <w:szCs w:val="20"/>
          <w:color w:val="auto"/>
        </w:rPr>
      </w:pPr>
    </w:p>
    <w:p>
      <w:pPr>
        <w:ind w:left="1820" w:right="1159" w:hanging="315"/>
        <w:spacing w:after="0" w:line="273" w:lineRule="auto"/>
        <w:tabs>
          <w:tab w:leader="none" w:pos="18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Investments in Publicly Traded Mutual Funds</w:t>
      </w:r>
      <w:r>
        <w:rPr>
          <w:rFonts w:ascii="Times New Roman" w:cs="Times New Roman" w:eastAsia="Times New Roman" w:hAnsi="Times New Roman"/>
          <w:sz w:val="20"/>
          <w:szCs w:val="20"/>
          <w:color w:val="auto"/>
        </w:rPr>
        <w:t>. This Policy does not apply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investments in publicly traded mutual funds.</w:t>
      </w:r>
    </w:p>
    <w:p>
      <w:pPr>
        <w:spacing w:after="0" w:line="151" w:lineRule="exact"/>
        <w:rPr>
          <w:rFonts w:ascii="Times New Roman" w:cs="Times New Roman" w:eastAsia="Times New Roman" w:hAnsi="Times New Roman"/>
          <w:sz w:val="20"/>
          <w:szCs w:val="20"/>
          <w:color w:val="auto"/>
        </w:rPr>
      </w:pPr>
    </w:p>
    <w:p>
      <w:pPr>
        <w:ind w:left="1820" w:right="259" w:hanging="315"/>
        <w:spacing w:after="0" w:line="256" w:lineRule="auto"/>
        <w:tabs>
          <w:tab w:leader="none" w:pos="18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Trades Under Approved Rule 10b5-1 Plans</w:t>
      </w:r>
      <w:r>
        <w:rPr>
          <w:rFonts w:ascii="Times New Roman" w:cs="Times New Roman" w:eastAsia="Times New Roman" w:hAnsi="Times New Roman"/>
          <w:sz w:val="19"/>
          <w:szCs w:val="19"/>
          <w:color w:val="auto"/>
        </w:rPr>
        <w:t>. Rule 10b5-1 under the Securities Exchange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Act of 1934, as amended (the “</w:t>
      </w:r>
      <w:r>
        <w:rPr>
          <w:rFonts w:ascii="Times New Roman" w:cs="Times New Roman" w:eastAsia="Times New Roman" w:hAnsi="Times New Roman"/>
          <w:sz w:val="19"/>
          <w:szCs w:val="19"/>
          <w:b w:val="1"/>
          <w:bCs w:val="1"/>
          <w:i w:val="1"/>
          <w:iCs w:val="1"/>
          <w:color w:val="auto"/>
        </w:rPr>
        <w:t>1934 Act</w:t>
      </w:r>
      <w:r>
        <w:rPr>
          <w:rFonts w:ascii="Times New Roman" w:cs="Times New Roman" w:eastAsia="Times New Roman" w:hAnsi="Times New Roman"/>
          <w:sz w:val="19"/>
          <w:szCs w:val="19"/>
          <w:color w:val="auto"/>
        </w:rPr>
        <w:t>”) provides a defense from insider trading liability under Rule 10b-5. In order to rely on this defense, a person must enter into a Rule 10b5-1 plan for transactions in the Company’s securities that meets certain conditions specified in Rule 10b5-1 (a “</w:t>
      </w:r>
      <w:r>
        <w:rPr>
          <w:rFonts w:ascii="Times New Roman" w:cs="Times New Roman" w:eastAsia="Times New Roman" w:hAnsi="Times New Roman"/>
          <w:sz w:val="19"/>
          <w:szCs w:val="19"/>
          <w:b w:val="1"/>
          <w:bCs w:val="1"/>
          <w:i w:val="1"/>
          <w:iCs w:val="1"/>
          <w:color w:val="auto"/>
        </w:rPr>
        <w:t>Rule 10b5-1 Plan</w:t>
      </w:r>
      <w:r>
        <w:rPr>
          <w:rFonts w:ascii="Times New Roman" w:cs="Times New Roman" w:eastAsia="Times New Roman" w:hAnsi="Times New Roman"/>
          <w:sz w:val="19"/>
          <w:szCs w:val="19"/>
          <w:color w:val="auto"/>
        </w:rPr>
        <w:t>”) before making such transactions. If the plan meets the requirements of Rule 10b5-1, Company securities may be purchased or sold without regard to certain insider trading restrictions, so long as the person making the trade complies with the terms of the plan. 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w:t>
      </w:r>
    </w:p>
    <w:p>
      <w:pPr>
        <w:spacing w:after="0" w:line="177" w:lineRule="exact"/>
        <w:rPr>
          <w:rFonts w:ascii="Times New Roman" w:cs="Times New Roman" w:eastAsia="Times New Roman" w:hAnsi="Times New Roman"/>
          <w:sz w:val="19"/>
          <w:szCs w:val="19"/>
          <w:color w:val="auto"/>
        </w:rPr>
      </w:pPr>
    </w:p>
    <w:p>
      <w:pPr>
        <w:ind w:left="1820" w:right="299"/>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entering into or amending any Rule 10b5-1 Plan, a person covered by this Policy must obtain approval of the Compliance Officer (an “</w:t>
      </w:r>
      <w:r>
        <w:rPr>
          <w:rFonts w:ascii="Times New Roman" w:cs="Times New Roman" w:eastAsia="Times New Roman" w:hAnsi="Times New Roman"/>
          <w:sz w:val="19"/>
          <w:szCs w:val="19"/>
          <w:b w:val="1"/>
          <w:bCs w:val="1"/>
          <w:i w:val="1"/>
          <w:iCs w:val="1"/>
          <w:color w:val="auto"/>
        </w:rPr>
        <w:t>approved Rule 10b5-1 Plan</w:t>
      </w:r>
      <w:r>
        <w:rPr>
          <w:rFonts w:ascii="Times New Roman" w:cs="Times New Roman" w:eastAsia="Times New Roman" w:hAnsi="Times New Roman"/>
          <w:sz w:val="19"/>
          <w:szCs w:val="19"/>
          <w:color w:val="auto"/>
        </w:rPr>
        <w:t>”), who will ensure that the proposed Rule 10b5-1 Plan complies with the terms of Rule 10b5-1. The Compliance Officer will not approve any proposed Rule 10b5-1 Plan, or plan amendment, that does not meet the requirements of Rule 10b5-1 for such plans. A person may not enter into or amend a Rule 10b5-1 Plan if they are aware of material non-public information or during any Special Blackout Period applicable to such person (see Section VII below). Additionally, no Executive Officer, Director or Designated Individual (as defined below) may enter into or amend a Rule 10b5-1 Plan during a Blackout Period. The Compliance Officer has sole discretion to approve or disapprove of a Rule 10b5-1 Plan, or any amendments thereto. If you wish to enter into or amend a Rule 10b5-1 Plan, you must submit a copy of the plan or amendment to the Compliance Officer at least one week prior to the date you desire to enter into or amend the plan.</w:t>
      </w:r>
    </w:p>
    <w:p>
      <w:pPr>
        <w:spacing w:after="0" w:line="182" w:lineRule="exact"/>
        <w:rPr>
          <w:sz w:val="20"/>
          <w:szCs w:val="20"/>
          <w:color w:val="auto"/>
        </w:rPr>
      </w:pPr>
    </w:p>
    <w:p>
      <w:pPr>
        <w:ind w:left="200" w:right="239" w:firstLine="648"/>
        <w:spacing w:after="0" w:line="246" w:lineRule="auto"/>
        <w:rPr>
          <w:sz w:val="20"/>
          <w:szCs w:val="20"/>
          <w:color w:val="auto"/>
        </w:rPr>
      </w:pPr>
      <w:r>
        <w:rPr>
          <w:rFonts w:ascii="Times New Roman" w:cs="Times New Roman" w:eastAsia="Times New Roman" w:hAnsi="Times New Roman"/>
          <w:sz w:val="20"/>
          <w:szCs w:val="20"/>
          <w:color w:val="auto"/>
        </w:rPr>
        <w:t>There are no exceptions to this Policy, except as set forth above. Transactions that may be justifiable or necessary for independent reasons, such as the need to raise money for any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81"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SPECIAL AND PROHIBITED TRANSACTIONS.</w:t>
      </w:r>
    </w:p>
    <w:p>
      <w:pPr>
        <w:spacing w:after="0" w:line="220" w:lineRule="exact"/>
        <w:rPr>
          <w:sz w:val="20"/>
          <w:szCs w:val="20"/>
          <w:color w:val="auto"/>
        </w:rPr>
      </w:pPr>
    </w:p>
    <w:p>
      <w:pPr>
        <w:ind w:left="200" w:right="259" w:firstLine="648"/>
        <w:spacing w:after="0" w:line="249" w:lineRule="auto"/>
        <w:rPr>
          <w:sz w:val="20"/>
          <w:szCs w:val="20"/>
          <w:color w:val="auto"/>
        </w:rPr>
      </w:pPr>
      <w:r>
        <w:rPr>
          <w:rFonts w:ascii="Times New Roman" w:cs="Times New Roman" w:eastAsia="Times New Roman" w:hAnsi="Times New Roman"/>
          <w:sz w:val="20"/>
          <w:szCs w:val="20"/>
          <w:color w:val="auto"/>
        </w:rPr>
        <w:t>The Company has determined that there is a heightened legal risk and/or the appearance of improper or inappropriate conduct if Covered Persons engage in certain types of transactions. It is therefore the Company’s policy that no Covered Persons shall engage in any of the following transactions, and that Covered Persons consider the Company’s preferences as described below:</w:t>
      </w:r>
    </w:p>
    <w:p>
      <w:pPr>
        <w:spacing w:after="0" w:line="176" w:lineRule="exact"/>
        <w:rPr>
          <w:sz w:val="20"/>
          <w:szCs w:val="20"/>
          <w:color w:val="auto"/>
        </w:rPr>
      </w:pPr>
    </w:p>
    <w:p>
      <w:pPr>
        <w:ind w:left="1180" w:right="339" w:hanging="323"/>
        <w:spacing w:after="0" w:line="268" w:lineRule="auto"/>
        <w:tabs>
          <w:tab w:leader="none" w:pos="118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Short Sales</w:t>
      </w:r>
      <w:r>
        <w:rPr>
          <w:rFonts w:ascii="Times New Roman" w:cs="Times New Roman" w:eastAsia="Times New Roman" w:hAnsi="Times New Roman"/>
          <w:sz w:val="19"/>
          <w:szCs w:val="19"/>
          <w:color w:val="auto"/>
        </w:rPr>
        <w:t>. Short sales of Company securities (i.e., the sale of a security that the seller does not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own) may evidence an expectation on the part of the seller that the securities will decline in value, and, therefore, signal to the market that the seller has no confidence in the Company or its prospects. In addition, short sales may reduce the seller’s incentive to improve the Company’s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p>
      <w:pPr>
        <w:sectPr>
          <w:pgSz w:w="11900" w:h="16838" w:orient="portrait"/>
          <w:cols w:equalWidth="0" w:num="1">
            <w:col w:w="9019"/>
          </w:cols>
          <w:pgMar w:left="1440" w:top="1440" w:right="1440" w:bottom="1440" w:gutter="0" w:footer="0" w:header="0"/>
        </w:sectPr>
      </w:pP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40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6</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type w:val="continuous"/>
        </w:sectPr>
      </w:pPr>
    </w:p>
    <w:bookmarkStart w:id="151" w:name="page152"/>
    <w:bookmarkEnd w:id="151"/>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ectPr>
          <w:pgSz w:w="11900" w:h="16838" w:orient="portrait"/>
          <w:cols w:equalWidth="0" w:num="1">
            <w:col w:w="9019"/>
          </w:cols>
          <w:pgMar w:left="1440" w:top="1440" w:right="1440" w:bottom="1440" w:gutter="0" w:footer="0" w:header="0"/>
        </w:sectPr>
      </w:pPr>
    </w:p>
    <w:p>
      <w:pPr>
        <w:spacing w:after="0" w:line="266" w:lineRule="exact"/>
        <w:rPr>
          <w:sz w:val="20"/>
          <w:szCs w:val="20"/>
          <w:color w:val="auto"/>
        </w:rPr>
      </w:pPr>
    </w:p>
    <w:p>
      <w:pPr>
        <w:ind w:left="1180" w:right="239"/>
        <w:spacing w:after="0" w:line="266" w:lineRule="auto"/>
        <w:rPr>
          <w:sz w:val="20"/>
          <w:szCs w:val="20"/>
          <w:color w:val="auto"/>
        </w:rPr>
      </w:pPr>
      <w:r>
        <w:rPr>
          <w:rFonts w:ascii="Times New Roman" w:cs="Times New Roman" w:eastAsia="Times New Roman" w:hAnsi="Times New Roman"/>
          <w:sz w:val="19"/>
          <w:szCs w:val="19"/>
          <w:color w:val="auto"/>
        </w:rPr>
        <w:t>performance. Therefore, no Covered Person may engage in short sales of Company securities, including short sales “against the box.” Additionally, no Covered Person may engage in short sales of the securities of any other company if the Covered Person has material nonpublic information about such other company obtained through employment or services rendered to the Company.</w:t>
      </w:r>
    </w:p>
    <w:p>
      <w:pPr>
        <w:spacing w:after="0" w:line="161" w:lineRule="exact"/>
        <w:rPr>
          <w:sz w:val="20"/>
          <w:szCs w:val="20"/>
          <w:color w:val="auto"/>
        </w:rPr>
      </w:pPr>
    </w:p>
    <w:p>
      <w:pPr>
        <w:ind w:left="1180" w:right="259" w:hanging="323"/>
        <w:spacing w:after="0" w:line="243" w:lineRule="auto"/>
        <w:tabs>
          <w:tab w:leader="none" w:pos="11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Publicly-Traded Options</w:t>
      </w:r>
      <w:r>
        <w:rPr>
          <w:rFonts w:ascii="Times New Roman" w:cs="Times New Roman" w:eastAsia="Times New Roman" w:hAnsi="Times New Roman"/>
          <w:sz w:val="20"/>
          <w:szCs w:val="20"/>
          <w:color w:val="auto"/>
        </w:rPr>
        <w:t>. Given the relatively short term of publicly-traded options, transactions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options may create the appearance that a Director, officer or employee is trading based on material non-public information and focus a Covered Person’s attention on short-term performance at the expense of the Company’s long-term objectives. Accordingly, transactions in put options, call options or other derivative securities of the Company, on an exchange or in any other organized market are prohibited by this Policy. Additionally, Covered Persons shall avoid transactions in publicly-traded options of any other company if the Covered Person has material nonpublic information about such other company obtained through employment or services rendered to the Company.</w:t>
      </w:r>
    </w:p>
    <w:p>
      <w:pPr>
        <w:spacing w:after="0" w:line="185" w:lineRule="exact"/>
        <w:rPr>
          <w:rFonts w:ascii="Times New Roman" w:cs="Times New Roman" w:eastAsia="Times New Roman" w:hAnsi="Times New Roman"/>
          <w:sz w:val="20"/>
          <w:szCs w:val="20"/>
          <w:color w:val="auto"/>
        </w:rPr>
      </w:pPr>
    </w:p>
    <w:p>
      <w:pPr>
        <w:ind w:left="1180" w:right="319" w:hanging="323"/>
        <w:spacing w:after="0" w:line="257" w:lineRule="auto"/>
        <w:tabs>
          <w:tab w:leader="none" w:pos="118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Hedging Transactions. </w:t>
      </w:r>
      <w:r>
        <w:rPr>
          <w:rFonts w:ascii="Times New Roman" w:cs="Times New Roman" w:eastAsia="Times New Roman" w:hAnsi="Times New Roman"/>
          <w:sz w:val="19"/>
          <w:szCs w:val="19"/>
          <w:color w:val="auto"/>
        </w:rPr>
        <w:t>Hedging or monetization transactions can be accomplished through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number of possible mechanisms, including through the use of financial instruments as prepaid variable forwards, equity swaps, collars and exchange funds. Such hedging transactions may permit a Covered Person to continue to own Company securities obtained through employee benefit plans or otherwise, but without the full risks and rewards of ownership. When that occurs, the Covered Person may no longer have the same objectives as the Company’s other stockholders. Therefore, Covered Persons shall not engagein any such transactions with Company securities. Additionally, no Covered Person shall engage in hedging transactions with the securities of any other company if the Covered Person has material nonpublic information about such another company obtained through employment or services rendered to the Company</w:t>
      </w:r>
    </w:p>
    <w:p>
      <w:pPr>
        <w:spacing w:after="0" w:line="171" w:lineRule="exact"/>
        <w:rPr>
          <w:rFonts w:ascii="Times New Roman" w:cs="Times New Roman" w:eastAsia="Times New Roman" w:hAnsi="Times New Roman"/>
          <w:sz w:val="19"/>
          <w:szCs w:val="19"/>
          <w:color w:val="auto"/>
        </w:rPr>
      </w:pPr>
    </w:p>
    <w:p>
      <w:pPr>
        <w:ind w:left="1180" w:right="279" w:hanging="323"/>
        <w:spacing w:after="0" w:line="257" w:lineRule="auto"/>
        <w:tabs>
          <w:tab w:leader="none" w:pos="118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Pledges and Margin Accounts. </w:t>
      </w:r>
      <w:r>
        <w:rPr>
          <w:rFonts w:ascii="Times New Roman" w:cs="Times New Roman" w:eastAsia="Times New Roman" w:hAnsi="Times New Roman"/>
          <w:sz w:val="19"/>
          <w:szCs w:val="19"/>
          <w:color w:val="auto"/>
        </w:rPr>
        <w:t>Securities pledged as collateral for a loan may be sold without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your consent by the lender in foreclosure if you default on the loan. Similarly, securities held in a margin account as collateral for a margin loan may be sold without your consent if you fail to meet a margin call. A margin sale or a foreclosure sale may occur when you are aware of material non-public information which may, under some circumstances, result in unlawful insider trading. Therefore, Covered Persons shall not hold Company securities in a margin account or otherwise pledge Company securities as collateral for a loan. Additionally, no Covered Person shall (a) engage in pledging activities using the securities of any other company if the Covered Person has material nonpublic information about such another company obtained through employment or services rendered to the Company or (b) hold any such securities in a margin account.</w:t>
      </w:r>
    </w:p>
    <w:p>
      <w:pPr>
        <w:spacing w:after="0" w:line="171" w:lineRule="exact"/>
        <w:rPr>
          <w:rFonts w:ascii="Times New Roman" w:cs="Times New Roman" w:eastAsia="Times New Roman" w:hAnsi="Times New Roman"/>
          <w:sz w:val="19"/>
          <w:szCs w:val="19"/>
          <w:color w:val="auto"/>
        </w:rPr>
      </w:pPr>
    </w:p>
    <w:p>
      <w:pPr>
        <w:ind w:left="1180" w:right="419" w:hanging="323"/>
        <w:spacing w:after="0" w:line="258" w:lineRule="auto"/>
        <w:tabs>
          <w:tab w:leader="none" w:pos="118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Standing Limit Orders. </w:t>
      </w:r>
      <w:r>
        <w:rPr>
          <w:rFonts w:ascii="Times New Roman" w:cs="Times New Roman" w:eastAsia="Times New Roman" w:hAnsi="Times New Roman"/>
          <w:sz w:val="19"/>
          <w:szCs w:val="19"/>
          <w:color w:val="auto"/>
        </w:rPr>
        <w:t>Standing and limit orders (except standing and limit orders under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approved Rule 10b5-1 Plans) create heightened risks for insider trading violations. Such orders mean that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Company securities. If a Covered Person determines that they must use a standing order or limit order for Company securities, the order should be limited to short duration and should obtain pre-clearance from the Compliance Officer. Additionally,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40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7</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type w:val="continuous"/>
        </w:sectPr>
      </w:pPr>
    </w:p>
    <w:bookmarkStart w:id="152" w:name="page153"/>
    <w:bookmarkEnd w:id="15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6" w:lineRule="exact"/>
        <w:rPr>
          <w:sz w:val="20"/>
          <w:szCs w:val="20"/>
          <w:color w:val="auto"/>
        </w:rPr>
      </w:pPr>
    </w:p>
    <w:p>
      <w:pPr>
        <w:ind w:left="1180" w:right="379"/>
        <w:spacing w:after="0" w:line="254" w:lineRule="auto"/>
        <w:rPr>
          <w:sz w:val="20"/>
          <w:szCs w:val="20"/>
          <w:color w:val="auto"/>
        </w:rPr>
      </w:pPr>
      <w:r>
        <w:rPr>
          <w:rFonts w:ascii="Times New Roman" w:cs="Times New Roman" w:eastAsia="Times New Roman" w:hAnsi="Times New Roman"/>
          <w:sz w:val="20"/>
          <w:szCs w:val="20"/>
          <w:color w:val="auto"/>
        </w:rPr>
        <w:t>Covered Person should use similar caution in using standing limit orders for securities of a company in which such Covered Person has material nonpublic information about such company obtained through employment or services rendered to the Company.</w:t>
      </w:r>
    </w:p>
    <w:p>
      <w:pPr>
        <w:spacing w:after="0" w:line="170" w:lineRule="exact"/>
        <w:rPr>
          <w:sz w:val="20"/>
          <w:szCs w:val="20"/>
          <w:color w:val="auto"/>
        </w:rPr>
      </w:pPr>
    </w:p>
    <w:p>
      <w:pPr>
        <w:ind w:left="1180" w:right="219" w:hanging="323"/>
        <w:spacing w:after="0" w:line="241" w:lineRule="auto"/>
        <w:tabs>
          <w:tab w:leader="none" w:pos="11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Prediction Markets. </w:t>
      </w:r>
      <w:r>
        <w:rPr>
          <w:rFonts w:ascii="Times New Roman" w:cs="Times New Roman" w:eastAsia="Times New Roman" w:hAnsi="Times New Roman"/>
          <w:sz w:val="20"/>
          <w:szCs w:val="20"/>
          <w:color w:val="auto"/>
        </w:rPr>
        <w:t>Prediction markets and similar platforms (including but not limited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markets operated by Kalshi, Polymarket and other event contract platforms) allow participants to trade contracts based on the outcome of future events, including events related to corporate performance, business developments, regulatory actions, and other matters that may relate to the Company or companies with which the Company conducts business. Covered Persons are prohibited from using Company confidential information for personal financial gain in any form, including through wagering, betting, or trading on prediction markets or similar platforms. This prohibition applies regardless of whether the prediction market contract qualifies as a “security” under securities laws. Covered Persons may not use, disclose, or rely upon any material non-public, proprietary, confidential, or controlled information obtained through their relationship with the Company when participating in any prediction market. This includes, but is not limited to, prediction markets or contracts concerning corporate earnings or earnings call language, mergers and acquisitions, regulatory approvals or outcomes, contract awards, product launches, management decisions, or any other business developments or events about which a Covered Person possesses material non-public information obtained through employment with or performance of services on behalf of the Company. Trading on inside information in prediction markets can trigger federal regulatory scrutiny under commodities fraud and wire fraud statutes, breach corporate policies, and damage the Company’s reputation and credibility. Covered Persons are reminded that the Company’s Amended and Restated Code of Business Conduct and Ethics separately addresses the proper handling and protection of confidential information and applies to all contexts in which Company information may be used or disclosed.</w:t>
      </w:r>
    </w:p>
    <w:p>
      <w:pPr>
        <w:spacing w:after="0" w:line="184"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19"/>
          <w:szCs w:val="19"/>
          <w:b w:val="1"/>
          <w:bCs w:val="1"/>
          <w:color w:val="auto"/>
        </w:rPr>
        <w:t>VII.</w:t>
        <w:tab/>
        <w:t>NOTICE AND PRE-CLEARANCE PROCEDURES FOR CERTAIN COVERED PERSONS</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200" w:right="239" w:firstLine="657"/>
        <w:spacing w:after="0" w:line="242" w:lineRule="auto"/>
        <w:tabs>
          <w:tab w:leader="none" w:pos="1496"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Pre-Clearance Procedures</w:t>
      </w:r>
      <w:r>
        <w:rPr>
          <w:rFonts w:ascii="Times New Roman" w:cs="Times New Roman" w:eastAsia="Times New Roman" w:hAnsi="Times New Roman"/>
          <w:sz w:val="20"/>
          <w:szCs w:val="20"/>
          <w:color w:val="auto"/>
        </w:rPr>
        <w:t>. To prevent inadvertent violations of applicable securities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to avoid the appearance of impropriety in connection with the purchase and sale of the Company securities, all transactions in Company Securities (including without limitation, acquisitions and dispositions of Company stock, the exercise of stock options and the sale of Company stock issued upon exercise of stock options) by the Directors and certain persons designated by the Compliance Officer (collectively, the “</w:t>
      </w:r>
      <w:r>
        <w:rPr>
          <w:rFonts w:ascii="Times New Roman" w:cs="Times New Roman" w:eastAsia="Times New Roman" w:hAnsi="Times New Roman"/>
          <w:sz w:val="20"/>
          <w:szCs w:val="20"/>
          <w:b w:val="1"/>
          <w:bCs w:val="1"/>
          <w:i w:val="1"/>
          <w:iCs w:val="1"/>
          <w:color w:val="auto"/>
        </w:rPr>
        <w:t>Designated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Individuals</w:t>
      </w:r>
      <w:r>
        <w:rPr>
          <w:rFonts w:ascii="Times New Roman" w:cs="Times New Roman" w:eastAsia="Times New Roman" w:hAnsi="Times New Roman"/>
          <w:sz w:val="20"/>
          <w:szCs w:val="20"/>
          <w:color w:val="auto"/>
        </w:rPr>
        <w:t>”), as well as any Covered Person associated or affiliated with such persons, must be pre-cleared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Compliance Officer. Pre-clearance requests must be submitted to the Compliance Officer on a Pre-Clearance Request Form, which is available on the Company’s intranet, submitted two business days prior to the proposed transaction date. The Compliance Officer shall have sole discretion to decide whether to clear any contemplated transaction. If the Compliance Officer or persons or entities subject to this Policy as a result of their relationship with the Compliance Officer contemplate any transactions in Company securities, the Chief Legal Officer (if the Chief Legal Officer is not serving as the Compliance Officer) or the Chief Financial Officer (if the General Counsel is serving as the Compliance Officer) shall have sole discretion to decide whether to clear any such transactions.</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Contact the Compliance Officer for more information regarding pre-clearance procedures.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40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8</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53" w:name="page154"/>
    <w:bookmarkEnd w:id="15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2" w:lineRule="exact"/>
        <w:rPr>
          <w:sz w:val="20"/>
          <w:szCs w:val="20"/>
          <w:color w:val="auto"/>
        </w:rPr>
      </w:pPr>
    </w:p>
    <w:p>
      <w:pPr>
        <w:ind w:left="200" w:right="299" w:firstLine="9"/>
        <w:spacing w:after="0" w:line="245" w:lineRule="auto"/>
        <w:tabs>
          <w:tab w:leader="none" w:pos="848"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Post-Transaction Notice</w:t>
      </w:r>
      <w:r>
        <w:rPr>
          <w:rFonts w:ascii="Times New Roman" w:cs="Times New Roman" w:eastAsia="Times New Roman" w:hAnsi="Times New Roman"/>
          <w:sz w:val="20"/>
          <w:szCs w:val="20"/>
          <w:color w:val="auto"/>
        </w:rPr>
        <w:t>. Each person who is subject to the reporting obligations under Section 16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1934 Act (each such person, a “</w:t>
      </w:r>
      <w:r>
        <w:rPr>
          <w:rFonts w:ascii="Times New Roman" w:cs="Times New Roman" w:eastAsia="Times New Roman" w:hAnsi="Times New Roman"/>
          <w:sz w:val="20"/>
          <w:szCs w:val="20"/>
          <w:b w:val="1"/>
          <w:bCs w:val="1"/>
          <w:i w:val="1"/>
          <w:iCs w:val="1"/>
          <w:color w:val="auto"/>
        </w:rPr>
        <w:t>Section 16 Reporting Person</w:t>
      </w:r>
      <w:r>
        <w:rPr>
          <w:rFonts w:ascii="Times New Roman" w:cs="Times New Roman" w:eastAsia="Times New Roman" w:hAnsi="Times New Roman"/>
          <w:sz w:val="20"/>
          <w:szCs w:val="20"/>
          <w:color w:val="auto"/>
        </w:rPr>
        <w:t>”) shall also notify the Compliance Officer of the occurrence of any purchase, sale or other acquisition or disposition of Company securities as soon as possible following the transaction to ensure that all required SEC filings for the transaction are properly filed. Information regarding SEC filing requirements and restrictions and prohibitions applicable to Section 16 Reporting Persons is contained in a separate memorandum that will be provided to all Section 16 Reporting Persons.</w:t>
      </w:r>
    </w:p>
    <w:p>
      <w:pPr>
        <w:spacing w:after="0" w:line="179"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VIII.</w:t>
        <w:tab/>
        <w:t>BLACKOUT PERIODS</w:t>
      </w:r>
    </w:p>
    <w:p>
      <w:pPr>
        <w:spacing w:after="0" w:line="216" w:lineRule="exact"/>
        <w:rPr>
          <w:sz w:val="20"/>
          <w:szCs w:val="20"/>
          <w:color w:val="auto"/>
        </w:rPr>
      </w:pPr>
    </w:p>
    <w:p>
      <w:pPr>
        <w:ind w:left="200" w:right="299" w:firstLine="657"/>
        <w:spacing w:after="0" w:line="260" w:lineRule="auto"/>
        <w:tabs>
          <w:tab w:leader="none" w:pos="1496" w:val="left"/>
        </w:tabs>
        <w:numPr>
          <w:ilvl w:val="0"/>
          <w:numId w:val="1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Special Blackout Periods</w:t>
      </w:r>
      <w:r>
        <w:rPr>
          <w:rFonts w:ascii="Times New Roman" w:cs="Times New Roman" w:eastAsia="Times New Roman" w:hAnsi="Times New Roman"/>
          <w:sz w:val="19"/>
          <w:szCs w:val="19"/>
          <w:color w:val="auto"/>
        </w:rPr>
        <w:t>. From time-to-time, an event may occur or information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 that is material to the Company and is known to only a few Directors, officers, or employees of the Company, and/or Designated Consultants. In the event of an event-specific trading restriction (a “</w:t>
      </w:r>
      <w:r>
        <w:rPr>
          <w:rFonts w:ascii="Times New Roman" w:cs="Times New Roman" w:eastAsia="Times New Roman" w:hAnsi="Times New Roman"/>
          <w:sz w:val="19"/>
          <w:szCs w:val="19"/>
          <w:b w:val="1"/>
          <w:bCs w:val="1"/>
          <w:i w:val="1"/>
          <w:i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Blackout Period</w:t>
      </w:r>
      <w:r>
        <w:rPr>
          <w:rFonts w:ascii="Times New Roman" w:cs="Times New Roman" w:eastAsia="Times New Roman" w:hAnsi="Times New Roman"/>
          <w:sz w:val="19"/>
          <w:szCs w:val="19"/>
          <w:color w:val="auto"/>
        </w:rPr>
        <w:t>”), the Compliance Officer will notify these persons that they should not trade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Company’s securities without disclosing the reason for the restriction. Subject to the exceptions noted in this Policy, all those affected shall not trade in Company securities while the Special Blackout Period is in effect, and shall not disclose to others that the Company has implemented a Special Blackout Period.</w:t>
      </w:r>
    </w:p>
    <w:p>
      <w:pPr>
        <w:spacing w:after="0" w:line="165" w:lineRule="exact"/>
        <w:rPr>
          <w:rFonts w:ascii="Times New Roman" w:cs="Times New Roman" w:eastAsia="Times New Roman" w:hAnsi="Times New Roman"/>
          <w:sz w:val="19"/>
          <w:szCs w:val="19"/>
          <w:b w:val="1"/>
          <w:bCs w:val="1"/>
          <w:color w:val="auto"/>
        </w:rPr>
      </w:pPr>
    </w:p>
    <w:p>
      <w:pPr>
        <w:ind w:left="200" w:right="219" w:firstLine="657"/>
        <w:spacing w:after="0" w:line="229" w:lineRule="auto"/>
        <w:tabs>
          <w:tab w:leader="none" w:pos="1496" w:val="left"/>
        </w:tabs>
        <w:numPr>
          <w:ilvl w:val="0"/>
          <w:numId w:val="1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Quarterly Blackout Periods</w:t>
      </w:r>
      <w:r>
        <w:rPr>
          <w:rFonts w:ascii="Times New Roman" w:cs="Times New Roman" w:eastAsia="Times New Roman" w:hAnsi="Times New Roman"/>
          <w:sz w:val="19"/>
          <w:szCs w:val="19"/>
          <w:color w:val="auto"/>
        </w:rPr>
        <w:t>. No Designated Individual may purchase or sell any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Company (other than as specified in this Policy) during a “</w:t>
      </w:r>
      <w:r>
        <w:rPr>
          <w:rFonts w:ascii="Times New Roman" w:cs="Times New Roman" w:eastAsia="Times New Roman" w:hAnsi="Times New Roman"/>
          <w:sz w:val="19"/>
          <w:szCs w:val="19"/>
          <w:b w:val="1"/>
          <w:bCs w:val="1"/>
          <w:i w:val="1"/>
          <w:iCs w:val="1"/>
          <w:color w:val="auto"/>
        </w:rPr>
        <w:t>Blackout Period</w:t>
      </w:r>
      <w:r>
        <w:rPr>
          <w:rFonts w:ascii="Times New Roman" w:cs="Times New Roman" w:eastAsia="Times New Roman" w:hAnsi="Times New Roman"/>
          <w:sz w:val="19"/>
          <w:szCs w:val="19"/>
          <w:color w:val="auto"/>
        </w:rPr>
        <w:t>” beginning at the close of the market (1:00pm Pacific Time) on the fourteenth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day before the end of any fiscal quarter of the Company and ending at the open of the market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9"/>
          <w:szCs w:val="19"/>
          <w:color w:val="auto"/>
        </w:rPr>
        <w:t>) business day following the public release of earnings data for such fiscal quarter. In addition, the Company’s financial results may be sufficiently material in a particular fiscal quarter that in the judgment of the Company, Designated Individuals should refrain from trading in Company securities even sooner than the typical quarterly Blackout Period. The Compliance Officer will notify the Designated Individuals of the beginning and end of Blackout Periods.</w:t>
      </w:r>
    </w:p>
    <w:p>
      <w:pPr>
        <w:spacing w:after="0" w:line="191" w:lineRule="exact"/>
        <w:rPr>
          <w:sz w:val="20"/>
          <w:szCs w:val="20"/>
          <w:color w:val="auto"/>
        </w:rPr>
      </w:pPr>
    </w:p>
    <w:p>
      <w:pPr>
        <w:ind w:left="200" w:right="279"/>
        <w:spacing w:after="0" w:line="249" w:lineRule="auto"/>
        <w:rPr>
          <w:sz w:val="20"/>
          <w:szCs w:val="20"/>
          <w:color w:val="auto"/>
        </w:rPr>
      </w:pPr>
      <w:r>
        <w:rPr>
          <w:rFonts w:ascii="Times New Roman" w:cs="Times New Roman" w:eastAsia="Times New Roman" w:hAnsi="Times New Roman"/>
          <w:sz w:val="20"/>
          <w:szCs w:val="20"/>
          <w:color w:val="auto"/>
        </w:rPr>
        <w:t>Note: a Blackout Period is a Company compliance requirement and does not constitute a legal right to trade in the Company’s securities when outside of such Blackout Period. Accordingly, even during a non-Blackout Period, if you are in possession of material non-public information, you may not trade in the Company’s securities.</w:t>
      </w:r>
    </w:p>
    <w:p>
      <w:pPr>
        <w:spacing w:after="0" w:line="176" w:lineRule="exact"/>
        <w:rPr>
          <w:sz w:val="20"/>
          <w:szCs w:val="20"/>
          <w:color w:val="auto"/>
        </w:rPr>
      </w:pPr>
    </w:p>
    <w:p>
      <w:pPr>
        <w:ind w:left="860" w:right="1519" w:hanging="659"/>
        <w:spacing w:after="0" w:line="273" w:lineRule="auto"/>
        <w:tabs>
          <w:tab w:leader="none" w:pos="84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20"/>
          <w:szCs w:val="20"/>
          <w:b w:val="1"/>
          <w:bCs w:val="1"/>
          <w:color w:val="auto"/>
        </w:rPr>
        <w:t>STATEMENT OF PROCEDURES RELATING TO MATERIAL NON-PUBLIC INFORMATION</w:t>
      </w:r>
    </w:p>
    <w:p>
      <w:pPr>
        <w:spacing w:after="0" w:line="156" w:lineRule="exact"/>
        <w:rPr>
          <w:sz w:val="20"/>
          <w:szCs w:val="20"/>
          <w:color w:val="auto"/>
        </w:rPr>
      </w:pPr>
    </w:p>
    <w:p>
      <w:pPr>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The following procedures have been established, and will be maintained and enforced, by the Company to prevent insider trading. Each officer, Director, employee, and Designated Consultant of the Company is required to follow these procedures.</w:t>
      </w:r>
    </w:p>
    <w:p>
      <w:pPr>
        <w:spacing w:after="0" w:line="170" w:lineRule="exact"/>
        <w:rPr>
          <w:sz w:val="20"/>
          <w:szCs w:val="20"/>
          <w:color w:val="auto"/>
        </w:rPr>
      </w:pPr>
    </w:p>
    <w:p>
      <w:pPr>
        <w:ind w:left="1500" w:hanging="643"/>
        <w:spacing w:after="0"/>
        <w:tabs>
          <w:tab w:leader="none" w:pos="150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Material Non-Public Information Relating to the Company</w:t>
      </w:r>
    </w:p>
    <w:p>
      <w:pPr>
        <w:spacing w:after="0" w:line="215" w:lineRule="exact"/>
        <w:rPr>
          <w:rFonts w:ascii="Times New Roman" w:cs="Times New Roman" w:eastAsia="Times New Roman" w:hAnsi="Times New Roman"/>
          <w:sz w:val="20"/>
          <w:szCs w:val="20"/>
          <w:b w:val="1"/>
          <w:bCs w:val="1"/>
          <w:color w:val="auto"/>
        </w:rPr>
      </w:pPr>
    </w:p>
    <w:p>
      <w:pPr>
        <w:ind w:left="200" w:right="539" w:firstLine="1305"/>
        <w:spacing w:after="0" w:line="261" w:lineRule="auto"/>
        <w:tabs>
          <w:tab w:leader="none" w:pos="2144" w:val="left"/>
        </w:tabs>
        <w:numPr>
          <w:ilvl w:val="1"/>
          <w:numId w:val="1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 xml:space="preserve">Access to Information. </w:t>
      </w:r>
      <w:r>
        <w:rPr>
          <w:rFonts w:ascii="Times New Roman" w:cs="Times New Roman" w:eastAsia="Times New Roman" w:hAnsi="Times New Roman"/>
          <w:sz w:val="19"/>
          <w:szCs w:val="19"/>
          <w:color w:val="auto"/>
        </w:rPr>
        <w:t>Access to material non-public information about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 including the Company’s business, earnings or prospects, should be limited to officers, Directors, employees of the Company, and Designated Consultants on a need-to-know basis. In addition, such information should not be communicated to anyone outside the Company under any circumstances (absent prior approval by the Compliance Officer and execution of an appropriate confidentiality agreement) or to anyone within the Company on other than a need-to-know basis. Please also refer to the Company’s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p>
      <w:pPr>
        <w:sectPr>
          <w:pgSz w:w="11900" w:h="16838" w:orient="portrait"/>
          <w:cols w:equalWidth="0" w:num="1">
            <w:col w:w="9019"/>
          </w:cols>
          <w:pgMar w:left="1440" w:top="1440" w:right="1440" w:bottom="1440" w:gutter="0" w:footer="0" w:header="0"/>
        </w:sectPr>
      </w:pP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40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9</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type w:val="continuous"/>
        </w:sectPr>
      </w:pPr>
    </w:p>
    <w:bookmarkStart w:id="154" w:name="page155"/>
    <w:bookmarkEnd w:id="15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6" w:lineRule="exact"/>
        <w:rPr>
          <w:sz w:val="20"/>
          <w:szCs w:val="20"/>
          <w:color w:val="auto"/>
        </w:rPr>
      </w:pPr>
    </w:p>
    <w:p>
      <w:pPr>
        <w:ind w:left="200" w:right="599"/>
        <w:spacing w:after="0" w:line="295" w:lineRule="auto"/>
        <w:rPr>
          <w:sz w:val="20"/>
          <w:szCs w:val="20"/>
          <w:color w:val="auto"/>
        </w:rPr>
      </w:pPr>
      <w:r>
        <w:rPr>
          <w:rFonts w:ascii="Times New Roman" w:cs="Times New Roman" w:eastAsia="Times New Roman" w:hAnsi="Times New Roman"/>
          <w:sz w:val="19"/>
          <w:szCs w:val="19"/>
          <w:color w:val="auto"/>
        </w:rPr>
        <w:t>Regulation FD Policy (BMSD-852) which outlines the specific individuals who are expressly authorized to speak on behalf of the Company with respect to the disclosure of material non-public information.</w:t>
      </w:r>
    </w:p>
    <w:p>
      <w:pPr>
        <w:spacing w:after="0" w:line="138" w:lineRule="exact"/>
        <w:rPr>
          <w:sz w:val="20"/>
          <w:szCs w:val="20"/>
          <w:color w:val="auto"/>
        </w:rPr>
      </w:pPr>
    </w:p>
    <w:p>
      <w:pPr>
        <w:jc w:val="both"/>
        <w:ind w:left="200" w:right="259" w:firstLine="1296"/>
        <w:spacing w:after="0" w:line="260" w:lineRule="auto"/>
        <w:rPr>
          <w:sz w:val="20"/>
          <w:szCs w:val="20"/>
          <w:color w:val="auto"/>
        </w:rPr>
      </w:pPr>
      <w:r>
        <w:rPr>
          <w:rFonts w:ascii="Times New Roman" w:cs="Times New Roman" w:eastAsia="Times New Roman" w:hAnsi="Times New Roman"/>
          <w:sz w:val="19"/>
          <w:szCs w:val="19"/>
          <w:color w:val="auto"/>
        </w:rPr>
        <w:t>In communicating material non-public information to other employees and consultants of the Company, each person must take care to emphasize the need for confidential treatment of such information and adherence to the Company’s policies and other agreements regarding the protection of confidential information.</w:t>
      </w:r>
    </w:p>
    <w:p>
      <w:pPr>
        <w:ind w:left="200" w:right="359" w:firstLine="1305"/>
        <w:spacing w:after="0" w:line="242" w:lineRule="auto"/>
        <w:tabs>
          <w:tab w:leader="none" w:pos="2144" w:val="left"/>
        </w:tabs>
        <w:numPr>
          <w:ilvl w:val="1"/>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Inquiries From Third Parties. </w:t>
      </w:r>
      <w:r>
        <w:rPr>
          <w:rFonts w:ascii="Times New Roman" w:cs="Times New Roman" w:eastAsia="Times New Roman" w:hAnsi="Times New Roman"/>
          <w:sz w:val="20"/>
          <w:szCs w:val="20"/>
          <w:color w:val="auto"/>
        </w:rPr>
        <w:t>Inquiries from third parties, such as industry analysts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members of the media, about the Company should be directed to the Company’s investor relations department.</w:t>
      </w:r>
    </w:p>
    <w:p>
      <w:pPr>
        <w:spacing w:after="0" w:line="182" w:lineRule="exact"/>
        <w:rPr>
          <w:rFonts w:ascii="Times New Roman" w:cs="Times New Roman" w:eastAsia="Times New Roman" w:hAnsi="Times New Roman"/>
          <w:sz w:val="20"/>
          <w:szCs w:val="20"/>
          <w:b w:val="1"/>
          <w:bCs w:val="1"/>
          <w:color w:val="auto"/>
        </w:rPr>
      </w:pPr>
    </w:p>
    <w:p>
      <w:pPr>
        <w:ind w:left="200" w:right="259" w:firstLine="981"/>
        <w:spacing w:after="0" w:line="300" w:lineRule="auto"/>
        <w:tabs>
          <w:tab w:leader="none" w:pos="1496" w:val="left"/>
        </w:tabs>
        <w:numPr>
          <w:ilvl w:val="0"/>
          <w:numId w:val="1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Access to Company Material Non-Public Information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following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procedures are designed to maintain confidentiality of material non-public information regarding the Company:</w:t>
      </w:r>
    </w:p>
    <w:p>
      <w:pPr>
        <w:spacing w:after="0" w:line="132" w:lineRule="exact"/>
        <w:rPr>
          <w:rFonts w:ascii="Times New Roman" w:cs="Times New Roman" w:eastAsia="Times New Roman" w:hAnsi="Times New Roman"/>
          <w:sz w:val="19"/>
          <w:szCs w:val="19"/>
          <w:b w:val="1"/>
          <w:bCs w:val="1"/>
          <w:color w:val="auto"/>
        </w:rPr>
      </w:pPr>
    </w:p>
    <w:p>
      <w:pPr>
        <w:ind w:left="200" w:right="219" w:firstLine="1305"/>
        <w:spacing w:after="0" w:line="254" w:lineRule="auto"/>
        <w:tabs>
          <w:tab w:leader="none" w:pos="2144" w:val="left"/>
        </w:tabs>
        <w:numPr>
          <w:ilvl w:val="1"/>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officers, Directors, and employees of the Company, and Designated Consultants should take all steps and precautions necessary to restrict access to, and secure, material non-public information by, among other things:</w:t>
      </w:r>
    </w:p>
    <w:p>
      <w:pPr>
        <w:spacing w:after="0" w:line="174" w:lineRule="exact"/>
        <w:rPr>
          <w:rFonts w:ascii="Times New Roman" w:cs="Times New Roman" w:eastAsia="Times New Roman" w:hAnsi="Times New Roman"/>
          <w:sz w:val="20"/>
          <w:szCs w:val="20"/>
          <w:b w:val="1"/>
          <w:bCs w:val="1"/>
          <w:color w:val="auto"/>
        </w:rPr>
      </w:pPr>
    </w:p>
    <w:p>
      <w:pPr>
        <w:ind w:left="2160" w:hanging="331"/>
        <w:spacing w:after="0"/>
        <w:tabs>
          <w:tab w:leader="none" w:pos="216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confidentiality of Company-related transactions;</w:t>
      </w:r>
    </w:p>
    <w:p>
      <w:pPr>
        <w:spacing w:after="0" w:line="215" w:lineRule="exact"/>
        <w:rPr>
          <w:rFonts w:ascii="Times New Roman" w:cs="Times New Roman" w:eastAsia="Times New Roman" w:hAnsi="Times New Roman"/>
          <w:sz w:val="20"/>
          <w:szCs w:val="20"/>
          <w:color w:val="auto"/>
        </w:rPr>
      </w:pPr>
    </w:p>
    <w:p>
      <w:pPr>
        <w:ind w:left="2160" w:hanging="331"/>
        <w:spacing w:after="0"/>
        <w:tabs>
          <w:tab w:leader="none" w:pos="216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clean desk policy specified in SEP-001 Security &amp; Badging Policy;</w:t>
      </w:r>
    </w:p>
    <w:p>
      <w:pPr>
        <w:spacing w:after="0" w:line="215" w:lineRule="exact"/>
        <w:rPr>
          <w:rFonts w:ascii="Times New Roman" w:cs="Times New Roman" w:eastAsia="Times New Roman" w:hAnsi="Times New Roman"/>
          <w:sz w:val="20"/>
          <w:szCs w:val="20"/>
          <w:color w:val="auto"/>
        </w:rPr>
      </w:pPr>
    </w:p>
    <w:p>
      <w:pPr>
        <w:ind w:left="2160" w:right="359" w:hanging="331"/>
        <w:spacing w:after="0" w:line="249" w:lineRule="auto"/>
        <w:tabs>
          <w:tab w:leader="none" w:pos="216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their business and social activities so as not to risk inadvertent disclosure of material non-public information. Review of documents containing material non-public information in public places should be conducted so as to prevent access by unauthorized persons;</w:t>
      </w:r>
    </w:p>
    <w:p>
      <w:pPr>
        <w:spacing w:after="0" w:line="179" w:lineRule="exact"/>
        <w:rPr>
          <w:rFonts w:ascii="Times New Roman" w:cs="Times New Roman" w:eastAsia="Times New Roman" w:hAnsi="Times New Roman"/>
          <w:sz w:val="20"/>
          <w:szCs w:val="20"/>
          <w:color w:val="auto"/>
        </w:rPr>
      </w:pPr>
    </w:p>
    <w:p>
      <w:pPr>
        <w:ind w:left="2160" w:right="439" w:hanging="331"/>
        <w:spacing w:after="0" w:line="266" w:lineRule="auto"/>
        <w:tabs>
          <w:tab w:leader="none" w:pos="2160" w:val="left"/>
        </w:tabs>
        <w:numPr>
          <w:ilvl w:val="2"/>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Restricting access to documents and files (including computer files) containing material non-public information to individuals who need access to such information for the conduct of their duties for the Company (including maintaining control over the distribution of documents and drafts of documents);</w:t>
      </w:r>
    </w:p>
    <w:p>
      <w:pPr>
        <w:spacing w:after="0" w:line="165" w:lineRule="exact"/>
        <w:rPr>
          <w:rFonts w:ascii="Times New Roman" w:cs="Times New Roman" w:eastAsia="Times New Roman" w:hAnsi="Times New Roman"/>
          <w:sz w:val="19"/>
          <w:szCs w:val="19"/>
          <w:color w:val="auto"/>
        </w:rPr>
      </w:pPr>
    </w:p>
    <w:p>
      <w:pPr>
        <w:ind w:left="2160" w:right="459" w:hanging="331"/>
        <w:spacing w:after="0" w:line="254" w:lineRule="auto"/>
        <w:tabs>
          <w:tab w:leader="none" w:pos="216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removing and cleaning up all documents containing material non-public information and other materials from conference rooms following the conclusion of any meetings;</w:t>
      </w:r>
    </w:p>
    <w:p>
      <w:pPr>
        <w:spacing w:after="0" w:line="174" w:lineRule="exact"/>
        <w:rPr>
          <w:rFonts w:ascii="Times New Roman" w:cs="Times New Roman" w:eastAsia="Times New Roman" w:hAnsi="Times New Roman"/>
          <w:sz w:val="20"/>
          <w:szCs w:val="20"/>
          <w:color w:val="auto"/>
        </w:rPr>
      </w:pPr>
    </w:p>
    <w:p>
      <w:pPr>
        <w:jc w:val="both"/>
        <w:ind w:left="2160" w:right="579" w:hanging="331"/>
        <w:spacing w:after="0" w:line="254" w:lineRule="auto"/>
        <w:tabs>
          <w:tab w:leader="none" w:pos="216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Disposing of all documents containing material non-public information and other papers, after there is no longer any business or other legally required need through shredders when appropriate;</w:t>
      </w:r>
    </w:p>
    <w:p>
      <w:pPr>
        <w:spacing w:after="0" w:line="174" w:lineRule="exact"/>
        <w:rPr>
          <w:rFonts w:ascii="Times New Roman" w:cs="Times New Roman" w:eastAsia="Times New Roman" w:hAnsi="Times New Roman"/>
          <w:sz w:val="20"/>
          <w:szCs w:val="20"/>
          <w:color w:val="auto"/>
        </w:rPr>
      </w:pPr>
    </w:p>
    <w:p>
      <w:pPr>
        <w:ind w:left="2160" w:right="859" w:hanging="331"/>
        <w:spacing w:after="0" w:line="269" w:lineRule="auto"/>
        <w:tabs>
          <w:tab w:leader="none" w:pos="216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access to areas likely to contain material non-public information or documents containing such information; and</w:t>
      </w:r>
    </w:p>
    <w:p>
      <w:pPr>
        <w:spacing w:after="0" w:line="159" w:lineRule="exact"/>
        <w:rPr>
          <w:rFonts w:ascii="Times New Roman" w:cs="Times New Roman" w:eastAsia="Times New Roman" w:hAnsi="Times New Roman"/>
          <w:sz w:val="20"/>
          <w:szCs w:val="20"/>
          <w:color w:val="auto"/>
        </w:rPr>
      </w:pPr>
    </w:p>
    <w:p>
      <w:pPr>
        <w:ind w:left="2160" w:right="479" w:hanging="331"/>
        <w:spacing w:after="0" w:line="254" w:lineRule="auto"/>
        <w:tabs>
          <w:tab w:leader="none" w:pos="216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Avoiding the discussion of material non-public information in places where the information could be overheard by others such as in elevators, restrooms, hallways, restaurants, airplanes or taxicabs.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36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10</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55" w:name="page156"/>
    <w:bookmarkEnd w:id="15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6" w:lineRule="exact"/>
        <w:rPr>
          <w:sz w:val="20"/>
          <w:szCs w:val="20"/>
          <w:color w:val="auto"/>
        </w:rPr>
      </w:pPr>
    </w:p>
    <w:p>
      <w:pPr>
        <w:jc w:val="both"/>
        <w:ind w:left="200" w:right="779" w:firstLine="1305"/>
        <w:spacing w:after="0" w:line="295" w:lineRule="auto"/>
        <w:tabs>
          <w:tab w:leader="none" w:pos="2144" w:val="left"/>
        </w:tabs>
        <w:numPr>
          <w:ilvl w:val="0"/>
          <w:numId w:val="1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Personnel who have access to material non-public information, to the extent feasible, should conduct their business and activities in areas separate from other Company activities.</w:t>
      </w:r>
    </w:p>
    <w:p>
      <w:pPr>
        <w:spacing w:after="0" w:line="134" w:lineRule="exact"/>
        <w:rPr>
          <w:sz w:val="20"/>
          <w:szCs w:val="20"/>
          <w:color w:val="auto"/>
        </w:rPr>
      </w:pPr>
    </w:p>
    <w:p>
      <w:pPr>
        <w:ind w:left="200" w:right="23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Internet and Social Media Communications</w:t>
      </w:r>
      <w:r>
        <w:rPr>
          <w:rFonts w:ascii="Times New Roman" w:cs="Times New Roman" w:eastAsia="Times New Roman" w:hAnsi="Times New Roman"/>
          <w:sz w:val="20"/>
          <w:szCs w:val="20"/>
          <w:color w:val="auto"/>
        </w:rPr>
        <w:t>. All prohibitions regarding the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dissemination of material non-public information regarding the Company or any company with which the Company conducts business apply equally to communications made on the Internet or social media platforms, such as Facebook and X (formerly Twitter).</w:t>
      </w:r>
    </w:p>
    <w:p>
      <w:pPr>
        <w:spacing w:after="0" w:line="176" w:lineRule="exact"/>
        <w:rPr>
          <w:sz w:val="20"/>
          <w:szCs w:val="20"/>
          <w:color w:val="auto"/>
        </w:rPr>
      </w:pPr>
    </w:p>
    <w:p>
      <w:pPr>
        <w:ind w:left="860" w:hanging="651"/>
        <w:spacing w:after="0"/>
        <w:tabs>
          <w:tab w:leader="none" w:pos="86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 FOR ENGAGING IN INSIDER TRADING</w:t>
      </w:r>
    </w:p>
    <w:p>
      <w:pPr>
        <w:spacing w:after="0" w:line="215" w:lineRule="exact"/>
        <w:rPr>
          <w:rFonts w:ascii="Times New Roman" w:cs="Times New Roman" w:eastAsia="Times New Roman" w:hAnsi="Times New Roman"/>
          <w:sz w:val="20"/>
          <w:szCs w:val="20"/>
          <w:b w:val="1"/>
          <w:bCs w:val="1"/>
          <w:color w:val="auto"/>
        </w:rPr>
      </w:pPr>
    </w:p>
    <w:p>
      <w:pPr>
        <w:ind w:left="200" w:right="379" w:firstLine="648"/>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b w:val="1"/>
          <w:bCs w:val="1"/>
          <w:u w:val="single" w:color="auto"/>
          <w:color w:val="auto"/>
        </w:rPr>
        <w:t>Criminal and Civil Penalties</w:t>
      </w:r>
      <w:r>
        <w:rPr>
          <w:rFonts w:ascii="Times New Roman" w:cs="Times New Roman" w:eastAsia="Times New Roman" w:hAnsi="Times New Roman"/>
          <w:sz w:val="20"/>
          <w:szCs w:val="20"/>
          <w:color w:val="auto"/>
        </w:rPr>
        <w:t>. Penalties for trading on or tipping material 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84" w:lineRule="exact"/>
        <w:rPr>
          <w:rFonts w:ascii="Times New Roman" w:cs="Times New Roman" w:eastAsia="Times New Roman" w:hAnsi="Times New Roman"/>
          <w:sz w:val="20"/>
          <w:szCs w:val="20"/>
          <w:b w:val="1"/>
          <w:bCs w:val="1"/>
          <w:color w:val="auto"/>
        </w:rPr>
      </w:pPr>
    </w:p>
    <w:p>
      <w:pPr>
        <w:ind w:left="1820" w:hanging="315"/>
        <w:spacing w:after="0"/>
        <w:tabs>
          <w:tab w:leader="none" w:pos="182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administrative sanctions;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industry self-regulatory organization sanctions;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injunctions;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awards to private plaintiffs;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Disgorgement of all profits;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Civil fines for the violator of up to three times the amount of profit gained or loss avoided;</w:t>
      </w:r>
    </w:p>
    <w:p>
      <w:pPr>
        <w:spacing w:after="0" w:line="227" w:lineRule="exact"/>
        <w:rPr>
          <w:rFonts w:ascii="Times New Roman" w:cs="Times New Roman" w:eastAsia="Times New Roman" w:hAnsi="Times New Roman"/>
          <w:sz w:val="19"/>
          <w:szCs w:val="19"/>
          <w:color w:val="auto"/>
        </w:rPr>
      </w:pPr>
    </w:p>
    <w:p>
      <w:pPr>
        <w:ind w:left="1820" w:right="479" w:hanging="315"/>
        <w:spacing w:after="0" w:line="274" w:lineRule="auto"/>
        <w:tabs>
          <w:tab w:leader="none" w:pos="182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Civil fines for the employer or other controlling person of a violator (i.e., where the violator is an employee or other controlled person) of up to the greater of $1,000,000 or three times the amount of profit gained or loss avoided by the violator;</w:t>
      </w:r>
    </w:p>
    <w:p>
      <w:pPr>
        <w:spacing w:after="0" w:line="156" w:lineRule="exact"/>
        <w:rPr>
          <w:rFonts w:ascii="Times New Roman" w:cs="Times New Roman" w:eastAsia="Times New Roman" w:hAnsi="Times New Roman"/>
          <w:sz w:val="19"/>
          <w:szCs w:val="19"/>
          <w:color w:val="auto"/>
        </w:rPr>
      </w:pPr>
    </w:p>
    <w:p>
      <w:pPr>
        <w:ind w:left="1820" w:hanging="315"/>
        <w:spacing w:after="0"/>
        <w:tabs>
          <w:tab w:leader="none" w:pos="182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Criminal fines for individual violators of up to $5,000,000 ($25,000,000 for an entity); and</w:t>
      </w:r>
    </w:p>
    <w:p>
      <w:pPr>
        <w:spacing w:after="0" w:line="227" w:lineRule="exact"/>
        <w:rPr>
          <w:rFonts w:ascii="Times New Roman" w:cs="Times New Roman" w:eastAsia="Times New Roman" w:hAnsi="Times New Roman"/>
          <w:sz w:val="19"/>
          <w:szCs w:val="19"/>
          <w:color w:val="auto"/>
        </w:rPr>
      </w:pPr>
    </w:p>
    <w:p>
      <w:pPr>
        <w:ind w:left="1820" w:hanging="315"/>
        <w:spacing w:after="0"/>
        <w:tabs>
          <w:tab w:leader="none" w:pos="182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Jail sentences of up to 20 years.</w:t>
      </w:r>
    </w:p>
    <w:p>
      <w:pPr>
        <w:spacing w:after="0" w:line="216" w:lineRule="exact"/>
        <w:rPr>
          <w:sz w:val="20"/>
          <w:szCs w:val="20"/>
          <w:color w:val="auto"/>
        </w:rPr>
      </w:pPr>
    </w:p>
    <w:p>
      <w:pPr>
        <w:ind w:left="200" w:right="419" w:firstLine="648"/>
        <w:spacing w:after="0" w:line="249" w:lineRule="auto"/>
        <w:rPr>
          <w:sz w:val="20"/>
          <w:szCs w:val="20"/>
          <w:color w:val="auto"/>
        </w:rPr>
      </w:pPr>
      <w:r>
        <w:rPr>
          <w:rFonts w:ascii="Times New Roman" w:cs="Times New Roman" w:eastAsia="Times New Roman" w:hAnsi="Times New Roman"/>
          <w:sz w:val="20"/>
          <w:szCs w:val="20"/>
          <w:color w:val="auto"/>
        </w:rPr>
        <w:t>Insider trading violations are not limited to violations of the federal securities laws. Other federal and state civil or criminal laws, such as the laws prohibiting mail and wire fraud and the Racketeer Influenced and Corrupt Organizations Act (RICO), also may be violated upon the occurrence of insider trading.</w:t>
      </w:r>
    </w:p>
    <w:p>
      <w:pPr>
        <w:spacing w:after="0" w:line="176" w:lineRule="exact"/>
        <w:rPr>
          <w:sz w:val="20"/>
          <w:szCs w:val="20"/>
          <w:color w:val="auto"/>
        </w:rPr>
      </w:pPr>
    </w:p>
    <w:p>
      <w:pPr>
        <w:ind w:left="200" w:right="579" w:firstLine="657"/>
        <w:spacing w:after="0" w:line="273" w:lineRule="auto"/>
        <w:tabs>
          <w:tab w:leader="none" w:pos="1496"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Company Disciplinary Action</w:t>
      </w:r>
      <w:r>
        <w:rPr>
          <w:rFonts w:ascii="Times New Roman" w:cs="Times New Roman" w:eastAsia="Times New Roman" w:hAnsi="Times New Roman"/>
          <w:sz w:val="20"/>
          <w:szCs w:val="20"/>
          <w:color w:val="auto"/>
        </w:rPr>
        <w:t>. Insider trading could result in serious sanctions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including dismissal.</w:t>
      </w:r>
    </w:p>
    <w:p>
      <w:pPr>
        <w:spacing w:after="0" w:line="151" w:lineRule="exact"/>
        <w:rPr>
          <w:rFonts w:ascii="Times New Roman" w:cs="Times New Roman" w:eastAsia="Times New Roman" w:hAnsi="Times New Roman"/>
          <w:sz w:val="20"/>
          <w:szCs w:val="20"/>
          <w:b w:val="1"/>
          <w:bCs w:val="1"/>
          <w:color w:val="auto"/>
        </w:rPr>
      </w:pPr>
    </w:p>
    <w:p>
      <w:pPr>
        <w:ind w:left="200" w:right="279" w:firstLine="657"/>
        <w:spacing w:after="0" w:line="273" w:lineRule="auto"/>
        <w:tabs>
          <w:tab w:leader="none" w:pos="1496"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Size of Profit Made or Loss Avoided Does Not Matter</w:t>
      </w:r>
      <w:r>
        <w:rPr>
          <w:rFonts w:ascii="Times New Roman" w:cs="Times New Roman" w:eastAsia="Times New Roman" w:hAnsi="Times New Roman"/>
          <w:sz w:val="20"/>
          <w:szCs w:val="20"/>
          <w:color w:val="auto"/>
        </w:rPr>
        <w:t>. The size of the transaction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of profit received does not have to be significant to result in prosecution. The SEC can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36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11</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56" w:name="page157"/>
    <w:bookmarkEnd w:id="15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6" w:lineRule="exact"/>
        <w:rPr>
          <w:sz w:val="20"/>
          <w:szCs w:val="20"/>
          <w:color w:val="auto"/>
        </w:rPr>
      </w:pPr>
    </w:p>
    <w:p>
      <w:pPr>
        <w:jc w:val="both"/>
        <w:ind w:left="200" w:right="359"/>
        <w:spacing w:after="0" w:line="254" w:lineRule="auto"/>
        <w:rPr>
          <w:sz w:val="20"/>
          <w:szCs w:val="20"/>
          <w:color w:val="auto"/>
        </w:rPr>
      </w:pPr>
      <w:r>
        <w:rPr>
          <w:rFonts w:ascii="Times New Roman" w:cs="Times New Roman" w:eastAsia="Times New Roman" w:hAnsi="Times New Roman"/>
          <w:sz w:val="20"/>
          <w:szCs w:val="20"/>
          <w:color w:val="auto"/>
        </w:rPr>
        <w:t>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w:t>
      </w:r>
    </w:p>
    <w:p>
      <w:pPr>
        <w:spacing w:after="0" w:line="170"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XI.</w:t>
      </w:r>
      <w:r>
        <w:rPr>
          <w:sz w:val="20"/>
          <w:szCs w:val="20"/>
          <w:color w:val="auto"/>
        </w:rPr>
        <w:tab/>
      </w:r>
      <w:r>
        <w:rPr>
          <w:rFonts w:ascii="Times New Roman" w:cs="Times New Roman" w:eastAsia="Times New Roman" w:hAnsi="Times New Roman"/>
          <w:sz w:val="20"/>
          <w:szCs w:val="20"/>
          <w:b w:val="1"/>
          <w:bCs w:val="1"/>
          <w:color w:val="auto"/>
        </w:rPr>
        <w:t>EXAMPLES OF INSIDER TRADING</w:t>
      </w:r>
    </w:p>
    <w:p>
      <w:pPr>
        <w:spacing w:after="0" w:line="220" w:lineRule="exact"/>
        <w:rPr>
          <w:sz w:val="20"/>
          <w:szCs w:val="20"/>
          <w:color w:val="auto"/>
        </w:rPr>
      </w:pPr>
    </w:p>
    <w:p>
      <w:pPr>
        <w:ind w:left="200" w:right="279" w:firstLine="648"/>
        <w:spacing w:after="0" w:line="245" w:lineRule="auto"/>
        <w:rPr>
          <w:sz w:val="20"/>
          <w:szCs w:val="20"/>
          <w:color w:val="auto"/>
        </w:rPr>
      </w:pPr>
      <w:r>
        <w:rPr>
          <w:rFonts w:ascii="Times New Roman" w:cs="Times New Roman" w:eastAsia="Times New Roman" w:hAnsi="Times New Roman"/>
          <w:sz w:val="20"/>
          <w:szCs w:val="20"/>
          <w:color w:val="auto"/>
        </w:rPr>
        <w:t>Examples of insider trading cases include actions brought against corporate officers, directors and employees who traded a company’s securities after learning of significant 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84" w:lineRule="exact"/>
        <w:rPr>
          <w:sz w:val="20"/>
          <w:szCs w:val="20"/>
          <w:color w:val="auto"/>
        </w:rPr>
      </w:pPr>
    </w:p>
    <w:p>
      <w:pPr>
        <w:ind w:left="200" w:right="499" w:firstLine="648"/>
        <w:spacing w:after="0" w:line="295" w:lineRule="auto"/>
        <w:rPr>
          <w:sz w:val="20"/>
          <w:szCs w:val="20"/>
          <w:color w:val="auto"/>
        </w:rPr>
      </w:pPr>
      <w:r>
        <w:rPr>
          <w:rFonts w:ascii="Times New Roman" w:cs="Times New Roman" w:eastAsia="Times New Roman" w:hAnsi="Times New Roman"/>
          <w:sz w:val="19"/>
          <w:szCs w:val="19"/>
          <w:color w:val="auto"/>
        </w:rPr>
        <w:t>The following are illustrations of insider trading violations. These illustrations are hypothetical and, consequently, not intended to reflect on the actual activities or business of the Company or any other entity.</w:t>
      </w:r>
    </w:p>
    <w:p>
      <w:pPr>
        <w:spacing w:after="0" w:line="134" w:lineRule="exact"/>
        <w:rPr>
          <w:sz w:val="20"/>
          <w:szCs w:val="20"/>
          <w:color w:val="auto"/>
        </w:rPr>
      </w:pPr>
    </w:p>
    <w:p>
      <w:pPr>
        <w:ind w:left="200" w:right="279" w:firstLine="648"/>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Trading by Insider. </w:t>
      </w:r>
      <w:r>
        <w:rPr>
          <w:rFonts w:ascii="Times New Roman" w:cs="Times New Roman" w:eastAsia="Times New Roman" w:hAnsi="Times New Roman"/>
          <w:sz w:val="20"/>
          <w:szCs w:val="20"/>
          <w:color w:val="auto"/>
        </w:rPr>
        <w:t>An officer of X Corporation learns that earnings to be reported by 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179" w:lineRule="exact"/>
        <w:rPr>
          <w:sz w:val="20"/>
          <w:szCs w:val="20"/>
          <w:color w:val="auto"/>
        </w:rPr>
      </w:pPr>
    </w:p>
    <w:p>
      <w:pPr>
        <w:ind w:left="200" w:right="359"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Trading by Tippee. </w:t>
      </w:r>
      <w:r>
        <w:rPr>
          <w:rFonts w:ascii="Times New Roman" w:cs="Times New Roman" w:eastAsia="Times New Roman" w:hAnsi="Times New Roman"/>
          <w:sz w:val="20"/>
          <w:szCs w:val="20"/>
          <w:color w:val="auto"/>
        </w:rPr>
        <w:t>An officer of X Corporation tells a friend that X Corporation is about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publicly announce that it has concluded an agreement for a major acquisition. This tip causes the friend to purchase X Corporation’s stock in advance of the announcement. The officer is jointly liable with their friend for all of the friend’s profits and each is liable for all penalties of up to three times the amount of the friend’s profits. In addition, the officer and their friend are subject to, among other things, criminal prosecution, as described above.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36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12</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57" w:name="page158"/>
    <w:bookmarkEnd w:id="15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997585</wp:posOffset>
            </wp:positionV>
            <wp:extent cx="545211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5452110" cy="18859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651510" cy="3346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651510" cy="334645"/>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448945</wp:posOffset>
            </wp:positionV>
            <wp:extent cx="141414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6"/>
          <w:szCs w:val="16"/>
          <w:b w:val="1"/>
          <w:bCs w:val="1"/>
          <w:color w:val="2E74B5"/>
        </w:rPr>
        <w:t xml:space="preserve">Doc ID </w:t>
      </w:r>
      <w:r>
        <w:rPr>
          <w:rFonts w:ascii="Arial" w:cs="Arial" w:eastAsia="Arial" w:hAnsi="Arial"/>
          <w:sz w:val="16"/>
          <w:szCs w:val="16"/>
          <w:b w:val="1"/>
          <w:bCs w:val="1"/>
          <w:color w:val="FFFFFF"/>
        </w:rPr>
        <w:t>BMSD-41 (legacy ID: LDP-0020)</w:t>
      </w:r>
      <w:r>
        <w:rPr>
          <w:rFonts w:ascii="Arial" w:cs="Arial" w:eastAsia="Arial" w:hAnsi="Arial"/>
          <w:sz w:val="16"/>
          <w:szCs w:val="16"/>
          <w:b w:val="1"/>
          <w:bCs w:val="1"/>
          <w:color w:val="2E74B5"/>
        </w:rPr>
        <w:t xml:space="preserve"> Rev. </w:t>
      </w:r>
      <w:r>
        <w:rPr>
          <w:rFonts w:ascii="Arial" w:cs="Arial" w:eastAsia="Arial" w:hAnsi="Arial"/>
          <w:sz w:val="16"/>
          <w:szCs w:val="16"/>
          <w:b w:val="1"/>
          <w:bCs w:val="1"/>
          <w:color w:val="FFFFFF"/>
        </w:rPr>
        <w:t>C</w:t>
      </w:r>
    </w:p>
    <w:p>
      <w:pPr>
        <w:spacing w:after="0" w:line="26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XII.</w:t>
        <w:tab/>
        <w:t>LIMITATION OF LIABILITY</w:t>
      </w:r>
    </w:p>
    <w:p>
      <w:pPr>
        <w:spacing w:after="0" w:line="220" w:lineRule="exact"/>
        <w:rPr>
          <w:sz w:val="20"/>
          <w:szCs w:val="20"/>
          <w:color w:val="auto"/>
        </w:rPr>
      </w:pPr>
    </w:p>
    <w:p>
      <w:pPr>
        <w:ind w:left="200" w:right="259" w:firstLine="648"/>
        <w:spacing w:after="0" w:line="259" w:lineRule="auto"/>
        <w:rPr>
          <w:sz w:val="20"/>
          <w:szCs w:val="20"/>
          <w:color w:val="auto"/>
        </w:rPr>
      </w:pPr>
      <w:r>
        <w:rPr>
          <w:rFonts w:ascii="Times New Roman" w:cs="Times New Roman" w:eastAsia="Times New Roman" w:hAnsi="Times New Roman"/>
          <w:sz w:val="19"/>
          <w:szCs w:val="19"/>
          <w:color w:val="auto"/>
        </w:rPr>
        <w:t>None of the Company, the Compliance Officer or the Company’s other employees will have any liability for any delay in reviewing, or refusal or denial of, (a) a Rule 10b5-1 Plan submitted for approval by the Compliance Officer, (b) a request for pre-clearance of a proposed transaction in Company securities; or (c) any other request for pre-clearance submitted pursuant to this Policy. Notwithstanding any review of a Rule 10b5-1 Trading Plan or a pre-clearance of a proposed transaction in Company securities, none of the Company, the Compliance Officer or any other Company employee assumes any liability for the legality or consequences of such trading plan or transaction to the person engaging in or adopting such trading plan or transaction.</w:t>
      </w:r>
    </w:p>
    <w:p>
      <w:pPr>
        <w:spacing w:after="0" w:line="168"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XIII.</w:t>
        <w:tab/>
        <w:t>Authority and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153670</wp:posOffset>
            </wp:positionV>
            <wp:extent cx="5443855" cy="7461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5443855" cy="746125"/>
                    </a:xfrm>
                    <a:prstGeom prst="rect">
                      <a:avLst/>
                    </a:prstGeom>
                    <a:noFill/>
                  </pic:spPr>
                </pic:pic>
              </a:graphicData>
            </a:graphic>
          </wp:anchor>
        </w:drawing>
      </w:r>
    </w:p>
    <w:p>
      <w:pPr>
        <w:spacing w:after="0" w:line="344" w:lineRule="exact"/>
        <w:rPr>
          <w:sz w:val="20"/>
          <w:szCs w:val="20"/>
          <w:color w:val="auto"/>
        </w:rPr>
      </w:pPr>
    </w:p>
    <w:p>
      <w:pPr>
        <w:ind w:left="920"/>
        <w:spacing w:after="0"/>
        <w:tabs>
          <w:tab w:leader="none" w:pos="2720" w:val="left"/>
        </w:tabs>
        <w:rPr>
          <w:sz w:val="20"/>
          <w:szCs w:val="20"/>
          <w:color w:val="auto"/>
        </w:rPr>
      </w:pPr>
      <w:r>
        <w:rPr>
          <w:rFonts w:ascii="Times New Roman" w:cs="Times New Roman" w:eastAsia="Times New Roman" w:hAnsi="Times New Roman"/>
          <w:sz w:val="20"/>
          <w:szCs w:val="20"/>
          <w:b w:val="1"/>
          <w:bCs w:val="1"/>
          <w:color w:val="auto"/>
        </w:rPr>
        <w:t>Functional Owner:</w:t>
      </w:r>
      <w:r>
        <w:rPr>
          <w:sz w:val="20"/>
          <w:szCs w:val="20"/>
          <w:color w:val="auto"/>
        </w:rPr>
        <w:tab/>
      </w:r>
      <w:r>
        <w:rPr>
          <w:rFonts w:ascii="Times New Roman" w:cs="Times New Roman" w:eastAsia="Times New Roman" w:hAnsi="Times New Roman"/>
          <w:sz w:val="19"/>
          <w:szCs w:val="19"/>
          <w:color w:val="auto"/>
        </w:rPr>
        <w:t>Chief Legal Officer</w:t>
      </w:r>
    </w:p>
    <w:p>
      <w:pPr>
        <w:spacing w:after="0" w:line="94" w:lineRule="exact"/>
        <w:rPr>
          <w:sz w:val="20"/>
          <w:szCs w:val="20"/>
          <w:color w:val="auto"/>
        </w:rPr>
      </w:pPr>
    </w:p>
    <w:p>
      <w:pPr>
        <w:jc w:val="both"/>
        <w:ind w:left="2740" w:right="519" w:hanging="2258"/>
        <w:spacing w:after="0" w:line="254" w:lineRule="auto"/>
        <w:tabs>
          <w:tab w:leader="none" w:pos="2720" w:val="left"/>
        </w:tabs>
        <w:rPr>
          <w:sz w:val="20"/>
          <w:szCs w:val="20"/>
          <w:color w:val="auto"/>
        </w:rPr>
      </w:pPr>
      <w:r>
        <w:rPr>
          <w:rFonts w:ascii="Times New Roman" w:cs="Times New Roman" w:eastAsia="Times New Roman" w:hAnsi="Times New Roman"/>
          <w:sz w:val="20"/>
          <w:szCs w:val="20"/>
          <w:b w:val="1"/>
          <w:bCs w:val="1"/>
          <w:color w:val="auto"/>
        </w:rPr>
        <w:t>Functional Participants:</w:t>
      </w:r>
      <w:r>
        <w:rPr>
          <w:sz w:val="20"/>
          <w:szCs w:val="20"/>
          <w:color w:val="auto"/>
        </w:rPr>
        <w:tab/>
      </w:r>
      <w:r>
        <w:rPr>
          <w:rFonts w:ascii="Times New Roman" w:cs="Times New Roman" w:eastAsia="Times New Roman" w:hAnsi="Times New Roman"/>
          <w:sz w:val="20"/>
          <w:szCs w:val="20"/>
          <w:color w:val="auto"/>
        </w:rPr>
        <w:t>All Employees (including AeroVironment’s subsidiaries and all persons affiliated with them), members of the Company’s Board of Directors and any consultants designated by the Compliance Officer.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161718"/>
        </w:rPr>
        <w:t xml:space="preserve">©2026 </w:t>
      </w:r>
      <w:r>
        <w:rPr>
          <w:rFonts w:ascii="Times New Roman" w:cs="Times New Roman" w:eastAsia="Times New Roman" w:hAnsi="Times New Roman"/>
          <w:sz w:val="11"/>
          <w:szCs w:val="11"/>
          <w:b w:val="1"/>
          <w:bCs w:val="1"/>
          <w:color w:val="161718"/>
        </w:rPr>
        <w:t>AeroVironment, Inc. Proprietary Information</w:t>
      </w:r>
      <w:r>
        <w:rPr>
          <w:rFonts w:ascii="Times New Roman" w:cs="Times New Roman" w:eastAsia="Times New Roman" w:hAnsi="Times New Roman"/>
          <w:sz w:val="11"/>
          <w:szCs w:val="11"/>
          <w:color w:val="161718"/>
        </w:rPr>
        <w:t>. Data contained herein is subject to the restrictive markings on the title page of this document.</w:t>
      </w:r>
    </w:p>
    <w:tbl>
      <w:tblPr>
        <w:tblLayout w:type="fixed"/>
        <w:tblInd w:w="220" w:type="dxa"/>
        <w:tblCellMar>
          <w:top w:w="0" w:type="dxa"/>
          <w:left w:w="0" w:type="dxa"/>
          <w:bottom w:w="0" w:type="dxa"/>
          <w:right w:w="0" w:type="dxa"/>
        </w:tblCellMar>
      </w:tblPr>
      <w:tr>
        <w:trPr>
          <w:trHeight w:val="139"/>
        </w:trPr>
        <w:tc>
          <w:tcPr>
            <w:tcW w:w="1560" w:type="dxa"/>
            <w:vAlign w:val="bottom"/>
          </w:tcPr>
          <w:p>
            <w:pPr>
              <w:spacing w:after="0"/>
              <w:rPr>
                <w:sz w:val="12"/>
                <w:szCs w:val="12"/>
                <w:color w:val="auto"/>
              </w:rPr>
            </w:pPr>
          </w:p>
        </w:tc>
        <w:tc>
          <w:tcPr>
            <w:tcW w:w="7020" w:type="dxa"/>
            <w:vAlign w:val="bottom"/>
          </w:tcPr>
          <w:p>
            <w:pPr>
              <w:ind w:left="2360"/>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13</w:t>
            </w:r>
            <w:r>
              <w:rPr>
                <w:rFonts w:ascii="Times New Roman" w:cs="Times New Roman" w:eastAsia="Times New Roman" w:hAnsi="Times New Roman"/>
                <w:sz w:val="13"/>
                <w:szCs w:val="13"/>
                <w:b w:val="1"/>
                <w:bCs w:val="1"/>
                <w:color w:val="auto"/>
              </w:rPr>
              <w:t xml:space="preserve"> of 13</w:t>
            </w:r>
          </w:p>
        </w:tc>
      </w:tr>
      <w:tr>
        <w:trPr>
          <w:trHeight w:val="166"/>
        </w:trPr>
        <w:tc>
          <w:tcPr>
            <w:tcW w:w="1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BMSD-41 rev. C</w:t>
            </w:r>
          </w:p>
        </w:tc>
        <w:tc>
          <w:tcPr>
            <w:tcW w:w="70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Every user is responsible for verifying this document is current prior to use.</w:t>
            </w:r>
          </w:p>
        </w:tc>
      </w:tr>
      <w:tr>
        <w:trPr>
          <w:trHeight w:val="793"/>
        </w:trPr>
        <w:tc>
          <w:tcPr>
            <w:tcW w:w="1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58" w:name="page159"/>
    <w:bookmarkEnd w:id="158"/>
    <w:p>
      <w:pPr>
        <w:ind w:left="80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Subsidiaries of AeroVironment, Inc. as of June 29, 2026</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42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Arcturus UAV, Inc.</w:t>
            </w:r>
          </w:p>
        </w:tc>
        <w:tc>
          <w:tcPr>
            <w:tcW w:w="1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Telerob Gesellschaft für Fernhantierungstechnik mbH</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Tomahawk Robotics, Inc.</w:t>
            </w:r>
          </w:p>
        </w:tc>
        <w:tc>
          <w:tcPr>
            <w:tcW w:w="180" w:type="dxa"/>
            <w:vAlign w:val="bottom"/>
          </w:tcPr>
          <w:p>
            <w:pPr>
              <w:spacing w:after="0"/>
              <w:rPr>
                <w:sz w:val="17"/>
                <w:szCs w:val="17"/>
                <w:color w:val="auto"/>
              </w:rPr>
            </w:pPr>
          </w:p>
        </w:tc>
        <w:tc>
          <w:tcPr>
            <w:tcW w:w="4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AeroVironment U.K.</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Archangel Merger Sub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BlueHalo,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BlueHalo Labs,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 Technologies, Inc.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SRT Aviation and Technical Services, Inc.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Digital Vector Holdings, LLC</w:t>
            </w:r>
          </w:p>
        </w:tc>
        <w:tc>
          <w:tcPr>
            <w:tcW w:w="180" w:type="dxa"/>
            <w:vAlign w:val="bottom"/>
          </w:tcPr>
          <w:p>
            <w:pPr>
              <w:spacing w:after="0"/>
              <w:rPr>
                <w:sz w:val="17"/>
                <w:szCs w:val="17"/>
                <w:color w:val="auto"/>
              </w:rPr>
            </w:pPr>
          </w:p>
        </w:tc>
        <w:tc>
          <w:tcPr>
            <w:tcW w:w="4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LokiSet,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Gradient Zero,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Minitnet,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Vertex Holdings,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 Information and Services,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Vertex,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Digital Vertex Federal Holdings, LLC</w:t>
            </w:r>
          </w:p>
        </w:tc>
        <w:tc>
          <w:tcPr>
            <w:tcW w:w="180" w:type="dxa"/>
            <w:vAlign w:val="bottom"/>
          </w:tcPr>
          <w:p>
            <w:pPr>
              <w:spacing w:after="0"/>
              <w:rPr>
                <w:sz w:val="17"/>
                <w:szCs w:val="17"/>
                <w:color w:val="auto"/>
              </w:rPr>
            </w:pPr>
          </w:p>
        </w:tc>
        <w:tc>
          <w:tcPr>
            <w:tcW w:w="4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Vertex Federal,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Vertex International,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Ipsolon Research, Inc.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BlueHalo Innovations,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VideoRay LLC</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VideoRay Europe B.V.</w:t>
            </w:r>
          </w:p>
        </w:tc>
        <w:tc>
          <w:tcPr>
            <w:tcW w:w="1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Empirical Systems Aerospace, Inc.</w:t>
            </w:r>
          </w:p>
        </w:tc>
        <w:tc>
          <w:tcPr>
            <w:tcW w:w="18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Other subsidiaries of the Registrant have been omitted from this listing since, considered in the aggregate as a single subsidiary, they would not constitute a significant subsidiary, as defined by Rule 1-02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9" w:name="page160"/>
    <w:bookmarkEnd w:id="15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333-140237, 333-178349, 333-260227, and 333-280526 on Form S-8, Registration Statement Nos. 333-267326 and 333-288424 on Form S-3, and Registration Statement No. 333-284651 on Form S-4 of our reports dated June 29, 2026, relating to the financial statements of AeroVironment, Inc. and the effectiveness of AeroVironment Inc.’s internal control over financial reporting appearing in this Annual Report on Form 10-K for the year ended April 30, 2026.</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0" w:name="page161"/>
    <w:bookmarkEnd w:id="16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1340" w:hanging="642"/>
        <w:spacing w:after="0"/>
        <w:tabs>
          <w:tab w:leader="none" w:pos="1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AeroVironment, Inc.;</w:t>
      </w:r>
    </w:p>
    <w:p>
      <w:pPr>
        <w:spacing w:after="0" w:line="225" w:lineRule="exact"/>
        <w:rPr>
          <w:rFonts w:ascii="Times New Roman" w:cs="Times New Roman" w:eastAsia="Times New Roman" w:hAnsi="Times New Roman"/>
          <w:sz w:val="18"/>
          <w:szCs w:val="18"/>
          <w:color w:val="auto"/>
        </w:rPr>
      </w:pPr>
    </w:p>
    <w:p>
      <w:pPr>
        <w:ind w:left="60" w:right="279" w:firstLine="638"/>
        <w:spacing w:after="0" w:line="266" w:lineRule="auto"/>
        <w:tabs>
          <w:tab w:leader="none" w:pos="135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99" w:firstLine="638"/>
        <w:spacing w:after="0" w:line="258" w:lineRule="auto"/>
        <w:tabs>
          <w:tab w:leader="none" w:pos="135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259" w:firstLine="638"/>
        <w:spacing w:after="0" w:line="266" w:lineRule="auto"/>
        <w:tabs>
          <w:tab w:leader="none" w:pos="135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99" w:firstLine="646"/>
        <w:spacing w:after="0" w:line="255" w:lineRule="auto"/>
        <w:tabs>
          <w:tab w:leader="none" w:pos="19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700" w:right="159" w:firstLine="646"/>
        <w:spacing w:after="0" w:line="261" w:lineRule="auto"/>
        <w:tabs>
          <w:tab w:leader="none" w:pos="19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700" w:right="79" w:firstLine="646"/>
        <w:spacing w:after="0" w:line="258" w:lineRule="auto"/>
        <w:tabs>
          <w:tab w:leader="none" w:pos="19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jc w:val="both"/>
        <w:ind w:left="700" w:right="239" w:firstLine="646"/>
        <w:spacing w:after="0" w:line="261" w:lineRule="auto"/>
        <w:tabs>
          <w:tab w:leader="none" w:pos="19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299" w:firstLine="638"/>
        <w:spacing w:after="0" w:line="258" w:lineRule="auto"/>
        <w:tabs>
          <w:tab w:leader="none" w:pos="135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2" w:lineRule="exact"/>
        <w:rPr>
          <w:rFonts w:ascii="Times New Roman" w:cs="Times New Roman" w:eastAsia="Times New Roman" w:hAnsi="Times New Roman"/>
          <w:sz w:val="18"/>
          <w:szCs w:val="18"/>
          <w:color w:val="auto"/>
        </w:rPr>
      </w:pPr>
    </w:p>
    <w:p>
      <w:pPr>
        <w:ind w:left="700" w:right="319" w:firstLine="646"/>
        <w:spacing w:after="0" w:line="266" w:lineRule="auto"/>
        <w:tabs>
          <w:tab w:leader="none" w:pos="19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59" w:firstLine="646"/>
        <w:spacing w:after="0" w:line="282" w:lineRule="auto"/>
        <w:tabs>
          <w:tab w:leader="none" w:pos="19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29, 2026</w:t>
            </w:r>
          </w:p>
        </w:tc>
        <w:tc>
          <w:tcPr>
            <w:tcW w:w="60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 Wahid Nawabi</w:t>
            </w:r>
          </w:p>
        </w:tc>
      </w:tr>
      <w:tr>
        <w:trPr>
          <w:trHeight w:val="191"/>
        </w:trPr>
        <w:tc>
          <w:tcPr>
            <w:tcW w:w="2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Wahid Nawabi</w:t>
            </w:r>
          </w:p>
        </w:tc>
      </w:tr>
      <w:tr>
        <w:trPr>
          <w:trHeight w:val="234"/>
        </w:trPr>
        <w:tc>
          <w:tcPr>
            <w:tcW w:w="2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979"/>
        </w:trPr>
        <w:tc>
          <w:tcPr>
            <w:tcW w:w="2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1" w:name="page162"/>
    <w:bookmarkEnd w:id="16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Sean T. Woodward, certify that:</w:t>
      </w:r>
    </w:p>
    <w:p>
      <w:pPr>
        <w:spacing w:after="0" w:line="225" w:lineRule="exact"/>
        <w:rPr>
          <w:sz w:val="20"/>
          <w:szCs w:val="20"/>
          <w:color w:val="auto"/>
        </w:rPr>
      </w:pPr>
    </w:p>
    <w:p>
      <w:pPr>
        <w:ind w:left="1340" w:hanging="642"/>
        <w:spacing w:after="0"/>
        <w:tabs>
          <w:tab w:leader="none" w:pos="1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AeroVironment, Inc.;</w:t>
      </w:r>
    </w:p>
    <w:p>
      <w:pPr>
        <w:spacing w:after="0" w:line="225" w:lineRule="exact"/>
        <w:rPr>
          <w:rFonts w:ascii="Times New Roman" w:cs="Times New Roman" w:eastAsia="Times New Roman" w:hAnsi="Times New Roman"/>
          <w:sz w:val="18"/>
          <w:szCs w:val="18"/>
          <w:color w:val="auto"/>
        </w:rPr>
      </w:pPr>
    </w:p>
    <w:p>
      <w:pPr>
        <w:ind w:left="60" w:right="279" w:firstLine="638"/>
        <w:spacing w:after="0" w:line="266" w:lineRule="auto"/>
        <w:tabs>
          <w:tab w:leader="none" w:pos="13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99" w:firstLine="638"/>
        <w:spacing w:after="0" w:line="258" w:lineRule="auto"/>
        <w:tabs>
          <w:tab w:leader="none" w:pos="13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259" w:firstLine="638"/>
        <w:spacing w:after="0" w:line="266" w:lineRule="auto"/>
        <w:tabs>
          <w:tab w:leader="none" w:pos="13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99" w:firstLine="646"/>
        <w:spacing w:after="0" w:line="255" w:lineRule="auto"/>
        <w:tabs>
          <w:tab w:leader="none" w:pos="19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700" w:right="159" w:firstLine="646"/>
        <w:spacing w:after="0" w:line="261" w:lineRule="auto"/>
        <w:tabs>
          <w:tab w:leader="none" w:pos="19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700" w:right="79" w:firstLine="646"/>
        <w:spacing w:after="0" w:line="258" w:lineRule="auto"/>
        <w:tabs>
          <w:tab w:leader="none" w:pos="19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jc w:val="both"/>
        <w:ind w:left="700" w:right="239" w:firstLine="646"/>
        <w:spacing w:after="0" w:line="261" w:lineRule="auto"/>
        <w:tabs>
          <w:tab w:leader="none" w:pos="19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299" w:firstLine="638"/>
        <w:spacing w:after="0" w:line="258" w:lineRule="auto"/>
        <w:tabs>
          <w:tab w:leader="none" w:pos="13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2" w:lineRule="exact"/>
        <w:rPr>
          <w:rFonts w:ascii="Times New Roman" w:cs="Times New Roman" w:eastAsia="Times New Roman" w:hAnsi="Times New Roman"/>
          <w:sz w:val="18"/>
          <w:szCs w:val="18"/>
          <w:color w:val="auto"/>
        </w:rPr>
      </w:pPr>
    </w:p>
    <w:p>
      <w:pPr>
        <w:ind w:left="700" w:right="319" w:firstLine="646"/>
        <w:spacing w:after="0" w:line="266" w:lineRule="auto"/>
        <w:tabs>
          <w:tab w:leader="none" w:pos="19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59" w:firstLine="646"/>
        <w:spacing w:after="0" w:line="282" w:lineRule="auto"/>
        <w:tabs>
          <w:tab w:leader="none" w:pos="19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29, 2026</w:t>
            </w:r>
          </w:p>
        </w:tc>
        <w:tc>
          <w:tcPr>
            <w:tcW w:w="60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 Sean T. Woodward</w:t>
            </w:r>
          </w:p>
        </w:tc>
      </w:tr>
      <w:tr>
        <w:trPr>
          <w:trHeight w:val="191"/>
        </w:trPr>
        <w:tc>
          <w:tcPr>
            <w:tcW w:w="2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T. Woodward</w:t>
            </w:r>
          </w:p>
        </w:tc>
      </w:tr>
      <w:tr>
        <w:trPr>
          <w:trHeight w:val="234"/>
        </w:trPr>
        <w:tc>
          <w:tcPr>
            <w:tcW w:w="2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979"/>
        </w:trPr>
        <w:tc>
          <w:tcPr>
            <w:tcW w:w="2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2" w:name="page163"/>
    <w:bookmarkEnd w:id="162"/>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Pursuant to 18 U.S.C. Section 1350, as created by Section 906 of the Sarbanes-Oxley Act of 2002, each of the undersigned officers of AeroVironment, Inc. (the “Company”) hereby certifies, to each such officer’s knowledge, that:</w:t>
      </w:r>
    </w:p>
    <w:p>
      <w:pPr>
        <w:spacing w:after="0" w:line="140" w:lineRule="exact"/>
        <w:rPr>
          <w:sz w:val="20"/>
          <w:szCs w:val="20"/>
          <w:color w:val="auto"/>
        </w:rPr>
      </w:pPr>
    </w:p>
    <w:p>
      <w:pPr>
        <w:ind w:left="1340" w:right="199" w:hanging="642"/>
        <w:spacing w:after="0" w:line="266" w:lineRule="auto"/>
        <w:tabs>
          <w:tab w:leader="none" w:pos="1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April 30, 2026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40" w:right="339" w:hanging="642"/>
        <w:spacing w:after="0" w:line="282" w:lineRule="auto"/>
        <w:tabs>
          <w:tab w:leader="none" w:pos="1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29, 2026</w:t>
            </w:r>
          </w:p>
        </w:tc>
        <w:tc>
          <w:tcPr>
            <w:tcW w:w="60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​​​/s/ WAHID NAWABI</w:t>
            </w:r>
          </w:p>
        </w:tc>
      </w:tr>
      <w:tr>
        <w:trPr>
          <w:trHeight w:val="191"/>
        </w:trPr>
        <w:tc>
          <w:tcPr>
            <w:tcW w:w="2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Wahid Nawabi</w:t>
            </w:r>
          </w:p>
        </w:tc>
      </w:tr>
      <w:tr>
        <w:trPr>
          <w:trHeight w:val="234"/>
        </w:trPr>
        <w:tc>
          <w:tcPr>
            <w:tcW w:w="2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432"/>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29, 2026</w:t>
            </w:r>
          </w:p>
        </w:tc>
        <w:tc>
          <w:tcPr>
            <w:tcW w:w="156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T. WOODWARD</w:t>
            </w:r>
          </w:p>
        </w:tc>
      </w:tr>
      <w:tr>
        <w:trPr>
          <w:trHeight w:val="191"/>
        </w:trPr>
        <w:tc>
          <w:tcPr>
            <w:tcW w:w="2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T. Woodward</w:t>
            </w:r>
          </w:p>
        </w:tc>
      </w:tr>
      <w:tr>
        <w:trPr>
          <w:trHeight w:val="234"/>
        </w:trPr>
        <w:tc>
          <w:tcPr>
            <w:tcW w:w="2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411"/>
        </w:trPr>
        <w:tc>
          <w:tcPr>
            <w:tcW w:w="2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o"/>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3"/>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1."/>
      <w:numFmt w:val="decimal"/>
      <w:start w:val="4"/>
    </w:lvl>
  </w:abstractNum>
  <w:abstractNum w:abstractNumId="50">
    <w:nsid w:val="60B6DF70"/>
    <w:multiLevelType w:val="hybridMultilevel"/>
    <w:lvl w:ilvl="0">
      <w:lvlJc w:val="left"/>
      <w:lvlText w:val="%1."/>
      <w:numFmt w:val="decimal"/>
      <w:start w:val="6"/>
    </w:lvl>
  </w:abstractNum>
  <w:abstractNum w:abstractNumId="51">
    <w:nsid w:val="6A5EE64"/>
    <w:multiLevelType w:val="hybridMultilevel"/>
    <w:lvl w:ilvl="0">
      <w:lvlJc w:val="left"/>
      <w:lvlText w:val="%1."/>
      <w:numFmt w:val="decimal"/>
      <w:start w:val="8"/>
    </w:lvl>
  </w:abstractNum>
  <w:abstractNum w:abstractNumId="52">
    <w:nsid w:val="14330624"/>
    <w:multiLevelType w:val="hybridMultilevel"/>
    <w:lvl w:ilvl="0">
      <w:lvlJc w:val="left"/>
      <w:lvlText w:val="%1."/>
      <w:numFmt w:val="decimal"/>
      <w:start w:val="10"/>
    </w:lvl>
  </w:abstractNum>
  <w:abstractNum w:abstractNumId="53">
    <w:nsid w:val="7FFFCA11"/>
    <w:multiLevelType w:val="hybridMultilevel"/>
    <w:lvl w:ilvl="0">
      <w:lvlJc w:val="left"/>
      <w:lvlText w:val="%1."/>
      <w:numFmt w:val="decimal"/>
      <w:start w:val="12"/>
    </w:lvl>
  </w:abstractNum>
  <w:abstractNum w:abstractNumId="54">
    <w:nsid w:val="1A27709E"/>
    <w:multiLevelType w:val="hybridMultilevel"/>
    <w:lvl w:ilvl="0">
      <w:lvlJc w:val="left"/>
      <w:lvlText w:val="%1."/>
      <w:numFmt w:val="decimal"/>
      <w:start w:val="14"/>
    </w:lvl>
  </w:abstractNum>
  <w:abstractNum w:abstractNumId="55">
    <w:nsid w:val="71EA1109"/>
    <w:multiLevelType w:val="hybridMultilevel"/>
    <w:lvl w:ilvl="0">
      <w:lvlJc w:val="left"/>
      <w:lvlText w:val="%1."/>
      <w:numFmt w:val="decimal"/>
      <w:start w:val="16"/>
    </w:lvl>
  </w:abstractNum>
  <w:abstractNum w:abstractNumId="56">
    <w:nsid w:val="100F59DC"/>
    <w:multiLevelType w:val="hybridMultilevel"/>
    <w:lvl w:ilvl="0">
      <w:lvlJc w:val="left"/>
      <w:lvlText w:val="%1."/>
      <w:numFmt w:val="decimal"/>
      <w:start w:val="17"/>
    </w:lvl>
  </w:abstractNum>
  <w:abstractNum w:abstractNumId="57">
    <w:nsid w:val="7FB7E0AA"/>
    <w:multiLevelType w:val="hybridMultilevel"/>
    <w:lvl w:ilvl="0">
      <w:lvlJc w:val="left"/>
      <w:lvlText w:val="%1."/>
      <w:numFmt w:val="decimal"/>
      <w:start w:val="18"/>
    </w:lvl>
  </w:abstractNum>
  <w:abstractNum w:abstractNumId="58">
    <w:nsid w:val="6EB5BD4"/>
    <w:multiLevelType w:val="hybridMultilevel"/>
    <w:lvl w:ilvl="0">
      <w:lvlJc w:val="left"/>
      <w:lvlText w:val="%1."/>
      <w:numFmt w:val="decimal"/>
      <w:start w:val="19"/>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1."/>
      <w:numFmt w:val="decimal"/>
      <w:start w:val="20"/>
    </w:lvl>
  </w:abstractNum>
  <w:abstractNum w:abstractNumId="62">
    <w:nsid w:val="76272110"/>
    <w:multiLevelType w:val="hybridMultilevel"/>
    <w:lvl w:ilvl="0">
      <w:lvlJc w:val="left"/>
      <w:lvlText w:val="%1."/>
      <w:numFmt w:val="decimal"/>
      <w:start w:val="21"/>
    </w:lvl>
  </w:abstractNum>
  <w:abstractNum w:abstractNumId="63">
    <w:nsid w:val="4C04A8AF"/>
    <w:multiLevelType w:val="hybridMultilevel"/>
    <w:lvl w:ilvl="0">
      <w:lvlJc w:val="left"/>
      <w:lvlText w:val="%1."/>
      <w:numFmt w:val="decimal"/>
      <w:start w:val="22"/>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1."/>
      <w:numFmt w:val="decimal"/>
      <w:start w:val="34"/>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1)"/>
      <w:numFmt w:val="lowerLetter"/>
      <w:start w:val="2"/>
    </w:lvl>
  </w:abstractNum>
  <w:abstractNum w:abstractNumId="71">
    <w:nsid w:val="4A2AC315"/>
    <w:multiLevelType w:val="hybridMultilevel"/>
    <w:lvl w:ilvl="0">
      <w:lvlJc w:val="left"/>
      <w:lvlText w:val="%1"/>
      <w:numFmt w:val="decimal"/>
      <w:start w:val="19"/>
    </w:lvl>
  </w:abstractNum>
  <w:abstractNum w:abstractNumId="72">
    <w:nsid w:val="39EE015C"/>
    <w:multiLevelType w:val="hybridMultilevel"/>
    <w:lvl w:ilvl="0">
      <w:lvlJc w:val="left"/>
      <w:lvlText w:val="%1"/>
      <w:numFmt w:val="decimal"/>
      <w:start w:val="1"/>
    </w:lvl>
    <w:lvl w:ilvl="1">
      <w:lvlJc w:val="left"/>
      <w:lvlText w:val="%2"/>
      <w:numFmt w:val="decimal"/>
      <w:start w:val="104"/>
    </w:lvl>
  </w:abstractNum>
  <w:abstractNum w:abstractNumId="73">
    <w:nsid w:val="57FC4FBB"/>
    <w:multiLevelType w:val="hybridMultilevel"/>
    <w:lvl w:ilvl="0">
      <w:lvlJc w:val="left"/>
      <w:lvlText w:val="(%1)"/>
      <w:numFmt w:val="decimal"/>
      <w:start w:val="1"/>
    </w:lvl>
    <w:lvl w:ilvl="1">
      <w:lvlJc w:val="left"/>
      <w:lvlText w:val="%2"/>
      <w:numFmt w:val="decimal"/>
      <w:start w:val="1"/>
    </w:lvl>
  </w:abstractNum>
  <w:abstractNum w:abstractNumId="74">
    <w:nsid w:val="CC1016F"/>
    <w:multiLevelType w:val="hybridMultilevel"/>
    <w:lvl w:ilvl="0">
      <w:lvlJc w:val="left"/>
      <w:lvlText w:val="(%1)"/>
      <w:numFmt w:val="decimal"/>
      <w:start w:val="25"/>
    </w:lvl>
  </w:abstractNum>
  <w:abstractNum w:abstractNumId="75">
    <w:nsid w:val="43F18422"/>
    <w:multiLevelType w:val="hybridMultilevel"/>
    <w:lvl w:ilvl="0">
      <w:lvlJc w:val="left"/>
      <w:lvlText w:val="ǂ"/>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1)"/>
      <w:numFmt w:val="lowerLetter"/>
      <w:start w:val="3"/>
    </w:lvl>
  </w:abstractNum>
  <w:abstractNum w:abstractNumId="79">
    <w:nsid w:val="49DA307D"/>
    <w:multiLevelType w:val="hybridMultilevel"/>
    <w:lvl w:ilvl="0">
      <w:lvlJc w:val="left"/>
      <w:lvlText w:val="%1."/>
      <w:numFmt w:val="upperLetter"/>
      <w:start w:val="1"/>
    </w:lvl>
  </w:abstractNum>
  <w:abstractNum w:abstractNumId="80">
    <w:nsid w:val="7055A5F5"/>
    <w:multiLevelType w:val="hybridMultilevel"/>
    <w:lvl w:ilvl="0">
      <w:lvlJc w:val="left"/>
      <w:lvlText w:val="%1."/>
      <w:numFmt w:val="decimal"/>
      <w:start w:val="1"/>
    </w:lvl>
  </w:abstractNum>
  <w:abstractNum w:abstractNumId="81">
    <w:nsid w:val="5FB8370B"/>
    <w:multiLevelType w:val="hybridMultilevel"/>
    <w:lvl w:ilvl="0">
      <w:lvlJc w:val="left"/>
      <w:lvlText w:val="%1."/>
      <w:numFmt w:val="decimal"/>
      <w:start w:val="3"/>
    </w:lvl>
  </w:abstractNum>
  <w:abstractNum w:abstractNumId="82">
    <w:nsid w:val="50801EE1"/>
    <w:multiLevelType w:val="hybridMultilevel"/>
    <w:lvl w:ilvl="0">
      <w:lvlJc w:val="left"/>
      <w:lvlText w:val="%1"/>
      <w:numFmt w:val="decimal"/>
      <w:start w:val="1"/>
    </w:lvl>
    <w:lvl w:ilvl="1">
      <w:lvlJc w:val="left"/>
      <w:lvlText w:val="(%2)"/>
      <w:numFmt w:val="lowerLetter"/>
      <w:start w:val="1"/>
    </w:lvl>
  </w:abstractNum>
  <w:abstractNum w:abstractNumId="83">
    <w:nsid w:val="488AC1A"/>
    <w:multiLevelType w:val="hybridMultilevel"/>
    <w:lvl w:ilvl="0">
      <w:lvlJc w:val="left"/>
      <w:lvlText w:val="(%1)"/>
      <w:numFmt w:val="decimal"/>
      <w:start w:val="10"/>
    </w:lvl>
    <w:lvl w:ilvl="1">
      <w:lvlJc w:val="left"/>
      <w:lvlText w:val="%2"/>
      <w:numFmt w:val="lowerLetter"/>
      <w:start w:val="1"/>
    </w:lvl>
  </w:abstractNum>
  <w:abstractNum w:abstractNumId="84">
    <w:nsid w:val="5FB8011C"/>
    <w:multiLevelType w:val="hybridMultilevel"/>
    <w:lvl w:ilvl="0">
      <w:lvlJc w:val="left"/>
      <w:lvlText w:val="%1."/>
      <w:numFmt w:val="decimal"/>
      <w:start w:val="4"/>
    </w:lvl>
  </w:abstractNum>
  <w:abstractNum w:abstractNumId="85">
    <w:nsid w:val="6AA78F7F"/>
    <w:multiLevelType w:val="hybridMultilevel"/>
    <w:lvl w:ilvl="0">
      <w:lvlJc w:val="left"/>
      <w:lvlText w:val="%1."/>
      <w:numFmt w:val="decimal"/>
      <w:start w:val="5"/>
    </w:lvl>
  </w:abstractNum>
  <w:abstractNum w:abstractNumId="86">
    <w:nsid w:val="7672BD23"/>
    <w:multiLevelType w:val="hybridMultilevel"/>
    <w:lvl w:ilvl="0">
      <w:lvlJc w:val="left"/>
      <w:lvlText w:val="%1."/>
      <w:numFmt w:val="decimal"/>
      <w:start w:val="6"/>
    </w:lvl>
    <w:lvl w:ilvl="1">
      <w:lvlJc w:val="left"/>
      <w:lvlText w:val="(%2)"/>
      <w:numFmt w:val="lowerLetter"/>
      <w:start w:val="1"/>
    </w:lvl>
  </w:abstractNum>
  <w:abstractNum w:abstractNumId="87">
    <w:nsid w:val="6FC75AF8"/>
    <w:multiLevelType w:val="hybridMultilevel"/>
    <w:lvl w:ilvl="0">
      <w:lvlJc w:val="left"/>
      <w:lvlText w:val="(%1)"/>
      <w:numFmt w:val="lowerLetter"/>
      <w:start w:val="5"/>
    </w:lvl>
  </w:abstractNum>
  <w:abstractNum w:abstractNumId="88">
    <w:nsid w:val="6A5F7029"/>
    <w:multiLevelType w:val="hybridMultilevel"/>
    <w:lvl w:ilvl="0">
      <w:lvlJc w:val="left"/>
      <w:lvlText w:val="%1."/>
      <w:numFmt w:val="upperLetter"/>
      <w:start w:val="9"/>
    </w:lvl>
  </w:abstractNum>
  <w:abstractNum w:abstractNumId="89">
    <w:nsid w:val="7D5E18F8"/>
    <w:multiLevelType w:val="hybridMultilevel"/>
    <w:lvl w:ilvl="0">
      <w:lvlJc w:val="left"/>
      <w:lvlText w:val="%1."/>
      <w:numFmt w:val="upperLetter"/>
      <w:start w:val="35"/>
    </w:lvl>
  </w:abstractNum>
  <w:abstractNum w:abstractNumId="90">
    <w:nsid w:val="5F3534A4"/>
    <w:multiLevelType w:val="hybridMultilevel"/>
    <w:lvl w:ilvl="0">
      <w:lvlJc w:val="left"/>
      <w:lvlText w:val="%1."/>
      <w:numFmt w:val="upperLetter"/>
      <w:start w:val="2"/>
    </w:lvl>
  </w:abstractNum>
  <w:abstractNum w:abstractNumId="91">
    <w:nsid w:val="73A1821B"/>
    <w:multiLevelType w:val="hybridMultilevel"/>
    <w:lvl w:ilvl="0">
      <w:lvlJc w:val="left"/>
      <w:lvlText w:val="%1."/>
      <w:numFmt w:val="upperLetter"/>
      <w:start w:val="6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1."/>
      <w:numFmt w:val="upperLetter"/>
      <w:start w:val="22"/>
    </w:lvl>
    <w:lvl w:ilvl="1">
      <w:lvlJc w:val="left"/>
      <w:lvlText w:val="%2."/>
      <w:numFmt w:val="upperLetter"/>
      <w:start w:val="1"/>
    </w:lvl>
    <w:lvl w:ilvl="2">
      <w:lvlJc w:val="left"/>
      <w:lvlText w:val="●"/>
      <w:numFmt w:val="bullet"/>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1."/>
      <w:numFmt w:val="upperLetter"/>
      <w:start w:val="1"/>
    </w:lvl>
  </w:abstractNum>
  <w:abstractNum w:abstractNumId="100">
    <w:nsid w:val="1FBFE8E0"/>
    <w:multiLevelType w:val="hybridMultilevel"/>
    <w:lvl w:ilvl="0">
      <w:lvlJc w:val="left"/>
      <w:lvlText w:val="%1."/>
      <w:numFmt w:val="upperLetter"/>
      <w:start w:val="2"/>
    </w:lvl>
  </w:abstractNum>
  <w:abstractNum w:abstractNumId="101">
    <w:nsid w:val="5092CA79"/>
    <w:multiLevelType w:val="hybridMultilevel"/>
    <w:lvl w:ilvl="0">
      <w:lvlJc w:val="left"/>
      <w:lvlText w:val="%1."/>
      <w:numFmt w:val="upperLetter"/>
      <w:start w:val="1"/>
    </w:lvl>
  </w:abstractNum>
  <w:abstractNum w:abstractNumId="102">
    <w:nsid w:val="1D545C4D"/>
    <w:multiLevelType w:val="hybridMultilevel"/>
    <w:lvl w:ilvl="0">
      <w:lvlJc w:val="left"/>
      <w:lvlText w:val="%1."/>
      <w:numFmt w:val="upperLetter"/>
      <w:start w:val="1"/>
    </w:lvl>
    <w:lvl w:ilvl="1">
      <w:lvlJc w:val="left"/>
      <w:lvlText w:val="%2."/>
      <w:numFmt w:val="decimal"/>
      <w:start w:val="1"/>
    </w:lvl>
  </w:abstractNum>
  <w:abstractNum w:abstractNumId="103">
    <w:nsid w:val="59ADEA3D"/>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104">
    <w:nsid w:val="288F1A34"/>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05">
    <w:nsid w:val="2A155DBC"/>
    <w:multiLevelType w:val="hybridMultilevel"/>
    <w:lvl w:ilvl="0">
      <w:lvlJc w:val="left"/>
      <w:lvlText w:val="%1."/>
      <w:numFmt w:val="decimal"/>
      <w:start w:val="2"/>
    </w:lvl>
  </w:abstractNum>
  <w:abstractNum w:abstractNumId="106">
    <w:nsid w:val="1D9F6E5F"/>
    <w:multiLevelType w:val="hybridMultilevel"/>
    <w:lvl w:ilvl="0">
      <w:lvlJc w:val="left"/>
      <w:lvlText w:val="%1."/>
      <w:numFmt w:val="upperLetter"/>
      <w:start w:val="24"/>
    </w:lvl>
    <w:lvl w:ilvl="1">
      <w:lvlJc w:val="left"/>
      <w:lvlText w:val="%2"/>
      <w:numFmt w:val="upperLetter"/>
      <w:start w:val="1"/>
    </w:lvl>
    <w:lvl w:ilvl="2">
      <w:lvlJc w:val="left"/>
      <w:lvlText w:val="●"/>
      <w:numFmt w:val="bullet"/>
      <w:start w:val="1"/>
    </w:lvl>
  </w:abstractNum>
  <w:abstractNum w:abstractNumId="107">
    <w:nsid w:val="97E1B4E"/>
    <w:multiLevelType w:val="hybridMultilevel"/>
    <w:lvl w:ilvl="0">
      <w:lvlJc w:val="left"/>
      <w:lvlText w:val="%1."/>
      <w:numFmt w:val="upperLetter"/>
      <w:start w:val="2"/>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60" Type="http://schemas.openxmlformats.org/officeDocument/2006/relationships/image" Target="media/image131.png"/><Relationship Id="rId162"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206" Type="http://schemas.openxmlformats.org/officeDocument/2006/relationships/image" Target="media/image135.png"/><Relationship Id="rId207" Type="http://schemas.openxmlformats.org/officeDocument/2006/relationships/image" Target="media/image136.png"/><Relationship Id="rId208" Type="http://schemas.openxmlformats.org/officeDocument/2006/relationships/image" Target="media/image137.png"/><Relationship Id="rId209" Type="http://schemas.openxmlformats.org/officeDocument/2006/relationships/image" Target="media/image138.png"/><Relationship Id="rId210" Type="http://schemas.openxmlformats.org/officeDocument/2006/relationships/image" Target="media/image139.png"/><Relationship Id="rId211" Type="http://schemas.openxmlformats.org/officeDocument/2006/relationships/image" Target="media/image140.png"/><Relationship Id="rId212" Type="http://schemas.openxmlformats.org/officeDocument/2006/relationships/image" Target="media/image141.png"/><Relationship Id="rId213" Type="http://schemas.openxmlformats.org/officeDocument/2006/relationships/image" Target="media/image142.png"/><Relationship Id="rId214" Type="http://schemas.openxmlformats.org/officeDocument/2006/relationships/image" Target="media/image143.png"/><Relationship Id="rId215" Type="http://schemas.openxmlformats.org/officeDocument/2006/relationships/image" Target="media/image144.png"/><Relationship Id="rId216" Type="http://schemas.openxmlformats.org/officeDocument/2006/relationships/image" Target="media/image145.png"/><Relationship Id="rId217" Type="http://schemas.openxmlformats.org/officeDocument/2006/relationships/image" Target="media/image146.png"/><Relationship Id="rId218" Type="http://schemas.openxmlformats.org/officeDocument/2006/relationships/image" Target="media/image147.jpeg"/><Relationship Id="rId219" Type="http://schemas.openxmlformats.org/officeDocument/2006/relationships/image" Target="media/image148.jpeg"/><Relationship Id="rId220" Type="http://schemas.openxmlformats.org/officeDocument/2006/relationships/image" Target="media/image149.png"/><Relationship Id="rId221" Type="http://schemas.openxmlformats.org/officeDocument/2006/relationships/image" Target="media/image150.png"/><Relationship Id="rId222" Type="http://schemas.openxmlformats.org/officeDocument/2006/relationships/image" Target="media/image151.jpeg"/><Relationship Id="rId223" Type="http://schemas.openxmlformats.org/officeDocument/2006/relationships/image" Target="media/image152.jpeg"/><Relationship Id="rId224" Type="http://schemas.openxmlformats.org/officeDocument/2006/relationships/image" Target="media/image153.png"/><Relationship Id="rId225" Type="http://schemas.openxmlformats.org/officeDocument/2006/relationships/image" Target="media/image154.jpeg"/><Relationship Id="rId226" Type="http://schemas.openxmlformats.org/officeDocument/2006/relationships/image" Target="media/image155.jpeg"/><Relationship Id="rId227" Type="http://schemas.openxmlformats.org/officeDocument/2006/relationships/image" Target="media/image156.png"/><Relationship Id="rId228" Type="http://schemas.openxmlformats.org/officeDocument/2006/relationships/image" Target="media/image157.jpeg"/><Relationship Id="rId229" Type="http://schemas.openxmlformats.org/officeDocument/2006/relationships/image" Target="media/image158.jpeg"/><Relationship Id="rId230" Type="http://schemas.openxmlformats.org/officeDocument/2006/relationships/image" Target="media/image159.png"/><Relationship Id="rId231" Type="http://schemas.openxmlformats.org/officeDocument/2006/relationships/image" Target="media/image160.jpeg"/><Relationship Id="rId232" Type="http://schemas.openxmlformats.org/officeDocument/2006/relationships/image" Target="media/image161.jpeg"/><Relationship Id="rId233" Type="http://schemas.openxmlformats.org/officeDocument/2006/relationships/image" Target="media/image162.png"/><Relationship Id="rId234" Type="http://schemas.openxmlformats.org/officeDocument/2006/relationships/image" Target="media/image163.jpeg"/><Relationship Id="rId235" Type="http://schemas.openxmlformats.org/officeDocument/2006/relationships/image" Target="media/image164.jpeg"/><Relationship Id="rId236" Type="http://schemas.openxmlformats.org/officeDocument/2006/relationships/image" Target="media/image165.png"/><Relationship Id="rId237" Type="http://schemas.openxmlformats.org/officeDocument/2006/relationships/image" Target="media/image166.jpeg"/><Relationship Id="rId238" Type="http://schemas.openxmlformats.org/officeDocument/2006/relationships/image" Target="media/image167.jpeg"/><Relationship Id="rId239" Type="http://schemas.openxmlformats.org/officeDocument/2006/relationships/image" Target="media/image168.png"/><Relationship Id="rId240" Type="http://schemas.openxmlformats.org/officeDocument/2006/relationships/image" Target="media/image169.jpeg"/><Relationship Id="rId241" Type="http://schemas.openxmlformats.org/officeDocument/2006/relationships/image" Target="media/image170.jpeg"/><Relationship Id="rId242" Type="http://schemas.openxmlformats.org/officeDocument/2006/relationships/image" Target="media/image171.png"/><Relationship Id="rId243" Type="http://schemas.openxmlformats.org/officeDocument/2006/relationships/image" Target="media/image172.jpeg"/><Relationship Id="rId244" Type="http://schemas.openxmlformats.org/officeDocument/2006/relationships/image" Target="media/image173.jpeg"/><Relationship Id="rId245" Type="http://schemas.openxmlformats.org/officeDocument/2006/relationships/image" Target="media/image174.png"/><Relationship Id="rId246" Type="http://schemas.openxmlformats.org/officeDocument/2006/relationships/image" Target="media/image175.jpeg"/><Relationship Id="rId247" Type="http://schemas.openxmlformats.org/officeDocument/2006/relationships/image" Target="media/image176.jpeg"/><Relationship Id="rId248" Type="http://schemas.openxmlformats.org/officeDocument/2006/relationships/image" Target="media/image177.png"/><Relationship Id="rId249" Type="http://schemas.openxmlformats.org/officeDocument/2006/relationships/image" Target="media/image178.jpeg"/><Relationship Id="rId250" Type="http://schemas.openxmlformats.org/officeDocument/2006/relationships/image" Target="media/image179.jpeg"/><Relationship Id="rId251" Type="http://schemas.openxmlformats.org/officeDocument/2006/relationships/image" Target="media/image180.png"/><Relationship Id="rId252" Type="http://schemas.openxmlformats.org/officeDocument/2006/relationships/image" Target="media/image181.jpeg"/><Relationship Id="rId253" Type="http://schemas.openxmlformats.org/officeDocument/2006/relationships/image" Target="media/image182.jpeg"/><Relationship Id="rId254" Type="http://schemas.openxmlformats.org/officeDocument/2006/relationships/image" Target="media/image183.png"/><Relationship Id="rId255" Type="http://schemas.openxmlformats.org/officeDocument/2006/relationships/image" Target="media/image184.jpeg"/><Relationship Id="rId256" Type="http://schemas.openxmlformats.org/officeDocument/2006/relationships/image" Target="media/image185.jpe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138" Type="http://schemas.openxmlformats.org/officeDocument/2006/relationships/hyperlink" Target="https://www.sec.gov/Archives/edgar/data/1368622/000110465923094121/tm2324229d1_ex2-1.htm" TargetMode="External"/><Relationship Id="rId139" Type="http://schemas.openxmlformats.org/officeDocument/2006/relationships/hyperlink" Target="https://www.sec.gov/Archives/edgar/data/1368622/000110465924120356/tm2428659d1_ex2-1.htm" TargetMode="External"/><Relationship Id="rId140" Type="http://schemas.openxmlformats.org/officeDocument/2006/relationships/hyperlink" Target="https://www.sec.gov/Archives/edgar/data/1368622/000095015007000008/a28119exv3w1.htm" TargetMode="External"/><Relationship Id="rId141" Type="http://schemas.openxmlformats.org/officeDocument/2006/relationships/hyperlink" Target="https://www.sec.gov/Archives/edgar/data/1368622/000110465925115756/tm2532104d1_ex3-1.htm" TargetMode="External"/><Relationship Id="rId142" Type="http://schemas.openxmlformats.org/officeDocument/2006/relationships/hyperlink" Target="http://www.sec.gov/Archives/edgar/data/1368622/000095013406022859/a22303a3exv4w1.htm" TargetMode="External"/><Relationship Id="rId143" Type="http://schemas.openxmlformats.org/officeDocument/2006/relationships/hyperlink" Target="https://www.sec.gov/Archives/edgar/data/1368622/000155837020007720/avav-20200430xex4d2.htm" TargetMode="External"/><Relationship Id="rId144" Type="http://schemas.openxmlformats.org/officeDocument/2006/relationships/hyperlink" Target="https://www.sec.gov/Archives/edgar/data/1368622/000110465925065778/tm2519048d11_ex4-1.htm" TargetMode="External"/><Relationship Id="rId145" Type="http://schemas.openxmlformats.org/officeDocument/2006/relationships/hyperlink" Target="https://www.sec.gov/Archives/edgar/data/1368622/000110465925065778/tm2519048d11_ex4-2.htm" TargetMode="External"/><Relationship Id="rId146" Type="http://schemas.openxmlformats.org/officeDocument/2006/relationships/hyperlink" Target="http://www.sec.gov/Archives/edgar/data/1368622/000155837016006514/avav-20160430ex101443c53.htm" TargetMode="External"/><Relationship Id="rId147" Type="http://schemas.openxmlformats.org/officeDocument/2006/relationships/hyperlink" Target="http://www.sec.gov/Archives/edgar/data/1368622/000095012406007190/a22303a2exv10w8.htm" TargetMode="External"/><Relationship Id="rId148" Type="http://schemas.openxmlformats.org/officeDocument/2006/relationships/hyperlink" Target="http://www.sec.gov/Archives/edgar/data/1368622/000110465911055028/a11-27507_1ex10d1.htm" TargetMode="External"/><Relationship Id="rId149" Type="http://schemas.openxmlformats.org/officeDocument/2006/relationships/hyperlink" Target="http://www.sec.gov/Archives/edgar/data/1368622/000155837017004963/avav-20170430ex1010971ed.htm" TargetMode="External"/><Relationship Id="rId150" Type="http://schemas.openxmlformats.org/officeDocument/2006/relationships/hyperlink" Target="http://www.sec.gov/Archives/edgar/data/1368622/000095012406007190/a22303a2exv10w9.htm" TargetMode="External"/><Relationship Id="rId151" Type="http://schemas.openxmlformats.org/officeDocument/2006/relationships/hyperlink" Target="http://www.sec.gov/Archives/edgar/data/1368622/000095012406007190/a22303a2exv10w10.htm" TargetMode="External"/><Relationship Id="rId152" Type="http://schemas.openxmlformats.org/officeDocument/2006/relationships/hyperlink" Target="http://www.sec.gov/Archives/edgar/data/1368622/000110465910040197/a10-14805_1ex10d1.htm" TargetMode="External"/><Relationship Id="rId153" Type="http://schemas.openxmlformats.org/officeDocument/2006/relationships/hyperlink" Target="http://www.sec.gov/Archives/edgar/data/1368622/000155837019005898/avav-20190430ex101499c35.htm" TargetMode="External"/><Relationship Id="rId154" Type="http://schemas.openxmlformats.org/officeDocument/2006/relationships/hyperlink" Target="http://www.sec.gov/Archives/edgar/data/1368622/000155837019005898/avav-20190430ex1015b5bd9.htm" TargetMode="External"/><Relationship Id="rId155" Type="http://schemas.openxmlformats.org/officeDocument/2006/relationships/hyperlink" Target="http://www.sec.gov/Archives/edgar/data/1368622/000155837019005898/avav-20190430ex1016ff6ff.htm" TargetMode="External"/><Relationship Id="rId156" Type="http://schemas.openxmlformats.org/officeDocument/2006/relationships/hyperlink" Target="http://www.sec.gov/Archives/edgar/data/1368622/000155837019005898/avav-20190430ex1017f5d10.htm" TargetMode="External"/><Relationship Id="rId157" Type="http://schemas.openxmlformats.org/officeDocument/2006/relationships/hyperlink" Target="https://www.sec.gov/Archives/edgar/data/1368622/000110465921125869/tm2129735d1_ex10-1.htm" TargetMode="External"/><Relationship Id="rId158" Type="http://schemas.openxmlformats.org/officeDocument/2006/relationships/hyperlink" Target="https://www.sec.gov/Archives/edgar/data/1368622/000110465921125869/tm2129735d1_ex10-2.htm" TargetMode="External"/><Relationship Id="rId159" Type="http://schemas.openxmlformats.org/officeDocument/2006/relationships/hyperlink" Target="https://www.sec.gov/Archives/edgar/data/1368622/000110465921125869/tm2129735d1_ex10-3.htm" TargetMode="External"/><Relationship Id="rId161" Type="http://schemas.openxmlformats.org/officeDocument/2006/relationships/hyperlink" Target="https://www.sec.gov/Archives/edgar/data/1368622/000110465921125869/tm2129735d1_ex10-4.htm" TargetMode="External"/><Relationship Id="rId163" Type="http://schemas.openxmlformats.org/officeDocument/2006/relationships/hyperlink" Target="https://www.sec.gov/Archives/edgar/data/1368622/000110465921125869/tm2129735d1_ex10-5.htm" TargetMode="External"/><Relationship Id="rId164" Type="http://schemas.openxmlformats.org/officeDocument/2006/relationships/hyperlink" Target="https://www.sec.gov/Archives/edgar/data/1368622/000110465921125869/tm2129735d1_ex10-6.htm" TargetMode="External"/><Relationship Id="rId165" Type="http://schemas.openxmlformats.org/officeDocument/2006/relationships/hyperlink" Target="https://www.sec.gov/Archives/edgar/data/1368622/000155837022010392/avav-20220430xex10d18.htm" TargetMode="External"/><Relationship Id="rId166" Type="http://schemas.openxmlformats.org/officeDocument/2006/relationships/hyperlink" Target="https://www.sec.gov/Archives/edgar/data/1368622/000155837023019483/avav-20231028xex10d1.htm" TargetMode="External"/><Relationship Id="rId167" Type="http://schemas.openxmlformats.org/officeDocument/2006/relationships/hyperlink" Target="http://www.sec.gov/Archives/edgar/data/1368622/000104746908007752/a2186536zex-10_15.htm" TargetMode="External"/><Relationship Id="rId168" Type="http://schemas.openxmlformats.org/officeDocument/2006/relationships/hyperlink" Target="https://www.sec.gov/Archives/edgar/data/1368622/000110465914016020/a14-4402_1ex10d1.htm" TargetMode="External"/><Relationship Id="rId169" Type="http://schemas.openxmlformats.org/officeDocument/2006/relationships/hyperlink" Target="https://www.sec.gov/Archives/edgar/data/1368622/000155837020007720/avav-20200430xex10d58.htm" TargetMode="External"/><Relationship Id="rId170" Type="http://schemas.openxmlformats.org/officeDocument/2006/relationships/hyperlink" Target="https://www.sec.gov/Archives/edgar/data/1368622/000155837024016018/avav-20241026xex10d2.htm" TargetMode="External"/><Relationship Id="rId171" Type="http://schemas.openxmlformats.org/officeDocument/2006/relationships/hyperlink" Target="https://www.sec.gov/Archives/edgar/data/1368622/000110465925032610/tm2511599d1_ex99-1.htm" TargetMode="External"/><Relationship Id="rId172" Type="http://schemas.openxmlformats.org/officeDocument/2006/relationships/hyperlink" Target="http://www.sec.gov/Archives/edgar/data/1368622/000104746908007752/a2186536zex-10_16.htm" TargetMode="External"/><Relationship Id="rId173" Type="http://schemas.openxmlformats.org/officeDocument/2006/relationships/hyperlink" Target="http://www.sec.gov/Archives/edgar/data/1368622/000110465914016020/a14-4402_1ex10d2.htm" TargetMode="External"/><Relationship Id="rId174" Type="http://schemas.openxmlformats.org/officeDocument/2006/relationships/hyperlink" Target="https://www.sec.gov/Archives/edgar/data/1368622/000155837021008684/avav-20210430xex10d66.htm" TargetMode="External"/><Relationship Id="rId175" Type="http://schemas.openxmlformats.org/officeDocument/2006/relationships/hyperlink" Target="http://www.sec.gov/Archives/edgar/data/1368622/000110465914016020/a14-4402_1ex10d3.htm" TargetMode="External"/><Relationship Id="rId176" Type="http://schemas.openxmlformats.org/officeDocument/2006/relationships/hyperlink" Target="https://www.sec.gov/Archives/edgar/data/1368622/000155837021008684/avav-20210430xex10d67.htm" TargetMode="External"/><Relationship Id="rId177" Type="http://schemas.openxmlformats.org/officeDocument/2006/relationships/hyperlink" Target="http://www.sec.gov/Archives/edgar/data/1368622/000155837018005457/avav-20180430ex1024f05cd.htm" TargetMode="External"/><Relationship Id="rId178" Type="http://schemas.openxmlformats.org/officeDocument/2006/relationships/hyperlink" Target="http://www.sec.gov/Archives/edgar/data/1368622/000155837018009506/avav-20181027ex1011ddfd7.htm" TargetMode="External"/><Relationship Id="rId179" Type="http://schemas.openxmlformats.org/officeDocument/2006/relationships/hyperlink" Target="http://www.sec.gov/Archives/edgar/data/1368622/000095015006000038/a22303orexv10w23.htm" TargetMode="External"/><Relationship Id="rId180" Type="http://schemas.openxmlformats.org/officeDocument/2006/relationships/hyperlink" Target="https://www.sec.gov/Archives/edgar/data/1368622/000110465916103402/a16-3826_1ex10d3.htm" TargetMode="External"/><Relationship Id="rId181" Type="http://schemas.openxmlformats.org/officeDocument/2006/relationships/hyperlink" Target="http://www.sec.gov/Archives/edgar/data/1368622/000155837019001518/avav-20190126ex101b87214.htm" TargetMode="External"/><Relationship Id="rId182" Type="http://schemas.openxmlformats.org/officeDocument/2006/relationships/hyperlink" Target="https://www.sec.gov/Archives/edgar/data/1368622/000155837024016018/avav-20241026xex10d3.htm" TargetMode="External"/><Relationship Id="rId183" Type="http://schemas.openxmlformats.org/officeDocument/2006/relationships/hyperlink" Target="https://www.sec.gov/Archives/edgar/data/1368622/000155837024016018/avav-20241026xex10d4.htm" TargetMode="External"/><Relationship Id="rId184" Type="http://schemas.openxmlformats.org/officeDocument/2006/relationships/hyperlink" Target="https://www.sec.gov/Archives/edgar/data/0001368622/000155837021002653/avav-20210130xex10d1.htm" TargetMode="External"/><Relationship Id="rId185" Type="http://schemas.openxmlformats.org/officeDocument/2006/relationships/hyperlink" Target="https://www.sec.gov/Archives/edgar/data/0001368622/000155837021002653/avav-20210130xex10d2.htm" TargetMode="External"/><Relationship Id="rId188" Type="http://schemas.openxmlformats.org/officeDocument/2006/relationships/hyperlink" Target="https://www.sec.gov/Archives/edgar/data/1368622/000155837021002653/avav-20210130xex10d3.htm" TargetMode="External"/><Relationship Id="rId189" Type="http://schemas.openxmlformats.org/officeDocument/2006/relationships/hyperlink" Target="https://www.sec.gov/Archives/edgar/data/1368622/000155837021002653/avav-20210130xex10d4.htm" TargetMode="External"/><Relationship Id="rId190" Type="http://schemas.openxmlformats.org/officeDocument/2006/relationships/hyperlink" Target="https://www.sec.gov/Archives/edgar/data/1368622/000155837022002839/avav-20220129xex10d7.htm" TargetMode="External"/><Relationship Id="rId191" Type="http://schemas.openxmlformats.org/officeDocument/2006/relationships/hyperlink" Target="https://www.sec.gov/Archives/edgar/data/1368622/000155837023011469/avav-20230430xex10d41.htm" TargetMode="External"/><Relationship Id="rId192" Type="http://schemas.openxmlformats.org/officeDocument/2006/relationships/hyperlink" Target="https://www.sec.gov/Archives/edgar/data/1368622/000155837024016018/avav-20241026xex10d1.htm" TargetMode="External"/><Relationship Id="rId193" Type="http://schemas.openxmlformats.org/officeDocument/2006/relationships/hyperlink" Target="https://www.sec.gov/Archives/edgar/data/1368622/000110465925043118/tm2513632d1_ex10-4.htm" TargetMode="External"/><Relationship Id="rId194" Type="http://schemas.openxmlformats.org/officeDocument/2006/relationships/hyperlink" Target="https://www.sec.gov/Archives/edgar/data/1368622/000155837023019483/avav-20231028xex10d2.htm" TargetMode="External"/><Relationship Id="rId195" Type="http://schemas.openxmlformats.org/officeDocument/2006/relationships/hyperlink" Target="https://www.sec.gov/Archives/edgar/data/1368622/000155837021002653/avav-20210130xex10d6.htm" TargetMode="External"/><Relationship Id="rId196" Type="http://schemas.openxmlformats.org/officeDocument/2006/relationships/hyperlink" Target="https://www.sec.gov/Archives/edgar/data/1368622/000110465923092796/tm232516d2-def14a.htm" TargetMode="External"/><Relationship Id="rId197" Type="http://schemas.openxmlformats.org/officeDocument/2006/relationships/hyperlink" Target="https://www.sec.gov/Archives/edgar/data/1368622/000110465924120356/tm2428659d1_ex10-1.htm" TargetMode="External"/><Relationship Id="rId198" Type="http://schemas.openxmlformats.org/officeDocument/2006/relationships/hyperlink" Target="https://www.sec.gov/Archives/edgar/data/1368622/000110465924120356/tm2428659d1_ex10-2.htm" TargetMode="External"/><Relationship Id="rId199" Type="http://schemas.openxmlformats.org/officeDocument/2006/relationships/hyperlink" Target="https://www.sec.gov/Archives/edgar/data/1368622/000110465924120356/tm2428659d1_ex10-3.htm" TargetMode="External"/><Relationship Id="rId200" Type="http://schemas.openxmlformats.org/officeDocument/2006/relationships/hyperlink" Target="https://www.sec.gov/Archives/edgar/data/1368622/000110465926018593/tm266989d1_ex10-1.htm" TargetMode="External"/><Relationship Id="rId201" Type="http://schemas.openxmlformats.org/officeDocument/2006/relationships/hyperlink" Target="https://www.sec.gov/Archives/edgar/data/1368622/000110465926024083/tm268059d1_ex10-1.htm" TargetMode="External"/><Relationship Id="rId202" Type="http://schemas.openxmlformats.org/officeDocument/2006/relationships/hyperlink" Target="https://www.sec.gov/Archives/edgar/data/1368622/000110465926025979/avav-20260131xex10d1.htm" TargetMode="External"/><Relationship Id="rId203" Type="http://schemas.openxmlformats.org/officeDocument/2006/relationships/hyperlink" Target="https://www.sec.gov/Archives/edgar/data/1368622/000110465926041267/tm2611447d1_ex10-1.htm" TargetMode="External"/><Relationship Id="rId204" Type="http://schemas.openxmlformats.org/officeDocument/2006/relationships/hyperlink" Target="https://www.sec.gov/Archives/edgar/data/1368622/000110465926041267/tm2611447d1_ex10-2.htm" TargetMode="External"/><Relationship Id="rId205" Type="http://schemas.openxmlformats.org/officeDocument/2006/relationships/hyperlink" Target="https://www.sec.gov/Archives/edgar/data/1368622/000155837024009515/avav-20240430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2026-06-29T16:53:57Z</dcterms:created>
  <dcterms:modified xsi:type="dcterms:W3CDTF">2026-06-29T16:53:57Z</dcterms:modified>
</cp:coreProperties>
</file>