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AeroVironment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Brian Foist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Arlington Capital Partners, 4747 Bethesda Ave., Suite 500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Bethesda, MD, 20814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202-337-7500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Altitude V Holdings,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6,728,262.00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Altitude VI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5,307,628.00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Arlington Capital Partners V,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6,728,262.00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13.5 %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Arlington Capital Partners VI,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5,307,628.00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Arlington Management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6,728,262.00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6,728,262.00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Arlington Management VI,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5,307,628.00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5,307,628.00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AeroVironment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241 18th Street South, Suite 650, Arlington, VIRGINIA , 22202.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(this "Amendment No. 1") amends the Schedule 13D filed on May 8, 2025</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(the "Schedule 13D") and relates to the common stock, $0.0001 par value ("Common Stock"), of AeroVironment,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Inc. (the "Company" or "Issuer"). Except as specifically amended by this Amendment No. 1, the disclosure in the Schedule 13D remains in full force and effect. Capitalized terms used in this Amendment No. 1 but not otherwise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defined shall have the meanings given to such terms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48" w:lineRule="auto"/>
        <w:rPr>
          <w:sz w:val="20"/>
          <w:szCs w:val="20"/>
          <w:color w:val="auto"/>
        </w:rPr>
      </w:pPr>
      <w:r>
        <w:rPr>
          <w:rFonts w:ascii="Times New Roman" w:cs="Times New Roman" w:eastAsia="Times New Roman" w:hAnsi="Times New Roman"/>
          <w:sz w:val="21"/>
          <w:szCs w:val="21"/>
          <w:color w:val="auto"/>
        </w:rPr>
        <w:t>Item 4 of the Schedule 13D is hereby amended to include the following: On June 16, 2026, each of David Wodlinger and Henry Albers provided separate notices informing the Company of their resignation from the Company's board of directors (the "Board") effective June 17, 2026. Both Mr. Wodlinger and Mr. Albers noted in their separate letters that their decision to resign from the Board is not the result of any disagreement with management on any matter relating to the Company's operations, policies, or practices. As previously disclosed, on May 1, 2025, Mr. Wodlinger and Mr. Albers were appointed to the Board after being named designees of ACP V and ACP VI (collectively, the "Shareholder"), in accordance with the terms of the Shareholder's Agreement, which was previously filed as Exhibit</w:t>
      </w:r>
    </w:p>
    <w:p>
      <w:pPr>
        <w:sectPr>
          <w:pgSz w:w="11900" w:h="16838" w:orient="portrait"/>
          <w:cols w:equalWidth="0" w:num="1">
            <w:col w:w="11160"/>
          </w:cols>
          <w:pgMar w:left="360" w:top="111" w:right="379" w:bottom="0" w:gutter="0" w:footer="0" w:header="0"/>
          <w:type w:val="continuous"/>
        </w:sectPr>
      </w:pPr>
    </w:p>
    <w:bookmarkStart w:id="6" w:name="page7"/>
    <w:bookmarkEnd w:id="6"/>
    <w:p>
      <w:pPr>
        <w:ind w:left="920" w:right="240"/>
        <w:spacing w:after="0"/>
        <w:rPr>
          <w:sz w:val="20"/>
          <w:szCs w:val="20"/>
          <w:color w:val="auto"/>
        </w:rPr>
      </w:pPr>
      <w:r>
        <w:rPr>
          <w:rFonts w:ascii="Times New Roman" w:cs="Times New Roman" w:eastAsia="Times New Roman" w:hAnsi="Times New Roman"/>
          <w:sz w:val="22"/>
          <w:szCs w:val="22"/>
          <w:color w:val="auto"/>
        </w:rPr>
        <w:t>99.3 to the Schedule 13D. Following the resignations of Messrs. Wodlinger and Albers, the Shareholder retains the right to designate two successor directors to fill the vacancies created by the resignations. As of the date of this report, the Shareholder has not designated any successor directors. Following these resignations, the Board consists of eight directors.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80"/>
        <w:spacing w:after="0" w:line="247" w:lineRule="auto"/>
        <w:rPr>
          <w:sz w:val="20"/>
          <w:szCs w:val="20"/>
          <w:color w:val="auto"/>
        </w:rPr>
      </w:pPr>
      <w:r>
        <w:rPr>
          <w:rFonts w:ascii="Times New Roman" w:cs="Times New Roman" w:eastAsia="Times New Roman" w:hAnsi="Times New Roman"/>
          <w:sz w:val="21"/>
          <w:szCs w:val="21"/>
          <w:color w:val="auto"/>
        </w:rPr>
        <w:t>The information set forth in rows 7 through 13 of the cover pages to this Schedule 13D is incorporated by reference. The percentage set forth in row 13 is based on 49,933,993 shares outstanding as of March 4, 2026, as reported by the Issuer in its Form 10-Q/A for the quarter ended January 31, 2026, as filed with the SEC on June 22, 2026. Altitude V is the direct beneficial owner of 6,728,262 shares of Common Stock, representing approximately 13.5% of the</w:t>
      </w:r>
    </w:p>
    <w:p>
      <w:pPr>
        <w:spacing w:after="0" w:line="2" w:lineRule="exact"/>
        <w:rPr>
          <w:sz w:val="20"/>
          <w:szCs w:val="20"/>
          <w:color w:val="auto"/>
        </w:rPr>
      </w:pPr>
    </w:p>
    <w:p>
      <w:pPr>
        <w:ind w:left="920" w:right="80" w:hanging="912"/>
        <w:spacing w:after="0" w:line="201"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outstanding shares of Common Stock. Each of ACP V, as the sole member of Altitude V, and Arlington Management V, as the sole managing member of the general partner of ACP V, may be deemed to beneficially own the shares of Common Stock held by Altitude V. Altitude VI is the direct beneficial owner of 5,307,628 shares of Common Stock, representing approximately 10.6% of the outstanding shares of Common Stock. Each of ACP VI, as the sole member of Altitude VI, and Arlington Management VI, as the sole managing member of the general partner of ACP VI, may be deemed to beneficially own the shares of Common Stock held by Altitude VI.</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Each of Altitude V, ACP V and Arlington Management V may be deemed to have sole power to direct the vote and</w:t>
      </w:r>
    </w:p>
    <w:p>
      <w:pPr>
        <w:spacing w:after="0" w:line="14" w:lineRule="exact"/>
        <w:rPr>
          <w:rFonts w:ascii="Times New Roman" w:cs="Times New Roman" w:eastAsia="Times New Roman" w:hAnsi="Times New Roman"/>
          <w:sz w:val="43"/>
          <w:szCs w:val="43"/>
          <w:color w:val="auto"/>
          <w:vertAlign w:val="subscript"/>
        </w:rPr>
      </w:pPr>
    </w:p>
    <w:p>
      <w:pPr>
        <w:ind w:left="920" w:right="20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disposition of 6,728,262 shares of Common Stock held directly by Altitude V. Each of Altitude VI, ACP VI and Arlington Management VI may be deemed to have sole power to direct the vote and disposition of 5,307,628 shares of Common Stock held directly by Altitude VI.</w:t>
      </w:r>
    </w:p>
    <w:p>
      <w:pPr>
        <w:spacing w:after="0" w:line="18" w:lineRule="exact"/>
        <w:rPr>
          <w:rFonts w:ascii="Times New Roman" w:cs="Times New Roman" w:eastAsia="Times New Roman" w:hAnsi="Times New Roman"/>
          <w:sz w:val="42"/>
          <w:szCs w:val="42"/>
          <w:color w:val="auto"/>
          <w:vertAlign w:val="subscript"/>
        </w:rPr>
      </w:pPr>
    </w:p>
    <w:p>
      <w:pPr>
        <w:ind w:left="920" w:right="440" w:hanging="912"/>
        <w:spacing w:after="0"/>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effected any transactions in the Issuer's Common Stock during the past sixty days.</w:t>
      </w:r>
    </w:p>
    <w:p>
      <w:pPr>
        <w:spacing w:after="0" w:line="91"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Altitude V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Manos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Peter Manos, Managing Principal of Manager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of Sole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Altitude VI Holdings,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Wodlinger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Wodlinger, Managing Principal of Manager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General Partner of Sole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Arlington Capital Partners V,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Manos</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Peter Manos, Managing Principal of Manager of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color w:val="auto"/>
        </w:rPr>
        <w:t>Arlington Capital Partners VI,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Wodlinger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Wodlinger, Managing Principal of Manager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of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Arlington Management V, L.L.C.</w:t>
      </w:r>
    </w:p>
    <w:p>
      <w:pPr>
        <w:spacing w:after="0" w:line="152"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Manos</w:t>
      </w:r>
    </w:p>
    <w:p>
      <w:pPr>
        <w:spacing w:after="0" w:line="4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2"/>
          <w:szCs w:val="22"/>
          <w:color w:val="auto"/>
        </w:rPr>
        <w:t>Name/Title: Peter Manos, Managing Principal</w:t>
      </w:r>
    </w:p>
    <w:p>
      <w:pPr>
        <w:spacing w:after="0" w:line="44" w:lineRule="exact"/>
        <w:rPr>
          <w:sz w:val="20"/>
          <w:szCs w:val="20"/>
          <w:color w:val="auto"/>
        </w:rPr>
      </w:pPr>
    </w:p>
    <w:p>
      <w:pPr>
        <w:ind w:left="420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06/24/2026</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Arlington Management VI, L.L.C.</w:t>
      </w:r>
    </w:p>
    <w:p>
      <w:pPr>
        <w:spacing w:after="0" w:line="152" w:lineRule="exact"/>
        <w:rPr>
          <w:sz w:val="20"/>
          <w:szCs w:val="20"/>
          <w:color w:val="auto"/>
        </w:rPr>
      </w:pPr>
    </w:p>
    <w:p>
      <w:pPr>
        <w:ind w:left="458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Wodlinger</w:t>
      </w:r>
    </w:p>
    <w:p>
      <w:pPr>
        <w:spacing w:after="0" w:line="4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Name/Title: David Wodlinger, Managing Principal</w:t>
      </w:r>
    </w:p>
    <w:p>
      <w:pPr>
        <w:sectPr>
          <w:pgSz w:w="11900" w:h="16838" w:orient="portrait"/>
          <w:cols w:equalWidth="0" w:num="1">
            <w:col w:w="11140"/>
          </w:cols>
          <w:pgMar w:left="360" w:top="111" w:right="399" w:bottom="0" w:gutter="0" w:footer="0" w:header="0"/>
        </w:sectPr>
      </w:pPr>
    </w:p>
    <w:bookmarkStart w:id="7" w:name="page8"/>
    <w:bookmarkEnd w:id="7"/>
    <w:p>
      <w:pPr>
        <w:ind w:left="3500"/>
        <w:spacing w:after="0"/>
        <w:tabs>
          <w:tab w:leader="none" w:pos="458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06/24/2026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2026-06-24T17:55:31Z</dcterms:created>
  <dcterms:modified xsi:type="dcterms:W3CDTF">2026-06-24T17:55:31Z</dcterms:modified>
</cp:coreProperties>
</file>