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180975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January 28, 2023</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8"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58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161925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AEROVIRONMENT,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64"/>
        </w:trPr>
        <w:tc>
          <w:tcPr>
            <w:tcW w:w="458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95-2705790</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2"/>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241 18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Street South, Suite 415</w:t>
            </w:r>
          </w:p>
        </w:tc>
        <w:tc>
          <w:tcPr>
            <w:tcW w:w="3240" w:type="dxa"/>
            <w:vAlign w:val="bottom"/>
          </w:tcPr>
          <w:p>
            <w:pPr>
              <w:spacing w:after="0"/>
              <w:rPr>
                <w:sz w:val="24"/>
                <w:szCs w:val="24"/>
                <w:color w:val="auto"/>
              </w:rPr>
            </w:pPr>
          </w:p>
        </w:tc>
      </w:tr>
      <w:tr>
        <w:trPr>
          <w:trHeight w:val="164"/>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Arlington, Virginia</w:t>
            </w:r>
          </w:p>
        </w:tc>
        <w:tc>
          <w:tcPr>
            <w:tcW w:w="32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22202</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(805) 520-8350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296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560" w:type="dxa"/>
            <w:vAlign w:val="bottom"/>
          </w:tcPr>
          <w:p>
            <w:pPr>
              <w:jc w:val="center"/>
              <w:ind w:left="222"/>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6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85"/>
              </w:rPr>
              <w:t>AVAV</w:t>
            </w:r>
          </w:p>
        </w:tc>
        <w:tc>
          <w:tcPr>
            <w:tcW w:w="35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62" w:lineRule="exact"/>
        <w:rPr>
          <w:sz w:val="24"/>
          <w:szCs w:val="24"/>
          <w:color w:val="auto"/>
        </w:rPr>
      </w:pPr>
    </w:p>
    <w:p>
      <w:pPr>
        <w:jc w:val="both"/>
        <w:ind w:right="2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right="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ind w:left="17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13" w:lineRule="exact"/>
        <w:rPr>
          <w:sz w:val="24"/>
          <w:szCs w:val="24"/>
          <w:color w:val="auto"/>
        </w:rPr>
      </w:pPr>
    </w:p>
    <w:p>
      <w:pPr>
        <w:sectPr>
          <w:pgSz w:w="11900" w:h="16838" w:orient="portrait"/>
          <w:cols w:equalWidth="0" w:num="2">
            <w:col w:w="6200" w:space="720"/>
            <w:col w:w="3000"/>
          </w:cols>
          <w:pgMar w:left="980" w:top="661" w:right="999" w:bottom="1440" w:gutter="0" w:footer="0" w:header="0"/>
          <w:type w:val="continuous"/>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900" w:space="720"/>
            <w:col w:w="3300"/>
          </w:cols>
          <w:pgMar w:left="980" w:top="661" w:right="999" w:bottom="1440" w:gutter="0" w:footer="0" w:header="0"/>
          <w:type w:val="continuous"/>
        </w:sectPr>
      </w:pPr>
    </w:p>
    <w:p>
      <w:pPr>
        <w:ind w:left="66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20"/>
          </w:cols>
          <w:pgMar w:left="980" w:top="661" w:right="999" w:bottom="1440" w:gutter="0" w:footer="0" w:header="0"/>
          <w:type w:val="continuous"/>
        </w:sectPr>
      </w:pPr>
    </w:p>
    <w:p>
      <w:pPr>
        <w:spacing w:after="0" w:line="240" w:lineRule="exact"/>
        <w:rPr>
          <w:sz w:val="24"/>
          <w:szCs w:val="24"/>
          <w:color w:val="auto"/>
        </w:rPr>
      </w:pPr>
    </w:p>
    <w:p>
      <w:pPr>
        <w:ind w:right="1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right="2260"/>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March 1, 2023, the number of shares outstanding of the registrant’s common stock, $0.0001 par value, was 25,264,025.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80" w:type="dxa"/>
            <w:vAlign w:val="bottom"/>
            <w:gridSpan w:val="14"/>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36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80" w:type="dxa"/>
            <w:vAlign w:val="bottom"/>
            <w:gridSpan w:val="14"/>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4"/>
                <w:szCs w:val="24"/>
                <w:color w:val="auto"/>
              </w:rPr>
            </w:pPr>
          </w:p>
        </w:tc>
      </w:tr>
      <w:tr>
        <w:trPr>
          <w:trHeight w:val="40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40" w:type="dxa"/>
            <w:vAlign w:val="bottom"/>
            <w:gridSpan w:val="3"/>
          </w:tcPr>
          <w:p>
            <w:pPr>
              <w:spacing w:after="0"/>
              <w:rPr>
                <w:sz w:val="24"/>
                <w:szCs w:val="24"/>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Financial Statements</w:t>
            </w:r>
            <w:r>
              <w:rPr>
                <w:rFonts w:ascii="Times New Roman" w:cs="Times New Roman" w:eastAsia="Times New Roman" w:hAnsi="Times New Roman"/>
                <w:sz w:val="18"/>
                <w:szCs w:val="18"/>
                <w:color w:val="000000"/>
              </w:rPr>
              <w:t>:</w:t>
            </w:r>
          </w:p>
        </w:tc>
        <w:tc>
          <w:tcPr>
            <w:tcW w:w="36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January 28, 2023 (Unaudited) and April 30, 2022</w:t>
            </w:r>
          </w:p>
        </w:tc>
        <w:tc>
          <w:tcPr>
            <w:tcW w:w="480" w:type="dxa"/>
            <w:vAlign w:val="bottom"/>
            <w:gridSpan w:val="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January 28,</w:t>
            </w:r>
          </w:p>
        </w:tc>
        <w:tc>
          <w:tcPr>
            <w:tcW w:w="26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2023 (Unaudited) and January 29, 2022 (Unaudited)</w:t>
            </w:r>
          </w:p>
        </w:tc>
        <w:tc>
          <w:tcPr>
            <w:tcW w:w="3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and nine months</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ended January 28, 2023 (Unaudited) and January 29, 2022 (Unaudited)</w:t>
            </w:r>
          </w:p>
        </w:tc>
        <w:tc>
          <w:tcPr>
            <w:tcW w:w="2120" w:type="dxa"/>
            <w:vAlign w:val="bottom"/>
            <w:gridSpan w:val="7"/>
          </w:tcPr>
          <w:p>
            <w:pPr>
              <w:spacing w:after="0"/>
              <w:rPr>
                <w:sz w:val="19"/>
                <w:szCs w:val="19"/>
                <w:color w:val="auto"/>
              </w:rPr>
            </w:pPr>
          </w:p>
        </w:tc>
        <w:tc>
          <w:tcPr>
            <w:tcW w:w="360" w:type="dxa"/>
            <w:vAlign w:val="bottom"/>
          </w:tcPr>
          <w:p>
            <w:pPr>
              <w:spacing w:after="0"/>
              <w:rPr>
                <w:sz w:val="19"/>
                <w:szCs w:val="19"/>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 months ended</w:t>
            </w:r>
          </w:p>
        </w:tc>
        <w:tc>
          <w:tcPr>
            <w:tcW w:w="400" w:type="dxa"/>
            <w:vAlign w:val="bottom"/>
            <w:gridSpan w:val="3"/>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January 28, 2023 (Unaudited) and January 29, 2022 (Unaudited)</w:t>
            </w:r>
          </w:p>
        </w:tc>
        <w:tc>
          <w:tcPr>
            <w:tcW w:w="3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January 28, 2023</w:t>
            </w:r>
          </w:p>
        </w:tc>
        <w:tc>
          <w:tcPr>
            <w:tcW w:w="500" w:type="dxa"/>
            <w:vAlign w:val="bottom"/>
            <w:gridSpan w:val="5"/>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(Unaudited) and January 29, 2022 (Unaudited)</w:t>
            </w:r>
          </w:p>
        </w:tc>
        <w:tc>
          <w:tcPr>
            <w:tcW w:w="3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140" w:type="dxa"/>
            <w:vAlign w:val="bottom"/>
            <w:gridSpan w:val="6"/>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240" w:type="dxa"/>
            <w:vAlign w:val="bottom"/>
            <w:gridSpan w:val="10"/>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40" w:type="dxa"/>
            <w:vAlign w:val="bottom"/>
            <w:gridSpan w:val="3"/>
          </w:tcPr>
          <w:p>
            <w:pPr>
              <w:spacing w:after="0"/>
              <w:rPr>
                <w:sz w:val="19"/>
                <w:szCs w:val="19"/>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5780" w:type="dxa"/>
            <w:vAlign w:val="bottom"/>
            <w:gridSpan w:val="15"/>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40" w:type="dxa"/>
            <w:vAlign w:val="bottom"/>
            <w:gridSpan w:val="3"/>
          </w:tcPr>
          <w:p>
            <w:pPr>
              <w:spacing w:after="0"/>
              <w:rPr>
                <w:sz w:val="24"/>
                <w:szCs w:val="24"/>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9"/>
                <w:szCs w:val="19"/>
                <w:color w:val="auto"/>
              </w:rPr>
            </w:pPr>
          </w:p>
        </w:tc>
        <w:tc>
          <w:tcPr>
            <w:tcW w:w="3260" w:type="dxa"/>
            <w:vAlign w:val="bottom"/>
            <w:gridSpan w:val="11"/>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40" w:type="dxa"/>
            <w:vAlign w:val="bottom"/>
            <w:gridSpan w:val="3"/>
          </w:tcPr>
          <w:p>
            <w:pPr>
              <w:spacing w:after="0"/>
              <w:rPr>
                <w:sz w:val="19"/>
                <w:szCs w:val="19"/>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840" w:type="dxa"/>
            <w:vAlign w:val="bottom"/>
            <w:gridSpan w:val="16"/>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9"/>
                <w:szCs w:val="19"/>
                <w:color w:val="auto"/>
              </w:rPr>
            </w:pPr>
          </w:p>
        </w:tc>
        <w:tc>
          <w:tcPr>
            <w:tcW w:w="6280" w:type="dxa"/>
            <w:vAlign w:val="bottom"/>
            <w:gridSpan w:val="18"/>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AeroVironment, Inc.</w:t>
      </w:r>
    </w:p>
    <w:p>
      <w:pPr>
        <w:jc w:val="center"/>
        <w:ind w:right="19"/>
        <w:spacing w:after="0" w:line="219" w:lineRule="auto"/>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77,231</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24,716</w:t>
            </w:r>
          </w:p>
        </w:tc>
        <w:tc>
          <w:tcPr>
            <w:tcW w:w="120" w:type="dxa"/>
            <w:vAlign w:val="bottom"/>
          </w:tcPr>
          <w:p>
            <w:pPr>
              <w:spacing w:after="0"/>
              <w:rPr>
                <w:sz w:val="17"/>
                <w:szCs w:val="17"/>
                <w:color w:val="auto"/>
              </w:rPr>
            </w:pPr>
          </w:p>
        </w:tc>
      </w:tr>
      <w:tr>
        <w:trPr>
          <w:trHeight w:val="18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$61 at January 28, 2023 and $592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at April 30, 2022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60,170</w:t>
            </w:r>
          </w:p>
        </w:tc>
        <w:tc>
          <w:tcPr>
            <w:tcW w:w="120" w:type="dxa"/>
            <w:vAlign w:val="bottom"/>
            <w:shd w:val="clear" w:color="auto" w:fill="CCEEFF"/>
          </w:tcPr>
          <w:p>
            <w:pPr>
              <w:spacing w:after="0"/>
              <w:rPr>
                <w:sz w:val="18"/>
                <w:szCs w:val="18"/>
                <w:color w:val="auto"/>
              </w:rPr>
            </w:pPr>
          </w:p>
        </w:tc>
      </w:tr>
      <w:tr>
        <w:trPr>
          <w:trHeight w:val="189"/>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 (inclusive of related party unbilled receivables of $2,229 at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April 30, 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109,289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104,194</w:t>
            </w:r>
          </w:p>
        </w:tc>
        <w:tc>
          <w:tcPr>
            <w:tcW w:w="120" w:type="dxa"/>
            <w:vAlign w:val="bottom"/>
          </w:tcPr>
          <w:p>
            <w:pPr>
              <w:spacing w:after="0"/>
              <w:rPr>
                <w:sz w:val="18"/>
                <w:szCs w:val="18"/>
                <w:color w:val="auto"/>
              </w:rPr>
            </w:pPr>
          </w:p>
        </w:tc>
      </w:tr>
      <w:tr>
        <w:trPr>
          <w:trHeight w:val="205"/>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90,629</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11,527</w:t>
            </w:r>
          </w:p>
        </w:tc>
        <w:tc>
          <w:tcPr>
            <w:tcW w:w="120" w:type="dxa"/>
            <w:vAlign w:val="bottom"/>
            <w:shd w:val="clear" w:color="auto" w:fill="CCEEFF"/>
          </w:tcPr>
          <w:p>
            <w:pPr>
              <w:spacing w:after="0"/>
              <w:rPr>
                <w:sz w:val="17"/>
                <w:szCs w:val="17"/>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390,881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368,909</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15,433</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62,296</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26,769</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7,290</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97,224</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336,555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334,347</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shd w:val="clear" w:color="auto" w:fill="CCEEFF"/>
          </w:tcPr>
          <w:p>
            <w:pPr>
              <w:spacing w:after="0"/>
              <w:rPr>
                <w:sz w:val="17"/>
                <w:szCs w:val="17"/>
                <w:color w:val="auto"/>
              </w:rPr>
            </w:pPr>
          </w:p>
        </w:tc>
      </w:tr>
      <w:tr>
        <w:trPr>
          <w:trHeight w:val="23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921,202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914,200</w:t>
            </w:r>
          </w:p>
        </w:tc>
        <w:tc>
          <w:tcPr>
            <w:tcW w:w="120" w:type="dxa"/>
            <w:vAlign w:val="bottom"/>
            <w:tcBorders>
              <w:bottom w:val="single" w:sz="8" w:color="CCEEFF"/>
            </w:tcBorders>
          </w:tcPr>
          <w:p>
            <w:pPr>
              <w:spacing w:after="0"/>
              <w:rPr>
                <w:sz w:val="20"/>
                <w:szCs w:val="20"/>
                <w:color w:val="auto"/>
              </w:rPr>
            </w:pPr>
          </w:p>
        </w:tc>
      </w:tr>
      <w:tr>
        <w:trPr>
          <w:trHeight w:val="183"/>
        </w:trPr>
        <w:tc>
          <w:tcPr>
            <w:tcW w:w="6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19,244</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25,398</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8,968</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30,203</w:t>
            </w:r>
          </w:p>
        </w:tc>
        <w:tc>
          <w:tcPr>
            <w:tcW w:w="120" w:type="dxa"/>
            <w:vAlign w:val="bottom"/>
            <w:shd w:val="clear" w:color="auto" w:fill="CCEEFF"/>
          </w:tcPr>
          <w:p>
            <w:pPr>
              <w:spacing w:after="0"/>
              <w:rPr>
                <w:sz w:val="17"/>
                <w:szCs w:val="17"/>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116,397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101,391</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155,763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177,840</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21,915</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January 28, 2023 and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April 30, 2022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Issued and outstanding shares—25,264,025 shares at January 28, 2023 and 24,951,287 shares at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30, 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r>
      <w:tr>
        <w:trPr>
          <w:trHeight w:val="20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295,070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267,248</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(5,055)</w:t>
            </w:r>
          </w:p>
        </w:tc>
        <w:tc>
          <w:tcPr>
            <w:tcW w:w="1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(6,514)</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331,494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347,233</w:t>
            </w:r>
          </w:p>
        </w:tc>
        <w:tc>
          <w:tcPr>
            <w:tcW w:w="120" w:type="dxa"/>
            <w:vAlign w:val="bottom"/>
            <w:shd w:val="clear" w:color="auto" w:fill="CCEEFF"/>
          </w:tcPr>
          <w:p>
            <w:pPr>
              <w:spacing w:after="0"/>
              <w:rPr>
                <w:sz w:val="17"/>
                <w:szCs w:val="17"/>
                <w:color w:val="auto"/>
              </w:rPr>
            </w:pPr>
          </w:p>
        </w:tc>
      </w:tr>
      <w:tr>
        <w:trPr>
          <w:trHeight w:val="19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AeroVironment, Inc. stockholders’ equity</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621,513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607,969</w:t>
            </w:r>
          </w:p>
        </w:tc>
        <w:tc>
          <w:tcPr>
            <w:tcW w:w="12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621,513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608,210</w:t>
            </w:r>
          </w:p>
        </w:tc>
        <w:tc>
          <w:tcPr>
            <w:tcW w:w="120" w:type="dxa"/>
            <w:vAlign w:val="bottom"/>
            <w:tcBorders>
              <w:bottom w:val="single" w:sz="8" w:color="CCEEFF"/>
            </w:tcBorders>
          </w:tcPr>
          <w:p>
            <w:pPr>
              <w:spacing w:after="0"/>
              <w:rPr>
                <w:sz w:val="17"/>
                <w:szCs w:val="17"/>
                <w:color w:val="auto"/>
              </w:rPr>
            </w:pPr>
          </w:p>
        </w:tc>
      </w:tr>
      <w:tr>
        <w:trPr>
          <w:trHeight w:val="196"/>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921,202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914,200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9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40" w:type="dxa"/>
            <w:vAlign w:val="bottom"/>
          </w:tcPr>
          <w:p>
            <w:pPr>
              <w:spacing w:after="0"/>
              <w:rPr>
                <w:sz w:val="10"/>
                <w:szCs w:val="10"/>
                <w:color w:val="auto"/>
              </w:rPr>
            </w:pPr>
          </w:p>
        </w:tc>
      </w:tr>
      <w:tr>
        <w:trPr>
          <w:trHeight w:val="173"/>
        </w:trPr>
        <w:tc>
          <w:tcPr>
            <w:tcW w:w="4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91,216</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42,599</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211,533</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166,713</w:t>
            </w:r>
          </w:p>
        </w:tc>
        <w:tc>
          <w:tcPr>
            <w:tcW w:w="40" w:type="dxa"/>
            <w:vAlign w:val="bottom"/>
          </w:tcPr>
          <w:p>
            <w:pPr>
              <w:spacing w:after="0"/>
              <w:rPr>
                <w:sz w:val="17"/>
                <w:szCs w:val="17"/>
                <w:color w:val="auto"/>
              </w:rPr>
            </w:pPr>
          </w:p>
        </w:tc>
      </w:tr>
      <w:tr>
        <w:trPr>
          <w:trHeight w:val="189"/>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 (inclusive of related party revenue of $9,543 and</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$30,237 for the three and nine months ended January 29, 2022,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47,494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146,397</w:t>
            </w:r>
          </w:p>
        </w:tc>
        <w:tc>
          <w:tcPr>
            <w:tcW w:w="40" w:type="dxa"/>
            <w:vAlign w:val="bottom"/>
            <w:shd w:val="clear" w:color="auto" w:fill="CCEEFF"/>
          </w:tcPr>
          <w:p>
            <w:pPr>
              <w:spacing w:after="0"/>
              <w:rPr>
                <w:sz w:val="18"/>
                <w:szCs w:val="18"/>
                <w:color w:val="auto"/>
              </w:rPr>
            </w:pPr>
          </w:p>
        </w:tc>
      </w:tr>
      <w:tr>
        <w:trPr>
          <w:trHeight w:val="199"/>
        </w:trPr>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134,395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90,093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354,495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313,110</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100,821</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122,171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119,675</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68,657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249,381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220,496</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65,892</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26,722</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45,510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105,114</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92,614</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74,496</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16,157</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47,793</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41,018</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(22,900)</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Other (loss) income: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(4,164)</w:t>
            </w: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(2,587)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(10,360)</w:t>
            </w: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(21,886)</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(37,424)</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(15,396)</w:t>
            </w: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(8,382)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(25,864)</w:t>
            </w: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 (loss) income, net of tax</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(11,397)</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attributable to noncontrolling interest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r>
      <w:tr>
        <w:trPr>
          <w:trHeight w:val="23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 income attributable to AeroVironment, Inc.</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(15,739)</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(11,446)</w:t>
            </w:r>
          </w:p>
        </w:tc>
        <w:tc>
          <w:tcPr>
            <w:tcW w:w="40" w:type="dxa"/>
            <w:vAlign w:val="bottom"/>
            <w:tcBorders>
              <w:bottom w:val="single" w:sz="8" w:color="CCEEFF"/>
            </w:tcBorders>
          </w:tcPr>
          <w:p>
            <w:pPr>
              <w:spacing w:after="0"/>
              <w:rPr>
                <w:sz w:val="20"/>
                <w:szCs w:val="20"/>
                <w:color w:val="auto"/>
              </w:rPr>
            </w:pPr>
          </w:p>
        </w:tc>
      </w:tr>
      <w:tr>
        <w:trPr>
          <w:trHeight w:val="183"/>
        </w:trPr>
        <w:tc>
          <w:tcPr>
            <w:tcW w:w="4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loss per share attributable to AeroVironment, Inc.</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(0.46)</w:t>
            </w:r>
          </w:p>
        </w:tc>
      </w:tr>
      <w:tr>
        <w:trPr>
          <w:trHeight w:val="203"/>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(0.63)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(0.46)</w:t>
            </w: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25,012,412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24,710,991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24,906,977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24,657,846</w:t>
            </w:r>
          </w:p>
        </w:tc>
        <w:tc>
          <w:tcPr>
            <w:tcW w:w="40" w:type="dxa"/>
            <w:vAlign w:val="bottom"/>
            <w:shd w:val="clear" w:color="auto" w:fill="CCEEFF"/>
          </w:tcPr>
          <w:p>
            <w:pPr>
              <w:spacing w:after="0"/>
              <w:rPr>
                <w:sz w:val="17"/>
                <w:szCs w:val="17"/>
                <w:color w:val="auto"/>
              </w:rPr>
            </w:pPr>
          </w:p>
        </w:tc>
      </w:tr>
      <w:tr>
        <w:trPr>
          <w:trHeight w:val="210"/>
        </w:trPr>
        <w:tc>
          <w:tcPr>
            <w:tcW w:w="4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25,012,412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24,879,643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24,906,977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24,657,846</w:t>
            </w:r>
          </w:p>
        </w:tc>
        <w:tc>
          <w:tcPr>
            <w:tcW w:w="40" w:type="dxa"/>
            <w:vAlign w:val="bottom"/>
          </w:tcPr>
          <w:p>
            <w:pPr>
              <w:spacing w:after="0"/>
              <w:rPr>
                <w:sz w:val="18"/>
                <w:szCs w:val="18"/>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7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8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00" w:type="dxa"/>
            <w:vAlign w:val="bottom"/>
          </w:tcPr>
          <w:p>
            <w:pPr>
              <w:spacing w:after="0"/>
              <w:rPr>
                <w:sz w:val="10"/>
                <w:szCs w:val="10"/>
                <w:color w:val="auto"/>
              </w:rPr>
            </w:pPr>
          </w:p>
        </w:tc>
      </w:tr>
      <w:tr>
        <w:trPr>
          <w:trHeight w:val="173"/>
        </w:trPr>
        <w:tc>
          <w:tcPr>
            <w:tcW w:w="4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9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(loss) gain on available-for-sale investments, net of</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expense of $0 and $1 for the three months ended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January 28, 2023 and January 29, 2022, respectively; and $0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$1 for the nine months ended January 28, 2023 and January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29, 2022, 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(3,771)</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AeroVironment, Inc.</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nine months ended January 28, 2023 and January 29, 2022 (Unaudited)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90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2"/>
                <w:szCs w:val="12"/>
                <w:color w:val="auto"/>
              </w:rPr>
            </w:pPr>
          </w:p>
        </w:tc>
        <w:tc>
          <w:tcPr>
            <w:tcW w:w="5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6"/>
              </w:rPr>
              <w:t>ComprehensiveAeroVironment, Inc.Controlling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1080" w:type="dxa"/>
            <w:vAlign w:val="bottom"/>
            <w:gridSpan w:val="2"/>
          </w:tcPr>
          <w:p>
            <w:pPr>
              <w:jc w:val="center"/>
              <w:ind w:right="169"/>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 Income</w:t>
            </w:r>
          </w:p>
        </w:tc>
        <w:tc>
          <w:tcPr>
            <w:tcW w:w="900" w:type="dxa"/>
            <w:vAlign w:val="bottom"/>
          </w:tcPr>
          <w:p>
            <w:pPr>
              <w:jc w:val="center"/>
              <w:ind w:right="149"/>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52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8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24,951,287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$ 267,248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$ 347,233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9"/>
              <w:spacing w:after="0" w:line="142" w:lineRule="exact"/>
              <w:rPr>
                <w:sz w:val="20"/>
                <w:szCs w:val="20"/>
                <w:color w:val="auto"/>
              </w:rPr>
            </w:pPr>
            <w:r>
              <w:rPr>
                <w:rFonts w:ascii="Times New Roman" w:cs="Times New Roman" w:eastAsia="Times New Roman" w:hAnsi="Times New Roman"/>
                <w:sz w:val="14"/>
                <w:szCs w:val="14"/>
                <w:color w:val="auto"/>
              </w:rPr>
              <w:t>(6,514)$</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607,969</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right w:val="single" w:sz="8" w:color="CCEEFF"/>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608,210</w:t>
            </w:r>
          </w:p>
        </w:tc>
        <w:tc>
          <w:tcPr>
            <w:tcW w:w="0" w:type="dxa"/>
            <w:vAlign w:val="bottom"/>
          </w:tcPr>
          <w:p>
            <w:pPr>
              <w:spacing w:after="0"/>
              <w:rPr>
                <w:sz w:val="1"/>
                <w:szCs w:val="1"/>
                <w:color w:val="auto"/>
              </w:rPr>
            </w:pPr>
          </w:p>
        </w:tc>
      </w:tr>
      <w:tr>
        <w:trPr>
          <w:trHeight w:val="148"/>
        </w:trPr>
        <w:tc>
          <w:tcPr>
            <w:tcW w:w="25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(15,739)</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(15,694)</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25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1,433</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1,433</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148"/>
        </w:trPr>
        <w:tc>
          <w:tcPr>
            <w:tcW w:w="25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77,169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(10,723)</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71"/>
        </w:trPr>
        <w:tc>
          <w:tcPr>
            <w:tcW w:w="2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share settlement of equity awards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221,971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20,699</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20,701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20,701</w:t>
            </w:r>
          </w:p>
        </w:tc>
        <w:tc>
          <w:tcPr>
            <w:tcW w:w="0" w:type="dxa"/>
            <w:vAlign w:val="bottom"/>
          </w:tcPr>
          <w:p>
            <w:pPr>
              <w:spacing w:after="0"/>
              <w:rPr>
                <w:sz w:val="1"/>
                <w:szCs w:val="1"/>
                <w:color w:val="auto"/>
              </w:rPr>
            </w:pPr>
          </w:p>
        </w:tc>
      </w:tr>
      <w:tr>
        <w:trPr>
          <w:trHeight w:val="126"/>
        </w:trPr>
        <w:tc>
          <w:tcPr>
            <w:tcW w:w="25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Deconsolidation of previously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71"/>
        </w:trPr>
        <w:tc>
          <w:tcPr>
            <w:tcW w:w="2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controlled subsidiary</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7,108</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7,108</w:t>
            </w:r>
          </w:p>
        </w:tc>
        <w:tc>
          <w:tcPr>
            <w:tcW w:w="0" w:type="dxa"/>
            <w:vAlign w:val="bottom"/>
          </w:tcPr>
          <w:p>
            <w:pPr>
              <w:spacing w:after="0"/>
              <w:rPr>
                <w:sz w:val="1"/>
                <w:szCs w:val="1"/>
                <w:color w:val="auto"/>
              </w:rPr>
            </w:pPr>
          </w:p>
        </w:tc>
      </w:tr>
      <w:tr>
        <w:trPr>
          <w:trHeight w:val="142"/>
        </w:trPr>
        <w:tc>
          <w:tcPr>
            <w:tcW w:w="2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28, 2023</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25,264,025</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$ 295,070</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$ 331,494</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4"/>
                <w:szCs w:val="14"/>
                <w:color w:val="auto"/>
              </w:rPr>
              <w:t>(5,055)$</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621,513</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621,513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90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8"/>
                <w:szCs w:val="18"/>
                <w:color w:val="auto"/>
              </w:rPr>
            </w:pPr>
          </w:p>
        </w:tc>
        <w:tc>
          <w:tcPr>
            <w:tcW w:w="5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7"/>
                <w:szCs w:val="17"/>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6"/>
              </w:rPr>
              <w:t>ComprehensiveAeroVironment, Inc.Controlling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7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7"/>
                <w:szCs w:val="17"/>
                <w:color w:val="auto"/>
              </w:rPr>
            </w:pPr>
          </w:p>
        </w:tc>
        <w:tc>
          <w:tcPr>
            <w:tcW w:w="1080" w:type="dxa"/>
            <w:vAlign w:val="bottom"/>
            <w:gridSpan w:val="2"/>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90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7"/>
                <w:szCs w:val="17"/>
                <w:color w:val="auto"/>
              </w:rPr>
            </w:pPr>
          </w:p>
        </w:tc>
        <w:tc>
          <w:tcPr>
            <w:tcW w:w="5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April 30, 2021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24,777,295</w:t>
            </w:r>
          </w:p>
        </w:tc>
        <w:tc>
          <w:tcPr>
            <w:tcW w:w="3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$ 260,327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$ 351,421</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343 $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612,107</w:t>
            </w: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(11,397)</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(3,771)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2,777</w:t>
            </w: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(11,941)</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171"/>
        </w:trPr>
        <w:tc>
          <w:tcPr>
            <w:tcW w:w="2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share settlement of equity awards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non-controlling interest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3,957</w:t>
            </w: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29, 2022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24,915,105</w:t>
            </w:r>
          </w:p>
        </w:tc>
        <w:tc>
          <w:tcPr>
            <w:tcW w:w="3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$ 265,885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$ 339,975</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(3,434)$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602,715</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January 28, 2023 and January 29, 2022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8"/>
        </w:trPr>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34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8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80" w:type="dxa"/>
            <w:vAlign w:val="bottom"/>
          </w:tcPr>
          <w:p>
            <w:pPr>
              <w:spacing w:after="0"/>
              <w:rPr>
                <w:sz w:val="12"/>
                <w:szCs w:val="12"/>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5"/>
        </w:trPr>
        <w:tc>
          <w:tcPr>
            <w:tcW w:w="2500" w:type="dxa"/>
            <w:vAlign w:val="bottom"/>
          </w:tcPr>
          <w:p>
            <w:pPr>
              <w:spacing w:after="0"/>
              <w:rPr>
                <w:sz w:val="13"/>
                <w:szCs w:val="13"/>
                <w:color w:val="auto"/>
              </w:rPr>
            </w:pPr>
          </w:p>
        </w:tc>
        <w:tc>
          <w:tcPr>
            <w:tcW w:w="11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6"/>
              </w:rPr>
              <w:t>ComprehensiveAeroVironment, Inc.Controlling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28"/>
        </w:trPr>
        <w:tc>
          <w:tcPr>
            <w:tcW w:w="2500" w:type="dxa"/>
            <w:vAlign w:val="bottom"/>
          </w:tcPr>
          <w:p>
            <w:pPr>
              <w:spacing w:after="0"/>
              <w:rPr>
                <w:sz w:val="11"/>
                <w:szCs w:val="11"/>
                <w:color w:val="auto"/>
              </w:rPr>
            </w:pPr>
          </w:p>
        </w:tc>
        <w:tc>
          <w:tcPr>
            <w:tcW w:w="740" w:type="dxa"/>
            <w:vAlign w:val="bottom"/>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1100" w:type="dxa"/>
            <w:vAlign w:val="bottom"/>
            <w:gridSpan w:val="2"/>
          </w:tcPr>
          <w:p>
            <w:pPr>
              <w:jc w:val="center"/>
              <w:ind w:right="189"/>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 Income</w:t>
            </w:r>
          </w:p>
        </w:tc>
        <w:tc>
          <w:tcPr>
            <w:tcW w:w="880" w:type="dxa"/>
            <w:vAlign w:val="bottom"/>
          </w:tcPr>
          <w:p>
            <w:pPr>
              <w:jc w:val="center"/>
              <w:ind w:right="19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540" w:type="dxa"/>
            <w:vAlign w:val="bottom"/>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5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29,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25,157,618</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$ 283,789</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$ 332,170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(8,480) $</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607,483</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607,483</w:t>
            </w:r>
          </w:p>
        </w:tc>
      </w:tr>
      <w:tr>
        <w:trPr>
          <w:trHeight w:val="149"/>
        </w:trPr>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3,425</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3,425</w:t>
            </w:r>
          </w:p>
        </w:tc>
      </w:tr>
      <w:tr>
        <w:trPr>
          <w:trHeight w:val="148"/>
        </w:trPr>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96,530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8,389</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8,389</w:t>
            </w:r>
          </w:p>
        </w:tc>
      </w:tr>
      <w:tr>
        <w:trPr>
          <w:trHeight w:val="149"/>
        </w:trPr>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w:t>
            </w:r>
          </w:p>
        </w:tc>
      </w:tr>
      <w:tr>
        <w:trPr>
          <w:trHeight w:val="142"/>
        </w:trPr>
        <w:tc>
          <w:tcPr>
            <w:tcW w:w="25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28, 2023</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25,264,025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$ 295,070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$ 331,494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109"/>
              <w:spacing w:after="0" w:line="142" w:lineRule="exact"/>
              <w:rPr>
                <w:sz w:val="20"/>
                <w:szCs w:val="20"/>
                <w:color w:val="auto"/>
              </w:rPr>
            </w:pPr>
            <w:r>
              <w:rPr>
                <w:rFonts w:ascii="Times New Roman" w:cs="Times New Roman" w:eastAsia="Times New Roman" w:hAnsi="Times New Roman"/>
                <w:sz w:val="14"/>
                <w:szCs w:val="14"/>
                <w:color w:val="auto"/>
              </w:rPr>
              <w:t>(5,055)$</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621,513</w:t>
            </w: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621,513</w:t>
            </w:r>
          </w:p>
        </w:tc>
      </w:tr>
      <w:tr>
        <w:trPr>
          <w:trHeight w:val="20"/>
        </w:trPr>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2"/>
        </w:trPr>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8"/>
        </w:trPr>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34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8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80" w:type="dxa"/>
            <w:vAlign w:val="bottom"/>
          </w:tcPr>
          <w:p>
            <w:pPr>
              <w:spacing w:after="0"/>
              <w:rPr>
                <w:sz w:val="12"/>
                <w:szCs w:val="12"/>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5"/>
        </w:trPr>
        <w:tc>
          <w:tcPr>
            <w:tcW w:w="2500" w:type="dxa"/>
            <w:vAlign w:val="bottom"/>
          </w:tcPr>
          <w:p>
            <w:pPr>
              <w:spacing w:after="0"/>
              <w:rPr>
                <w:sz w:val="13"/>
                <w:szCs w:val="13"/>
                <w:color w:val="auto"/>
              </w:rPr>
            </w:pPr>
          </w:p>
        </w:tc>
        <w:tc>
          <w:tcPr>
            <w:tcW w:w="11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6"/>
              </w:rPr>
              <w:t>ComprehensiveAeroVironment, Inc.Controlling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28"/>
        </w:trPr>
        <w:tc>
          <w:tcPr>
            <w:tcW w:w="2500" w:type="dxa"/>
            <w:vAlign w:val="bottom"/>
          </w:tcPr>
          <w:p>
            <w:pPr>
              <w:spacing w:after="0"/>
              <w:rPr>
                <w:sz w:val="11"/>
                <w:szCs w:val="11"/>
                <w:color w:val="auto"/>
              </w:rPr>
            </w:pPr>
          </w:p>
        </w:tc>
        <w:tc>
          <w:tcPr>
            <w:tcW w:w="740" w:type="dxa"/>
            <w:vAlign w:val="bottom"/>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1100" w:type="dxa"/>
            <w:vAlign w:val="bottom"/>
            <w:gridSpan w:val="2"/>
          </w:tcPr>
          <w:p>
            <w:pPr>
              <w:jc w:val="center"/>
              <w:ind w:right="189"/>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 Income</w:t>
            </w:r>
          </w:p>
        </w:tc>
        <w:tc>
          <w:tcPr>
            <w:tcW w:w="880" w:type="dxa"/>
            <w:vAlign w:val="bottom"/>
          </w:tcPr>
          <w:p>
            <w:pPr>
              <w:jc w:val="center"/>
              <w:ind w:right="19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540" w:type="dxa"/>
            <w:vAlign w:val="bottom"/>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5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24,805,829</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261,612</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339,965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189"/>
              <w:spacing w:after="0" w:line="142" w:lineRule="exact"/>
              <w:rPr>
                <w:sz w:val="20"/>
                <w:szCs w:val="20"/>
                <w:color w:val="auto"/>
              </w:rPr>
            </w:pPr>
            <w:r>
              <w:rPr>
                <w:rFonts w:ascii="Times New Roman" w:cs="Times New Roman" w:eastAsia="Times New Roman" w:hAnsi="Times New Roman"/>
                <w:sz w:val="14"/>
                <w:szCs w:val="14"/>
                <w:color w:val="auto"/>
              </w:rPr>
              <w:t>(1,677)</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599,902</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600,234</w:t>
            </w:r>
          </w:p>
        </w:tc>
      </w:tr>
      <w:tr>
        <w:trPr>
          <w:trHeight w:val="148"/>
        </w:trPr>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9"/>
        </w:trPr>
        <w:tc>
          <w:tcPr>
            <w:tcW w:w="25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89"/>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110,362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2,657</w:t>
            </w:r>
          </w:p>
        </w:tc>
      </w:tr>
      <w:tr>
        <w:trPr>
          <w:trHeight w:val="148"/>
        </w:trPr>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5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5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w:t>
            </w:r>
          </w:p>
        </w:tc>
      </w:tr>
      <w:tr>
        <w:trPr>
          <w:trHeight w:val="142"/>
        </w:trPr>
        <w:tc>
          <w:tcPr>
            <w:tcW w:w="25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29, 2022</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24,915,105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$ 265,885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$ 339,975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109"/>
              <w:spacing w:after="0" w:line="142" w:lineRule="exact"/>
              <w:rPr>
                <w:sz w:val="20"/>
                <w:szCs w:val="20"/>
                <w:color w:val="auto"/>
              </w:rPr>
            </w:pPr>
            <w:r>
              <w:rPr>
                <w:rFonts w:ascii="Times New Roman" w:cs="Times New Roman" w:eastAsia="Times New Roman" w:hAnsi="Times New Roman"/>
                <w:sz w:val="14"/>
                <w:szCs w:val="14"/>
                <w:color w:val="auto"/>
              </w:rPr>
              <w:t>(3,434)$</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602,428</w:t>
            </w: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602,715</w:t>
            </w:r>
          </w:p>
        </w:tc>
      </w:tr>
      <w:tr>
        <w:trPr>
          <w:trHeight w:val="20"/>
        </w:trPr>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(15,694)</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(11,397)</w:t>
            </w:r>
          </w:p>
        </w:tc>
        <w:tc>
          <w:tcPr>
            <w:tcW w:w="0" w:type="dxa"/>
            <w:vAlign w:val="bottom"/>
          </w:tcPr>
          <w:p>
            <w:pPr>
              <w:spacing w:after="0"/>
              <w:rPr>
                <w:sz w:val="1"/>
                <w:szCs w:val="1"/>
                <w:color w:val="auto"/>
              </w:rPr>
            </w:pPr>
          </w:p>
        </w:tc>
      </w:tr>
      <w:tr>
        <w:trPr>
          <w:trHeight w:val="126"/>
        </w:trPr>
        <w:tc>
          <w:tcPr>
            <w:tcW w:w="5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from operations to cash provided by (used in) operating</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activities: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48,109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47,437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(income) from equity method investments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deconsolidation of previously controlled subsidiary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foreign currency transactions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equity securities, net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securities discount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(5,098)</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(25,597)</w:t>
            </w: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(39,324)</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(21,590)</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(9,388)</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(26,208)</w:t>
            </w: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(3,114)</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(10,720)</w:t>
            </w: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(11,807)</w:t>
            </w: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8,801</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(23,176)</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(10,116)</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(17,064)</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method investments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(2,774)</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(6,884)</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security investments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(5,100)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(5,105)</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(46,150)</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deconsolidation of previously controlled subsidiary, net of cash deconsolidated</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Redemptions of available-for-sale investments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25,945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35,851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889</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(37,009)</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(22,500)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Holdback and retention payments for business acquisition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(5,991)</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issued, net of issuance costs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(2,402)</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(11,914)</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7,983</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(72,712)</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77,231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157,063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85,214</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84,351</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3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3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on available-for-sale investments, net of deferred tax expense of $0 and $1</w:t>
            </w:r>
          </w:p>
        </w:tc>
        <w:tc>
          <w:tcPr>
            <w:tcW w:w="34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the nine months ended January 28, 2023 and January 29, 2022, respectively</w:t>
            </w:r>
          </w:p>
        </w:tc>
        <w:tc>
          <w:tcPr>
            <w:tcW w:w="340" w:type="dxa"/>
            <w:vAlign w:val="bottom"/>
            <w:gridSpan w:val="2"/>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3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(3,771)</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Issuances of inventory to property and equipment, ISR in-service assets</w:t>
            </w:r>
          </w:p>
        </w:tc>
        <w:tc>
          <w:tcPr>
            <w:tcW w:w="3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40" w:right="479"/>
        <w:spacing w:after="0" w:line="258" w:lineRule="auto"/>
        <w:rPr>
          <w:sz w:val="20"/>
          <w:szCs w:val="20"/>
          <w:color w:val="auto"/>
        </w:rPr>
      </w:pPr>
      <w:r>
        <w:rPr>
          <w:rFonts w:ascii="Times New Roman" w:cs="Times New Roman" w:eastAsia="Times New Roman" w:hAnsi="Times New Roman"/>
          <w:sz w:val="18"/>
          <w:szCs w:val="18"/>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unmanned ground vehicles (“UGV”) and related services primarily to organizations within the U.S. Department of Defense (“DoD”) and to international allied governments.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nine months ended January 28, 2023 are not necessarily indicative of the results for the full year ending April 30, 2023. For further information, refer to the consolidated financial statements and footnotes thereto for the year ended April 30, 2022, included in the Company’s Annual Report on Form 10-K.</w:t>
      </w:r>
    </w:p>
    <w:p>
      <w:pPr>
        <w:spacing w:after="0" w:line="188"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spacing w:after="0" w:line="180"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assets, liabilities and operating results of wholly-owned subsidiaries. All intercompany accounts and transactions have been eliminated.</w:t>
      </w:r>
    </w:p>
    <w:p>
      <w:pPr>
        <w:spacing w:after="0" w:line="133" w:lineRule="exact"/>
        <w:rPr>
          <w:sz w:val="20"/>
          <w:szCs w:val="20"/>
          <w:color w:val="auto"/>
        </w:rPr>
      </w:pPr>
    </w:p>
    <w:p>
      <w:pPr>
        <w:ind w:left="40" w:right="59"/>
        <w:spacing w:after="0" w:line="221" w:lineRule="exact"/>
        <w:rPr>
          <w:sz w:val="20"/>
          <w:szCs w:val="20"/>
          <w:color w:val="auto"/>
        </w:rPr>
      </w:pPr>
      <w:r>
        <w:rPr>
          <w:rFonts w:ascii="Times New Roman" w:cs="Times New Roman" w:eastAsia="Times New Roman" w:hAnsi="Times New Roman"/>
          <w:sz w:val="18"/>
          <w:szCs w:val="18"/>
          <w:color w:val="auto"/>
        </w:rPr>
        <w:t>On May 3, 2021, the Company closed its acquisition of Telerob Gesellschaft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Fernhantierungstechnik mbH, a German company based in Ostfildern (near Stuttgart), Germany (“Telerob GmbH”), including Telerob GmbH’s wholly-owned subsidiary, Telerob USA, Inc. (“Telerob USA,” and collectively with Telerob GmbH, “Telerob”) pursuant to its previously announced Share Purchase Agreement (the “Telerob Purchase Agreement”) with Unmanned Systems Investments GmbH, a German limited liability company incorporated under the laws of Germany (the “Telerob Seller”), and each of the unit holders of the Seller, to purchase 100% of the issued and outstanding shares of Telerob Seller’s wholly-owned subsidiary Telerob GmbH (the “Telerob Acquisition”). The assets, liabilities and operating results of Telerob GmbH have been included in the Company’s unaudited condensed consolidated financial statements. Telerob USA was subsequently dissolved. Refer to Note 18—Business Acquisitions for further details.</w:t>
      </w:r>
    </w:p>
    <w:p>
      <w:pPr>
        <w:spacing w:after="0" w:line="202"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Savunma Sanayi ve Havacilik Anonim Sirketi (“Toygun”) whereby the Company sold 35% of the common shares of the Company’s Turkish joint venture, Altoy Savunma Sanayi ve Havacilik Anonim Sirketi (“Altoy”), to Toygun. On October 14, 2022, the Company sold an additional 35% of the common shares of Altoy to Toygun. As a result of the share sales, the Company decreased its interest in Altoy from 85% to 15% and has determined that it no longer controls Altoy. Therefore, the Company no longer consolidates Altoy in the Company’s unaudited condensed consolidated financial statements. As the Company has the ability to exercise significant influence over the operating and financial policies of Altoy, the Company accounts for the investment as an equity method investment and records its proportion of any gains or losses of Altoy in equity method investments, net of tax. Refer to Note 6—Equity Method Investments for further details.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On August 17, 2022, the Company closed its acquisition of Planck Aerosystems, Inc. (“Planck”) pursuant to the purchase agreement, and post-acquisition, Planck has been incorporated into the medium UAS (“MUAS”) segment. The assets, liabilities and operating results of Planck have been included in the Company’s unaudited condensed consolidated financial statements. Refer to Note 18—Business Acquisitions for further details.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issued Accounting Standard Update (“ASU”) 2021-08, Business Combinations (Topic 805): </w:t>
      </w:r>
      <w:r>
        <w:rPr>
          <w:rFonts w:ascii="Times New Roman" w:cs="Times New Roman" w:eastAsia="Times New Roman" w:hAnsi="Times New Roman"/>
          <w:sz w:val="18"/>
          <w:szCs w:val="18"/>
          <w:i w:val="1"/>
          <w:iCs w:val="1"/>
          <w:color w:val="auto"/>
        </w:rPr>
        <w:t>Accounting for Contract Assets and Contract Liabilities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(“ASU 2021-08”). ASU 2021-08 requires an acquirer to apply the guidance in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recognize and measure contract assets and contract liabilities in a business combination, rather than using fair value. On May 1, 2022, the Company early adopted ASU 2021-08. ASU 2021-08 is adopted prospectively and did not have a material impact on our unaudited condensed consolidated financial statements.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(“CPFF”), or time and materials (“T&amp;M”). The Company considers all such contracts to be within the scope of ASC 606.</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88"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62"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revenue from intelligence, surveillance, and reconnaissance (“ISR”) services, is recognized over time as services are rendered. In accordance with ASC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0"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The Company’s small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83"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Performance obligations satisfied over time accounted for 45% and 54% of revenue during the three and nine months ended January 28, 2023, respectively. Performance obligations satisfied over time accounted for 66% and 58% of revenue during the three and nine months ended January 29, 2022, respectively. Performance obligations satisfied at a point in time accounted for 55% and 46% of revenue during the three and nine months ended January 28, 2023, respectively. Performance obligations satisfied at a point in time accounted for 34% and 42% of revenue during the three and nine months ended January 29, 2022, respectively.</w:t>
      </w:r>
    </w:p>
    <w:p>
      <w:pPr>
        <w:spacing w:after="0" w:line="241"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On January 28, 2023, the Company had approximately $413,890,000 of remaining performance obligations under fully funded contracts with its customers, which the Company also refers to as funded backlog. The Company currently expects to recognize approximately 40% of the remaining performance obligations as revenue in fiscal 2023 and the remaining 60% in fiscal 2024.</w:t>
      </w:r>
    </w:p>
    <w:p>
      <w:pPr>
        <w:spacing w:after="0" w:line="180"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Company collects sales, value added, and other taxes concurrent with revenue producing activities, which are excluded from revenue when they are both imposed on a specific transaction and collected from a customer.</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29" w:lineRule="exact"/>
        <w:rPr>
          <w:sz w:val="20"/>
          <w:szCs w:val="20"/>
          <w:color w:val="auto"/>
        </w:rPr>
      </w:pPr>
    </w:p>
    <w:p>
      <w:pPr>
        <w:ind w:left="40" w:right="199"/>
        <w:spacing w:after="0" w:line="273" w:lineRule="auto"/>
        <w:rPr>
          <w:sz w:val="20"/>
          <w:szCs w:val="20"/>
          <w:color w:val="auto"/>
        </w:rPr>
      </w:pPr>
      <w:r>
        <w:rPr>
          <w:rFonts w:ascii="Times New Roman" w:cs="Times New Roman" w:eastAsia="Times New Roman" w:hAnsi="Times New Roman"/>
          <w:sz w:val="17"/>
          <w:szCs w:val="17"/>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left="40" w:right="219"/>
        <w:spacing w:after="0" w:line="289" w:lineRule="auto"/>
        <w:rPr>
          <w:sz w:val="20"/>
          <w:szCs w:val="20"/>
          <w:color w:val="auto"/>
        </w:rPr>
      </w:pPr>
      <w:r>
        <w:rPr>
          <w:rFonts w:ascii="Times New Roman" w:cs="Times New Roman" w:eastAsia="Times New Roman" w:hAnsi="Times New Roman"/>
          <w:sz w:val="17"/>
          <w:szCs w:val="17"/>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58"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gives rise to several types of variable consideration, including undefinitized contract actions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92" w:lineRule="exact"/>
        <w:rPr>
          <w:sz w:val="20"/>
          <w:szCs w:val="20"/>
          <w:color w:val="auto"/>
        </w:rPr>
      </w:pPr>
    </w:p>
    <w:p>
      <w:pPr>
        <w:ind w:left="40" w:right="379"/>
        <w:spacing w:after="0" w:line="312" w:lineRule="auto"/>
        <w:rPr>
          <w:sz w:val="20"/>
          <w:szCs w:val="20"/>
          <w:color w:val="auto"/>
        </w:rPr>
      </w:pPr>
      <w:r>
        <w:rPr>
          <w:rFonts w:ascii="Times New Roman" w:cs="Times New Roman" w:eastAsia="Times New Roman" w:hAnsi="Times New Roman"/>
          <w:sz w:val="17"/>
          <w:szCs w:val="17"/>
          <w:color w:val="auto"/>
        </w:rPr>
        <w:t>As a significant change in one or more of these estimates could affect the profitability of the Company’s contracts, the Company regularly reviews and updates its contract-related estimates. Changes in cumulative revenue estimates, due to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40"/>
        <w:spacing w:after="0" w:line="256" w:lineRule="auto"/>
        <w:rPr>
          <w:sz w:val="20"/>
          <w:szCs w:val="20"/>
          <w:color w:val="auto"/>
        </w:rPr>
      </w:pPr>
      <w:r>
        <w:rPr>
          <w:rFonts w:ascii="Times New Roman" w:cs="Times New Roman" w:eastAsia="Times New Roman" w:hAnsi="Times New Roman"/>
          <w:sz w:val="18"/>
          <w:szCs w:val="18"/>
          <w:color w:val="auto"/>
        </w:rPr>
        <w:t>changes in the estimated transaction price or cost estimates, are recorded using a cumulative catch-up adjustment in the period identified for contracts with performance obligations recognized over time. Changes in cumulative revenue estimates due to changes in the estimated transaction price are recorded using a cumulative catch-up adjustment in the period identified for contracts with performance obligations at a point in time, including undefinitized contract actions. In the period undefinitized contract actions become definitized, a cumulative catch-up adjustment is recorded to reflect the final consideration, which could have a material positive or negative impact.</w:t>
      </w:r>
    </w:p>
    <w:p>
      <w:pPr>
        <w:spacing w:after="0" w:line="187" w:lineRule="exact"/>
        <w:rPr>
          <w:sz w:val="20"/>
          <w:szCs w:val="20"/>
          <w:color w:val="auto"/>
        </w:rPr>
      </w:pPr>
    </w:p>
    <w:p>
      <w:pPr>
        <w:ind w:left="40" w:right="80"/>
        <w:spacing w:after="0" w:line="254" w:lineRule="auto"/>
        <w:rPr>
          <w:sz w:val="20"/>
          <w:szCs w:val="20"/>
          <w:color w:val="auto"/>
        </w:rPr>
      </w:pPr>
      <w:r>
        <w:rPr>
          <w:rFonts w:ascii="Times New Roman" w:cs="Times New Roman" w:eastAsia="Times New Roman" w:hAnsi="Times New Roman"/>
          <w:sz w:val="18"/>
          <w:szCs w:val="18"/>
          <w:color w:val="auto"/>
        </w:rPr>
        <w:t>If at any time the estimate of contract profitability indicates an anticipated loss on the contract, the Company recognizes the total loss in the quarter it is identified, and it is recorded in other current liabilities. The balance of forward loss reserves as of January 28, 2023 and April 30, 2022 was $1,561,000 and $1,064,000, respectively. The Company recorded the forward loss reserves as the total estimated costs to complete the contracts are in excess of the total remaining consideration of the contracts. During the three months ended January 28, 2023, the Company recognized a decrease in the forward loss reserves on two MUAS ISR contracts for $2,424,000 due to decreases in the estimated costs to complete the contract and an increase in the forward loss reserve of an MUAS products contract for $1,593,000 due to increases in the estimated costs to complete the contract. No adjustment on the forward loss reserve for any one contract was material to the Company’s unaudited condensed consolidated financial statements for the nine month period ended January 28, 2023.</w:t>
      </w:r>
    </w:p>
    <w:p>
      <w:pPr>
        <w:spacing w:after="0" w:line="188" w:lineRule="exact"/>
        <w:rPr>
          <w:sz w:val="20"/>
          <w:szCs w:val="20"/>
          <w:color w:val="auto"/>
        </w:rPr>
      </w:pPr>
    </w:p>
    <w:p>
      <w:pPr>
        <w:ind w:left="40" w:right="180"/>
        <w:spacing w:after="0" w:line="253" w:lineRule="auto"/>
        <w:rPr>
          <w:sz w:val="20"/>
          <w:szCs w:val="20"/>
          <w:color w:val="auto"/>
        </w:rPr>
      </w:pPr>
      <w:r>
        <w:rPr>
          <w:rFonts w:ascii="Times New Roman" w:cs="Times New Roman" w:eastAsia="Times New Roman" w:hAnsi="Times New Roman"/>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or nine month periods ended January 28, 2023 nor the three or nine month periods ended January 29, 2022. No adjustment on any one contract was material to the Company’s unaudited condensed consolidated financial statements for the three month period ended January 28, 2023. During the nine months ended January 28, 2023, the Company revised its estimates of the total expected costs to complete two TMS variant contracts. The aggregate impact of these adjustments in contract estimates on revenue related to performance obligations satisfied or partially satisfied in previous periods was a decrease to revenue of approximately $2,448,000. No adjustment on any one contract was material to the Company’s unaudited condensed consolidated financial statements for the three or nine month periods ended January 29, 2022.</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ind w:left="40" w:right="1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major product line,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60" w:type="dxa"/>
            <w:vAlign w:val="bottom"/>
            <w:vMerge w:val="continue"/>
          </w:tcPr>
          <w:p>
            <w:pPr>
              <w:spacing w:after="0"/>
              <w:rPr>
                <w:sz w:val="15"/>
                <w:szCs w:val="15"/>
                <w:color w:val="auto"/>
              </w:rPr>
            </w:pPr>
          </w:p>
        </w:tc>
        <w:tc>
          <w:tcPr>
            <w:tcW w:w="3060" w:type="dxa"/>
            <w:vAlign w:val="bottom"/>
            <w:gridSpan w:val="3"/>
          </w:tcPr>
          <w:p>
            <w:pPr>
              <w:jc w:val="center"/>
              <w:ind w:left="22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860" w:type="dxa"/>
            <w:vAlign w:val="bottom"/>
            <w:gridSpan w:val="3"/>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80" w:type="dxa"/>
            <w:vAlign w:val="bottom"/>
            <w:gridSpan w:val="3"/>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UAS</w:t>
            </w:r>
          </w:p>
        </w:tc>
        <w:tc>
          <w:tcPr>
            <w:tcW w:w="2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69,376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$ 24,366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$ 139,313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$ 119,004</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TMS</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78,127</w:t>
            </w:r>
          </w:p>
        </w:tc>
        <w:tc>
          <w:tcPr>
            <w:tcW w:w="2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56,197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MUAS</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HAPS</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2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30,237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46,888</w:t>
            </w:r>
          </w:p>
        </w:tc>
        <w:tc>
          <w:tcPr>
            <w:tcW w:w="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$ 134,395</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$ 90,093</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$ 354,495</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$ 313,110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2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860" w:type="dxa"/>
            <w:vAlign w:val="bottom"/>
            <w:tcBorders>
              <w:top w:val="single" w:sz="8" w:color="auto"/>
            </w:tcBorders>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60" w:type="dxa"/>
            <w:vAlign w:val="bottom"/>
            <w:vMerge w:val="continue"/>
          </w:tcPr>
          <w:p>
            <w:pPr>
              <w:spacing w:after="0"/>
              <w:rPr>
                <w:sz w:val="15"/>
                <w:szCs w:val="15"/>
                <w:color w:val="auto"/>
              </w:rPr>
            </w:pPr>
          </w:p>
        </w:tc>
        <w:tc>
          <w:tcPr>
            <w:tcW w:w="3060" w:type="dxa"/>
            <w:vAlign w:val="bottom"/>
            <w:gridSpan w:val="3"/>
          </w:tcPr>
          <w:p>
            <w:pPr>
              <w:jc w:val="center"/>
              <w:ind w:left="21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860" w:type="dxa"/>
            <w:vAlign w:val="bottom"/>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80" w:type="dxa"/>
            <w:vAlign w:val="bottom"/>
            <w:gridSpan w:val="3"/>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2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$ 109,119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$ 66,639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$ 275,184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$ 245,798</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CPFF</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24,115</w:t>
            </w: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75,583</w:t>
            </w: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62,499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$ 134,395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$ 90,093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$ 354,495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$ 313,110</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80" w:type="dxa"/>
            <w:vAlign w:val="bottom"/>
            <w:vMerge w:val="restart"/>
          </w:tcPr>
          <w:p>
            <w:pPr>
              <w:jc w:val="right"/>
              <w:ind w:right="794"/>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1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3" w:right="1419"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60"/>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1500" w:type="dxa"/>
            <w:vAlign w:val="bottom"/>
          </w:tcPr>
          <w:p>
            <w:pPr>
              <w:spacing w:after="0"/>
              <w:rPr>
                <w:sz w:val="15"/>
                <w:szCs w:val="15"/>
                <w:color w:val="auto"/>
              </w:rPr>
            </w:pPr>
          </w:p>
        </w:tc>
        <w:tc>
          <w:tcPr>
            <w:tcW w:w="7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880" w:type="dxa"/>
            <w:vAlign w:val="bottom"/>
            <w:tcBorders>
              <w:top w:val="single" w:sz="8" w:color="auto"/>
            </w:tcBorders>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16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$ 60,956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$ 226,191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$ 204,107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$ 134,395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$ 354,495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$ 313,110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396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880" w:type="dxa"/>
            <w:vAlign w:val="bottom"/>
            <w:tcBorders>
              <w:top w:val="single" w:sz="8" w:color="auto"/>
            </w:tcBorders>
            <w:gridSpan w:val="2"/>
            <w:shd w:val="clear" w:color="auto" w:fill="CCEEFF"/>
          </w:tcPr>
          <w:p>
            <w:pPr>
              <w:jc w:val="center"/>
              <w:ind w:left="82"/>
              <w:spacing w:after="0" w:line="142"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$ 56,480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$ 174,135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$ 193,531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$ 134,395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$ 354,495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$ 313,110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40" w:right="120"/>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customer advances and deposits on the condensed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condensed consolidated balance sheet. However, the Company sometimes receives advances or deposits from its customers before revenue is recognized, resulting in contract liabilities recorded in customer advances on the condensed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condensed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nine month period ended January 28, 2023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96" w:lineRule="exact"/>
        <w:rPr>
          <w:sz w:val="20"/>
          <w:szCs w:val="20"/>
          <w:color w:val="auto"/>
        </w:rPr>
      </w:pPr>
    </w:p>
    <w:p>
      <w:pPr>
        <w:ind w:left="40" w:right="180"/>
        <w:spacing w:after="0" w:line="261" w:lineRule="auto"/>
        <w:rPr>
          <w:sz w:val="20"/>
          <w:szCs w:val="20"/>
          <w:color w:val="auto"/>
        </w:rPr>
      </w:pPr>
      <w:r>
        <w:rPr>
          <w:rFonts w:ascii="Times New Roman" w:cs="Times New Roman" w:eastAsia="Times New Roman" w:hAnsi="Times New Roman"/>
          <w:sz w:val="18"/>
          <w:szCs w:val="18"/>
          <w:color w:val="auto"/>
        </w:rPr>
        <w:t>Revenue recognized for the three and nine month periods ended January 28, 2023 that was included in contract liability balances as of April 30, 2022 was $369,000 and $3,374,000, respectively, and revenue recognized for the three and nine month periods ended January 29, 2022 that was included in contract liability balances as of April 30, 2021 was $1,521,000 and $2,409,000, respectively.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40" w:right="160"/>
        <w:spacing w:after="0" w:line="277"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financial information is available that is evaluated regularly by the Chief Operating Decision Maker (“CODM”) in deciding how to allocate resources and assess performance. As of January 28, 2023, the Company’s CODM, the Chief Executive Officer, makes operating decisions, assesses performance and makes resource allocation decisions, including the allocation for research and development (“R&amp;D”). Accordingly, the Company identifies four reportable segments. Refer to Note 20—Segments for further details.</w:t>
      </w: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The Company classifies cash accounts which are not available for general use as restricted cash. During the three months ended January 28, 2023, Telerob received a restricted customer advance. The restricted funds are maintained in a separate account and are recorded in other assets on the unaudited condensed consolidated balance sheet. As of January 28, 2023 and April 30, 2022 restricted cash was €6,385,000 ($6,938,000) and €0 ($0), respectively.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ind w:left="40" w:right="239"/>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(expense) income, net. Management determines the appropriate classification of securities at the time of purchase and reevaluates such designation as of each balance sheet date.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1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and retentions, and accounts payable approximate cost due to the short period of time to maturity.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16"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3" w:lineRule="exact"/>
        <w:rPr>
          <w:sz w:val="20"/>
          <w:szCs w:val="20"/>
          <w:color w:val="auto"/>
        </w:rPr>
      </w:pPr>
    </w:p>
    <w:p>
      <w:pPr>
        <w:ind w:left="40" w:right="319"/>
        <w:spacing w:after="0" w:line="272" w:lineRule="auto"/>
        <w:rPr>
          <w:sz w:val="20"/>
          <w:szCs w:val="20"/>
          <w:color w:val="auto"/>
        </w:rPr>
      </w:pPr>
      <w:r>
        <w:rPr>
          <w:rFonts w:ascii="Times New Roman" w:cs="Times New Roman" w:eastAsia="Times New Roman" w:hAnsi="Times New Roman"/>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January 28, 2023 and April 30, 2022, the Company had no reserve for incurred cost claim audits.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Basic (loss) earnings per share is computed using the weighted-average number of common shares outstanding, excluding shares of unvested restricted stock.</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reconciliation of basic to diluted shares is as follows (in thousands except share data):</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attributable to AeroVironment, Inc.</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vMerge w:val="continue"/>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(15,739)</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 for basic (loss) earnings per share: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25,012,412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24,710,991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24,906,977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24,657,846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 restricted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and restricted stock units</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diluted (loss) earnings per share</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25,012,412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24,879,643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24,906,977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24,657,846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Due to the net loss for the three and nine months ended January 28, 2023,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145,793 and 152,047 for the three and nine months ended January 28, 2023, respectively. Potentially dilutive shares not included in the computation of diluted weighted-average common shares because their effect would have been anti-dilutive were 20,554 for the three months ended January 29, 2022. Due to the net loss for the nine months ended January 29, 2022,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237,909 for the nine months ended January 29, 2022.</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 recently issued accounting standards are expected to impact the Company.</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ind w:left="40" w:right="359"/>
        <w:spacing w:after="0" w:line="266" w:lineRule="auto"/>
        <w:rPr>
          <w:sz w:val="20"/>
          <w:szCs w:val="20"/>
          <w:color w:val="auto"/>
        </w:rPr>
      </w:pPr>
      <w:r>
        <w:rPr>
          <w:rFonts w:ascii="Times New Roman" w:cs="Times New Roman" w:eastAsia="Times New Roman" w:hAnsi="Times New Roman"/>
          <w:sz w:val="18"/>
          <w:szCs w:val="18"/>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w:t>
      </w:r>
    </w:p>
    <w:p>
      <w:pPr>
        <w:spacing w:after="0" w:line="176"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On February 22, 2019, Webasto filed a lawsuit, which was amended in April 2019, alleging several claims against the Company for breach of contract, indemnity, and bad faith, including allegations regarding inaccuracy of certain diligence disclosures and failure to provide certain consents to contract assignments, and related to a previously announced product recall. Webasto sought to recover the costs of the recall and other damages totaling a minimum of $6,500,000 in addition to attorneys’ fees, costs, and punitive damages. On August 16, 2019, the Company filed a counterclaim against Webasto seeking payment of $6,500,000 in additional cash consideration due under the Purchase Agreement (the “Holdback”) and declaratory relief regarding Webasto’s cancellation of an assigned contract. Webasto again amended the complaint in May 2021 to include additional claims. On June 2, 2021, the Company filed an answer to Webasto’s second amended complaint filed in May 2021.</w:t>
      </w:r>
    </w:p>
    <w:p>
      <w:pPr>
        <w:spacing w:after="0" w:line="188"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8"/>
          <w:szCs w:val="18"/>
          <w:color w:val="auto"/>
        </w:rPr>
        <w:t>In order to avoid the future cost, expense, and distraction of continued litigation, the Company engaged in settlement negotiations with Webasto in May 2021. While the negotiations did not result in a settlement of any of the Company’s or Webasto’s claims at such time, as a result of the settlement negotiations, the Company established a litigation reserve, which reflected the scope of a rejected offer intended to communicate the Company’s serious and good faith intention to attempt to reach a settlement for the stated purposes. The offer did not reflect the Company’s view of the merits of the claims made; however, as a result of the preparation of the good faith offer and the Company’s willingness to pursue settlement for that amount, the Company recorded litigation reserve expenses in the amount of $9,300,000 during the year ended April 30, 2021 recorded in other expense on the condensed consolidated statements of operations and in other current liabilities on the condensed consolidated balance sheet. On December 2, 2021, the Company agreed in principle, subject to formal documentation with Webasto, to settle all existing claims related to the sale of its former EES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for $20,000,000 and Webasto keeping the Holdback. As a result of the agreement in principle to settle the litigation, the Company recorded additional litigation reserve expenses in the amount of $10,000,000 during the three months ended October 30, 2021 in other expense on the condensed consolidated statements of operations and in other current liabilities on the condensed consolidated balance sheet. The Company executed a written settlement agreement with Webasto effective December 16, 2021 to officially and fully settle all claims in the lawsuit. Under the terms of the written settlement agreement, the Company’s payment of the settlement amount of $20,000,000 occurred over a 24 month period from the effective date of the settlement agreement, and Webasto will retain the Holdback. As of January 28, 2023, $15,000,000 of the settlement was paid. On February 2, 2023, the final $5,000,000 of the settlement was paid.</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 securities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1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ind w:left="40" w:right="359"/>
        <w:spacing w:after="0" w:line="281" w:lineRule="auto"/>
        <w:rPr>
          <w:sz w:val="20"/>
          <w:szCs w:val="20"/>
          <w:color w:val="auto"/>
        </w:rPr>
      </w:pPr>
      <w:r>
        <w:rPr>
          <w:rFonts w:ascii="Times New Roman" w:cs="Times New Roman" w:eastAsia="Times New Roman" w:hAnsi="Times New Roman"/>
          <w:sz w:val="17"/>
          <w:szCs w:val="17"/>
          <w:color w:val="auto"/>
        </w:rPr>
        <w:t>As of April 30, 2022, the balance of available-for-sale debt securities consisted of state and local government municipal securities, U.S. government securities and U.S. government agency securities. Interest earned from these investments is recorded in interest expense, net. Realized gains on sales of these investments on the basis of specific identification are recorded in interest expense, net. As of January 28, 2023, the Company held no available-for-sale debt securities.</w:t>
      </w:r>
    </w:p>
    <w:p>
      <w:pPr>
        <w:spacing w:after="0" w:line="164" w:lineRule="exact"/>
        <w:rPr>
          <w:sz w:val="20"/>
          <w:szCs w:val="20"/>
          <w:color w:val="auto"/>
        </w:rPr>
      </w:pPr>
    </w:p>
    <w:p>
      <w:pPr>
        <w:ind w:left="40" w:right="499"/>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activity related to the available-for-sale debt securities recorded in short-term investments as of April 30, 2022, respectively (in thousands):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jc w:val="both"/>
        <w:ind w:left="40" w:right="79"/>
        <w:spacing w:after="0" w:line="282" w:lineRule="auto"/>
        <w:rPr>
          <w:sz w:val="20"/>
          <w:szCs w:val="20"/>
          <w:color w:val="auto"/>
        </w:rPr>
      </w:pPr>
      <w:r>
        <w:rPr>
          <w:rFonts w:ascii="Times New Roman" w:cs="Times New Roman" w:eastAsia="Times New Roman" w:hAnsi="Times New Roman"/>
          <w:sz w:val="18"/>
          <w:szCs w:val="18"/>
          <w:color w:val="auto"/>
        </w:rPr>
        <w:t>Equity securities and warrants are measured at fair value with net unrealized gains and losses from changes in the fair value recognized in other (expense) income, net.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41"/>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recognized during the period on equity securities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 recognized during the period on equity securities sold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during the period</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5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loss recognized during the period on equity securities still held</w:t>
            </w:r>
          </w:p>
        </w:tc>
        <w:tc>
          <w:tcPr>
            <w:tcW w:w="38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56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the reporting date</w:t>
            </w:r>
          </w:p>
        </w:tc>
        <w:tc>
          <w:tcPr>
            <w:tcW w:w="38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360" w:right="579" w:hanging="316"/>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360" w:right="239" w:hanging="316"/>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5" w:lineRule="exact"/>
        <w:rPr>
          <w:rFonts w:ascii="Times New Roman" w:cs="Times New Roman" w:eastAsia="Times New Roman" w:hAnsi="Times New Roman"/>
          <w:sz w:val="18"/>
          <w:szCs w:val="18"/>
          <w:color w:val="auto"/>
        </w:rPr>
      </w:pPr>
    </w:p>
    <w:p>
      <w:pPr>
        <w:ind w:left="340" w:hanging="296"/>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25" w:lineRule="exact"/>
        <w:rPr>
          <w:sz w:val="20"/>
          <w:szCs w:val="20"/>
          <w:color w:val="auto"/>
        </w:rPr>
      </w:pPr>
    </w:p>
    <w:p>
      <w:pPr>
        <w:ind w:left="40" w:right="67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January 28, 2023,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Contingently returnable consideration</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5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19"/>
        <w:spacing w:after="0" w:line="282" w:lineRule="auto"/>
        <w:rPr>
          <w:sz w:val="20"/>
          <w:szCs w:val="20"/>
          <w:color w:val="auto"/>
        </w:rPr>
      </w:pPr>
      <w:r>
        <w:rPr>
          <w:rFonts w:ascii="Times New Roman" w:cs="Times New Roman" w:eastAsia="Times New Roman" w:hAnsi="Times New Roman"/>
          <w:sz w:val="18"/>
          <w:szCs w:val="18"/>
          <w:color w:val="auto"/>
        </w:rPr>
        <w:t>The Company’s financial liabilities measured at fair value on a recurring basis at January 28, 2023,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85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2022, were as follows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$ 24,716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Contingently returnable consideration</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99"/>
        <w:spacing w:after="0" w:line="282" w:lineRule="auto"/>
        <w:rPr>
          <w:sz w:val="20"/>
          <w:szCs w:val="20"/>
          <w:color w:val="auto"/>
        </w:rPr>
      </w:pPr>
      <w:r>
        <w:rPr>
          <w:rFonts w:ascii="Times New Roman" w:cs="Times New Roman" w:eastAsia="Times New Roman" w:hAnsi="Times New Roman"/>
          <w:sz w:val="18"/>
          <w:szCs w:val="18"/>
          <w:color w:val="auto"/>
        </w:rPr>
        <w:t>The Company’s financial liabilities measured at fair value on a recurring basis at April 30, 2022, were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 Using</w:t>
            </w:r>
          </w:p>
        </w:tc>
        <w:tc>
          <w:tcPr>
            <w:tcW w:w="1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 Using</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48"/>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12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73"/>
        </w:trPr>
        <w:tc>
          <w:tcPr>
            <w:tcW w:w="6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acquisition</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 Level 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fair value measurement adjustments (realized or unrealized)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Included in selling, general and administrative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The amount of total (gains) or losses for the period included in</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attributable to the change in unrealized gains or losses relating to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liabilities still held at January 28, 2023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Pursuant to the Intelligent Systems Group business segment (“ISG”) Purchase Agreement with Progeny Systems Corporation (the “ISG Seller”), the ISG Seller may receive up to a maximum of $6,000,000 in additional cash consideration (“contingent consideration”), if certain revenue targets are achieved during the three years following closing. The contingent consideration was valued using a Black-Scholes option-pricing model. The analysis considered, among other items, contractual terms of the ISG Purchase Agreement, the Company’s discount rate, the timing of expected future cash flows and the probability that the revenue targets required for payment of the contingent consideration will be achieved. During the fiscal year ended April 30, 2022, the targets for the first and second year were achieved, and during the nine months ended January 28, 2023, the target for the third year was achieved. The consideration was held and released from an escrow account that is not controlled by the Company and therefore not recorded on the condensed consolidated balance sheet. The related consideration of $2,000,000 for the first target was released from the escrow account during the fiscal year ended April 30, 2022, the related consideration of $2,000,000 for the second target was released from the escrow account during the three months ended July 30, 2022, and the related consideration of $2,000,000 for the third target was released from the escrow account in February 2023.</w:t>
      </w:r>
    </w:p>
    <w:p>
      <w:pPr>
        <w:spacing w:after="0" w:line="187"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Pursuant to the Telerob Purchase Agreement, the Telerob Sellers may receive up to a maximum of €6,000,000 (approximately $7,272,000)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 The fair value of the contingent consideration is recorded in other current liabilities on the condensed consolidated balance sheet. The first year earnout of €2,000,000 (approximately $2,424,000) was not achieved.</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and 500,000 privately placed,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redeemable warrants of Amprius Technologies, Inc. The privately placed, redeemable warrants have an exercise price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$12.50 and redemption price of $20.00. The Company measures the fair value of the privately placed, redeemable warrants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using the quoted market price of the public warrants which have an exercise price of $11.50 and a redemption price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$18.00 and classifies the warrants as a level 2 fair value measurement. On September 9, 2022, the Company acquired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10,000 shares of Nauticus Robotics, Inc. for $100,000.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Inventories, net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42,310</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12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102,963</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(12,334)</w:t>
            </w: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90,629</w:t>
            </w:r>
          </w:p>
        </w:tc>
        <w:tc>
          <w:tcPr>
            <w:tcW w:w="1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Equity Method Investments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Limited Partnership Funds</w:t>
      </w:r>
    </w:p>
    <w:p>
      <w:pPr>
        <w:spacing w:after="0" w:line="22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limited partnership agreement, the Company is committed to contributions totaling $20,000,000 over an expected five year period. During the three months ended July 30, 2022, the Company made its initial contribution of $2,774,000. Under the terms of the limited partnership agreement, the Company has committed to make additional capital contributions of $17,226,000 to the fund. The Company accounts for investments in limited partnerships as equity method investments as the Company is deemed to have influence when it holds more than a minor interest. For the three and nine months ended January 28, 2023, the Company recorded its ownership percentage of the net loss of the limited partnership, or $(417,000) and $(2,190,000), respectively, in equity method investment (loss) income, net of $0 tax in the unaudited condensed consolidated statements of operations, respectively. For the three and nine months ended January 29, 2022, the Company recorded its ownership percentage of the net gain of the limited partnership, or $478,000 and $2,843,000, respectively, net of $108,000 and $636,000 of tax expense, respectively, in equity method investment (loss) income, net of tax in the unaudited condensed consolidated statements of operations. At January 28, 2023 and April 30, 2022, the carrying value of the investments in the limited partnership funds of $16,017,000 and $15,433,000, respectively, was recorded in long-term investments on the unaudited condensed consolidated balance sheet.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 in Altoy</w:t>
      </w:r>
    </w:p>
    <w:p>
      <w:pPr>
        <w:spacing w:after="0" w:line="22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unaudited condensed consolidated financial statements. The Company maintains significant influence, accounts for its investment in Altoy as an equity method investment and records its proportion of any gains or losses of Altoy in equity method investments, net of tax. For the three and nine months ended January 28, 2023, the Company recorded $0 for its ownership percentage of the net loss of the limited partnership in equity method investment (loss) income, net of tax in the unaudited condensed consolidated statements of operations. At January 28, 2023, the carrying value of the investment in Altoy of $96,000 was recorded in other assets on the unaudited condensed consolidated balance sheet.</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 in HAPSMobile Inc.</w:t>
      </w:r>
    </w:p>
    <w:p>
      <w:pPr>
        <w:spacing w:after="0" w:line="229" w:lineRule="exact"/>
        <w:rPr>
          <w:sz w:val="20"/>
          <w:szCs w:val="20"/>
          <w:color w:val="auto"/>
        </w:rPr>
      </w:pPr>
    </w:p>
    <w:p>
      <w:pPr>
        <w:ind w:left="40" w:right="779"/>
        <w:spacing w:after="0" w:line="282" w:lineRule="auto"/>
        <w:rPr>
          <w:sz w:val="20"/>
          <w:szCs w:val="20"/>
          <w:color w:val="auto"/>
        </w:rPr>
      </w:pPr>
      <w:r>
        <w:rPr>
          <w:rFonts w:ascii="Times New Roman" w:cs="Times New Roman" w:eastAsia="Times New Roman" w:hAnsi="Times New Roman"/>
          <w:sz w:val="18"/>
          <w:szCs w:val="18"/>
          <w:color w:val="auto"/>
        </w:rPr>
        <w:t>In December 2017, the Company and SoftBank Corp. (“Softbank”) formed a joint venture, HAPSMobile Inc. (“HAPSMobile”), which is a Japanese corporation. Concurrent with the formation of HAPSMobile, the Company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8"/>
          <w:szCs w:val="18"/>
          <w:color w:val="auto"/>
        </w:rPr>
        <w:t>executed a Design and Development Agreement (the “DDA”) with HAPSMobile. In connection with the formation of the joint venture on December 27, 2017, the Company initially purchased shares of HAPSMobile representing a 5% ownership. On December 4, 2019, the Company purchased additional shares of HAPSMobile to increase its ownership stake to approximately 7%. In March 2022, the Company sold its 7% equity interest in HAPSMobile to SoftBank, for 808,008,000 yen ($6,497,000) and a gain was recorded in sale of ownership in HAPSMobile Inc. joint venture. Following the sale, SoftBank owns 100% of HAPSMobile, and, therefore, the Company no longer applies the equity method of accounting.</w:t>
      </w:r>
    </w:p>
    <w:p>
      <w:pPr>
        <w:spacing w:after="0" w:line="189" w:lineRule="exact"/>
        <w:rPr>
          <w:sz w:val="20"/>
          <w:szCs w:val="20"/>
          <w:color w:val="auto"/>
        </w:rPr>
      </w:pPr>
    </w:p>
    <w:p>
      <w:pPr>
        <w:jc w:val="both"/>
        <w:ind w:left="40" w:right="379"/>
        <w:spacing w:after="0" w:line="261" w:lineRule="auto"/>
        <w:rPr>
          <w:sz w:val="20"/>
          <w:szCs w:val="20"/>
          <w:color w:val="auto"/>
        </w:rPr>
      </w:pPr>
      <w:r>
        <w:rPr>
          <w:rFonts w:ascii="Times New Roman" w:cs="Times New Roman" w:eastAsia="Times New Roman" w:hAnsi="Times New Roman"/>
          <w:sz w:val="18"/>
          <w:szCs w:val="18"/>
          <w:color w:val="auto"/>
        </w:rPr>
        <w:t>On May 29, 2021, the Company entered into an amendment to the DDA with HAPSMobile. The parties agreed to the amendment in anticipation of the Company and SoftBank entering into a Master Design and Development Agreement (“MDDA”) with each other to continue the design and development of the Solar High Altitude Pseudo-Satellite (“Solar HAPS”) aircraft developed under the DDA.</w:t>
      </w:r>
    </w:p>
    <w:p>
      <w:pPr>
        <w:spacing w:after="0" w:line="180"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On May 29, 2021, the Company and SoftBank entered into a MDDA to continue the development of Solar HAPS. Pursuant to the MDDA, which has a five-year term, SoftBank will issue orders to the Company for the Company to perform design and development services and produce deliverables as specified in the applicable order(s). Upon the execution of the MDDA, SoftBank issued to the Company, and the Company accepted, the first order under the MDDA which has a maximum value of approximately $51,200,000. Concurrent with the execution of the MDDA, each of SoftBank and the Company agreed to lend HAPSMobile loans which are convertible into shares of HAPSMobile under certain conditions, and to cooperate with each other to explore restructuring and financing options for HAPSMobile to continue the development of Solar HAPS. The Company committed to lend 500,000,000 yen. On June 7, 2021 the Company funded 130,000,000 yen ($1,195,000) of the loan agreement. On August 13, 2021, the Company made the second payment of the loan agreement in the amount of 180,000,000 yen ($1,638,000). On October 29, 2021, the Company made the final payment under the loan agreement in the amount of 190,000,000 yen ($1,674,000). On March 1, 2022, HAPSMobile repaid the Company the loan in full plus accrued interest in the amount of 503,832,000 yen ($4,345,000). The repayment resulted in equity method income during the fiscal year ended April 30, 2022 up to the extent of the previously recognized equity method losses associate with the loan.</w:t>
      </w:r>
    </w:p>
    <w:p>
      <w:pPr>
        <w:spacing w:after="0" w:line="19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Prior to the sale of the equity interest, the Company had the ability to exercise significant influence over the operating and financial policies of HAPSMobile pursuant to the applicable joint venture agreement and related organizational documents, and therefore, the Company’s investment was accounted for as an equity method investment. For the three and nine months ended January 29, 2022, the Company recorded its proportionate net loss of HAPSMobile, or $200,000 and $2,044,000, respectively, in equity method investment (loss) income, net of tax in the unaudited condensed consolidated statement of operations.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Warranty Reserves</w:t>
      </w:r>
    </w:p>
    <w:p>
      <w:pPr>
        <w:spacing w:after="0" w:line="162" w:lineRule="exact"/>
        <w:rPr>
          <w:sz w:val="20"/>
          <w:szCs w:val="20"/>
          <w:color w:val="auto"/>
        </w:rPr>
      </w:pPr>
    </w:p>
    <w:p>
      <w:pPr>
        <w:ind w:left="40" w:right="239"/>
        <w:spacing w:after="0" w:line="281" w:lineRule="auto"/>
        <w:rPr>
          <w:sz w:val="20"/>
          <w:szCs w:val="20"/>
          <w:color w:val="auto"/>
        </w:rPr>
      </w:pPr>
      <w:r>
        <w:rPr>
          <w:rFonts w:ascii="Times New Roman" w:cs="Times New Roman" w:eastAsia="Times New Roman" w:hAnsi="Times New Roman"/>
          <w:sz w:val="17"/>
          <w:szCs w:val="17"/>
          <w:color w:val="auto"/>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and nine months ended January 28, 2023 and January 29, 2022, respectively (in thousands):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5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6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acquired from acquisition</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94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Intangibles, net</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476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56,913</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72,448</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8"/>
                <w:szCs w:val="18"/>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133,551</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100" w:type="dxa"/>
            <w:vAlign w:val="bottom"/>
            <w:tcBorders>
              <w:bottom w:val="single" w:sz="8" w:color="CCEEFF"/>
            </w:tcBorders>
          </w:tcPr>
          <w:p>
            <w:pPr>
              <w:spacing w:after="0"/>
              <w:rPr>
                <w:sz w:val="18"/>
                <w:szCs w:val="18"/>
                <w:color w:val="auto"/>
              </w:rPr>
            </w:pPr>
          </w:p>
        </w:tc>
      </w:tr>
      <w:tr>
        <w:trPr>
          <w:trHeight w:val="20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8"/>
          <w:szCs w:val="18"/>
          <w:color w:val="auto"/>
        </w:rPr>
        <w:t>The weighted average amortization period at January 28, 2023 and April 30, 2022 was four years. Amortization expense for the three and nine months ended January 28, 2023 was $6,073,000 and $17,925,000, respectively. Amortization expense for the three and nine months ended January 29, 2022 was $6,911,000 and $20,486,000, respectively.</w:t>
      </w:r>
    </w:p>
    <w:p>
      <w:pPr>
        <w:spacing w:after="0" w:line="176"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Technology and backlog intangible assets were recognized in conjunction with the Company’s acquisition of Planck on August 17, 2022. Technology, backlog and customer relationship intangible assets were recognized in conjunction with the Company’s acquisition of Telerob on May 3, 2021. The intangibles recognized in conjunction with the acquisition of Telerob are recorded in Euros, and the balances change in accordance with the foreign currency translation at reporting date. Refer to Note 18—Business Acquisitions for further details.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Estimated amortization expense for the next five years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09"/>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20" w:type="dxa"/>
            <w:vAlign w:val="bottom"/>
            <w:shd w:val="clear" w:color="auto" w:fill="CCEEFF"/>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74,039</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Small UAS</w:t>
            </w:r>
          </w:p>
        </w:tc>
        <w:tc>
          <w:tcPr>
            <w:tcW w:w="10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TMS</w:t>
            </w:r>
          </w:p>
        </w:tc>
        <w:tc>
          <w:tcPr>
            <w:tcW w:w="6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MUAS</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HAPS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2022</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$ 290,157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$ 37,850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334,347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goodwill</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09"/>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$ 291,790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$ 38,425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336,555</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The goodwill addition to MUAS is attributable to the Planck acquisition. The goodwill additions to the column entitled “All other” is attributable to the Telerob acquisition recorded in Euros and translated to dollars at each reporting date. The MUAS reporting unit is considered at an increased risk of failing future quantitative goodwill impairment tests as the estimated fair value exceeded the carrying value by approximately 10% during the most recent annual goodwill impairment test during the fiscal year ended April 30, 2022. The Company’s annual impairment test for the fiscal year ending April 30, 2023 will be performed during the fourth quarter. The intangibles included in the MUAS reporting unit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spacing w:after="0" w:line="282" w:lineRule="auto"/>
        <w:rPr>
          <w:sz w:val="20"/>
          <w:szCs w:val="20"/>
          <w:color w:val="auto"/>
        </w:rPr>
      </w:pPr>
      <w:r>
        <w:rPr>
          <w:rFonts w:ascii="Times New Roman" w:cs="Times New Roman" w:eastAsia="Times New Roman" w:hAnsi="Times New Roman"/>
          <w:sz w:val="18"/>
          <w:szCs w:val="18"/>
          <w:color w:val="auto"/>
        </w:rPr>
        <w:t>of $56,000,000 as of January 28, 2023 will also be evaluated for potential impairment during the fourth quarter. Refer to Note 18—Business Acquisitions and Note 21—Subsequent Events for further details.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9"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acquisition of Arcturus UAV, Inc. (“Arcturus”), a California corporation pursuant to a Stock Purchase Agreement with Arcturus and each of the shareholders and other equity interest holders of Arcturus, to purchase 100% of the issued and outstanding equity of Arcturus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89"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The Credit Agreement and its associated Security and Pledge Agreement set forth the terms and conditions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90"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8"/>
          <w:szCs w:val="18"/>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83"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3"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pacing w:after="0" w:line="189"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39"/>
        <w:spacing w:after="0" w:line="255" w:lineRule="auto"/>
        <w:rPr>
          <w:sz w:val="20"/>
          <w:szCs w:val="20"/>
          <w:color w:val="auto"/>
        </w:rPr>
      </w:pPr>
      <w:r>
        <w:rPr>
          <w:rFonts w:ascii="Times New Roman" w:cs="Times New Roman" w:eastAsia="Times New Roman" w:hAnsi="Times New Roman"/>
          <w:sz w:val="18"/>
          <w:szCs w:val="18"/>
          <w:color w:val="auto"/>
        </w:rPr>
        <w:t>The Credit Agreement, as amended by the First Amendment to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8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 As of January 28, 2023, the Company is in compliance with all amended covenants.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26"/>
        </w:trPr>
        <w:tc>
          <w:tcPr>
            <w:tcW w:w="6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167,500</w:t>
            </w:r>
          </w:p>
        </w:tc>
        <w:tc>
          <w:tcPr>
            <w:tcW w:w="360" w:type="dxa"/>
            <w:vAlign w:val="bottom"/>
            <w:gridSpan w:val="4"/>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 - term loans</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 - term loans</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155,763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177,840</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costs - revolving credit facility</w:t>
            </w:r>
          </w:p>
        </w:tc>
        <w:tc>
          <w:tcPr>
            <w:tcW w:w="3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865</w:t>
            </w:r>
          </w:p>
        </w:tc>
        <w:tc>
          <w:tcPr>
            <w:tcW w:w="180" w:type="dxa"/>
            <w:vAlign w:val="bottom"/>
            <w:vMerge w:val="continue"/>
          </w:tcPr>
          <w:p>
            <w:pPr>
              <w:spacing w:after="0"/>
              <w:rPr>
                <w:sz w:val="17"/>
                <w:szCs w:val="17"/>
                <w:color w:val="auto"/>
              </w:rPr>
            </w:pPr>
          </w:p>
        </w:tc>
        <w:tc>
          <w:tcPr>
            <w:tcW w:w="180" w:type="dxa"/>
            <w:vAlign w:val="bottom"/>
            <w:gridSpan w:val="3"/>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3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Future long-term debt principal payments at January 28, 2023 were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3"/>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left="40" w:right="319"/>
        <w:spacing w:after="0" w:line="312" w:lineRule="auto"/>
        <w:rPr>
          <w:sz w:val="20"/>
          <w:szCs w:val="20"/>
          <w:color w:val="auto"/>
        </w:rPr>
      </w:pPr>
      <w:r>
        <w:rPr>
          <w:rFonts w:ascii="Times New Roman" w:cs="Times New Roman" w:eastAsia="Times New Roman" w:hAnsi="Times New Roman"/>
          <w:sz w:val="17"/>
          <w:szCs w:val="17"/>
          <w:color w:val="auto"/>
        </w:rPr>
        <w:t>The Company leases certain buildings, land and equipment. At contract inception the Company determines whether the contract is, or contains, a lease and whether the lease should be classified as an operating or a financing lease. Operating</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leases are recorded in operating lease right-of-use assets, current operating lease liabilities and non-current operating lease liabilities on the unaudited condensed consolidated balance sheet.</w:t>
      </w:r>
    </w:p>
    <w:p>
      <w:pPr>
        <w:spacing w:after="0" w:line="162"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seven years, some of which may include options to extend the lease for up to nine years, and some of which may include options to terminate the lease after three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89"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restrictions or covenants in its lease agreements, sale-leaseback transactions, land easements or residual value guarantees.</w:t>
      </w:r>
    </w:p>
    <w:p>
      <w:pPr>
        <w:spacing w:after="0" w:line="16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0"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recorded in cost of sales and selling, general and administrative (“SG&amp;A”) expense were as follows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Nine Months Ended</w:t>
            </w:r>
          </w:p>
        </w:tc>
        <w:tc>
          <w:tcPr>
            <w:tcW w:w="0" w:type="dxa"/>
            <w:vAlign w:val="bottom"/>
          </w:tcPr>
          <w:p>
            <w:pPr>
              <w:spacing w:after="0"/>
              <w:rPr>
                <w:sz w:val="1"/>
                <w:szCs w:val="1"/>
                <w:color w:val="auto"/>
              </w:rPr>
            </w:pPr>
          </w:p>
        </w:tc>
      </w:tr>
      <w:tr>
        <w:trPr>
          <w:trHeight w:val="117"/>
        </w:trPr>
        <w:tc>
          <w:tcPr>
            <w:tcW w:w="6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lease information were as follows:</w:t>
            </w: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6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56 months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months</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January 28, 2023 were as follows (in thousands):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35,640</w:t>
            </w:r>
          </w:p>
        </w:tc>
        <w:tc>
          <w:tcPr>
            <w:tcW w:w="0" w:type="dxa"/>
            <w:vAlign w:val="bottom"/>
          </w:tcPr>
          <w:p>
            <w:pPr>
              <w:spacing w:after="0"/>
              <w:rPr>
                <w:sz w:val="1"/>
                <w:szCs w:val="1"/>
                <w:color w:val="auto"/>
              </w:rPr>
            </w:pP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 Income and Reclassifications Adjustments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income and adjustments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6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0" w:type="dxa"/>
            <w:vAlign w:val="bottom"/>
          </w:tcPr>
          <w:p>
            <w:pPr>
              <w:spacing w:after="0"/>
              <w:rPr>
                <w:sz w:val="1"/>
                <w:szCs w:val="1"/>
                <w:color w:val="auto"/>
              </w:rPr>
            </w:pPr>
          </w:p>
        </w:tc>
      </w:tr>
      <w:tr>
        <w:trPr>
          <w:trHeight w:val="173"/>
        </w:trPr>
        <w:tc>
          <w:tcPr>
            <w:tcW w:w="60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8"/>
        </w:trPr>
        <w:tc>
          <w:tcPr>
            <w:tcW w:w="6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net of $8 and $1 deferred taxes, as of April 30, 2022 and April 30, 2021,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198"/>
        </w:trPr>
        <w:tc>
          <w:tcPr>
            <w:tcW w:w="60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 (loss) on available-for-sale investments, net of deferred tax</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 of $0 and $1 for the nine months ended January 28, 2023 and January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29, 2022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178"/>
        </w:trPr>
        <w:tc>
          <w:tcPr>
            <w:tcW w:w="6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 net of $0 and $2 deferred taxes, as of January 28, 2023 and January 29,</w:t>
            </w:r>
          </w:p>
        </w:tc>
        <w:tc>
          <w:tcPr>
            <w:tcW w:w="3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80" w:type="dxa"/>
            <w:vAlign w:val="bottom"/>
          </w:tcPr>
          <w:p>
            <w:pPr>
              <w:spacing w:after="0"/>
              <w:rPr>
                <w:sz w:val="15"/>
                <w:szCs w:val="15"/>
                <w:color w:val="auto"/>
              </w:rPr>
            </w:pPr>
          </w:p>
        </w:tc>
        <w:tc>
          <w:tcPr>
            <w:tcW w:w="180" w:type="dxa"/>
            <w:vAlign w:val="bottom"/>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21"/>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2022, respectively</w:t>
            </w:r>
          </w:p>
        </w:tc>
        <w:tc>
          <w:tcPr>
            <w:tcW w:w="3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Customer-Funded Research &amp; Development</w:t>
      </w:r>
    </w:p>
    <w:p>
      <w:pPr>
        <w:spacing w:after="0" w:line="216"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$23,193,000 and $71,129,000 for the three and nine months ended January 28, 2023, respectively. Revenue from customer-funded R&amp;D was approximately $20,451,000 and $56,537,000 for the three and nine months ended January 29, 2022, respectively.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Long-Term Incentive Awards</w:t>
      </w:r>
    </w:p>
    <w:p>
      <w:pPr>
        <w:spacing w:after="0" w:line="216"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awards under its amended and restated 2006 Equity Incentive Plan (the “Restated 2006 Plan”) to key employees (“Fiscal 2023 LTIP”). Awards under the Fiscal 2023 LTIP consist of: (i) time-based restricted stock awards and time-based restricted stock units, which vest in equal tranches in July 2023, July 2024 and July 2025, and (ii) performance-based restricted stock units (“PRSUs”), which vest based on the Company’s achievement of revenue and non-GAAP operating income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and nine months ended January 28, 2023, the Company recorded $642,000 and $1,703,000 of compensation expense related to the Fiscal 2023 LTIP PRSUs. The Company recorded no compensation expense related to the Fiscal 2023 LTIP PRSUs for the three and nine months ended January 29, 2022. At January 28,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spacing w:after="0" w:line="282" w:lineRule="auto"/>
        <w:rPr>
          <w:sz w:val="20"/>
          <w:szCs w:val="20"/>
          <w:color w:val="auto"/>
        </w:rPr>
      </w:pPr>
      <w:r>
        <w:rPr>
          <w:rFonts w:ascii="Times New Roman" w:cs="Times New Roman" w:eastAsia="Times New Roman" w:hAnsi="Times New Roman"/>
          <w:sz w:val="18"/>
          <w:szCs w:val="18"/>
          <w:color w:val="auto"/>
        </w:rPr>
        <w:t>2023, the maximum compensation expense that may be recorded for the performance-based portion of the Fiscal 2023 LTIP is $12,829,000.</w:t>
      </w:r>
    </w:p>
    <w:p>
      <w:pPr>
        <w:spacing w:after="0" w:line="162"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31, 2021, the Company granted awards under the Restated 2006 Plan to key employees (“Fiscal 2022 LTIP”). Awards under the Fiscal 2022 LTIP consist of: (i) time-based restricted stock awards and time-based restricted stock units, which vest in equal tranches in July 2022, July 2023 and July 2024, and (ii) PRSUs, which vest based on the Company’s achievement of revenue and non-GAAP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months ended January 28, 2023, the Company recorded $84,000 of compensation expense related to the Fiscal 2022 LTIP PRSUs. For the nine months ended January 28, 2023, the Company recorded a reversal of $(31,000) of compensation expense related to the Fiscal 2022 LTIP PRSUs. For the three and nine months ended January 29, 2022, the Company recorded $205,000 and $714,000 of compensation expense related to the Fiscal 2022 LTIP PRSUs. At January 28, 2023, the maximum compensation expense that may be recorded for the performance-based portion of the Fiscal 2022 LTIP is $10,148,000.</w:t>
      </w:r>
    </w:p>
    <w:p>
      <w:pPr>
        <w:spacing w:after="0" w:line="195"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During the three months ended August 1, 2020, the Company granted awards under the Restated 2006 Plan to key employees (“Fiscal 2021 LTIP”). Awards under the Fiscal 2021 LTIP consist of: (i) time-based restricted stock awards, which vest in equal tranches in July 2021, July 2022 and July 2023, and (ii)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the Company’s common stock. For the three and nine months ended January 28, 2023, the Company recorded $36,000 and $228,000 of compensation expense related to the Fiscal 2021 LTIP PRSUs, respectively. For the three and nine months ended January 29, 2022, the Company recorded a reversal of $(29,000) and $(536,000) of compensation expense related to the Fiscal 2021 LTIP PRSUs, respectively, due to a change in estimate resulting from a decrease in the estimated achievement. At January 28, 2023, the maximum compensation expense that may be recorded for the performance-based portion of the Fiscal 2021 LTIP is $5,858,000.</w:t>
      </w:r>
    </w:p>
    <w:p>
      <w:pPr>
        <w:spacing w:after="0" w:line="19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During the three months ended July 27, 2019, the Company also granted awards under the Restated 2006 Plan to key employees (“Fiscal 2020 LTIP”). Awards under the Fiscal 2020 LTIP consist of: (i) time-based restricted stock awards, which vest in equal tranches in July 2020, July 2021 and July 2022, and (ii) PRSUs, which vest based on the Company’s achievement of revenue and operating income targets for the three-year period ending April 30, 2022. During the three months ended July 31, 2022, the Company issued a total of 5,678 fully-vested shares of the Company’s common stock to settle the PRSUs in the Fiscal 2020 LTIP. For the three and nine months ended January 28, 2023, the Company recorded no compensation expense related to the Fiscal 2020 LTIP PRSUs, respectively. For the three and nine months ended January 29, 2022, the Company recorded a reversal of $(30,000) and $(648,000) of compensation expense related to the Fiscal 2020 LTIP PRSUs, respectively, due to a change in estimate resulting from a decrease in the estimated achievement.</w:t>
      </w:r>
    </w:p>
    <w:p>
      <w:pPr>
        <w:spacing w:after="0" w:line="188"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16"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7"/>
          <w:szCs w:val="17"/>
          <w:color w:val="auto"/>
        </w:rPr>
        <w:t>For the three and nine months ended January 28, 2023, the Company recorded a benefit from income taxes of $(531,000) and $(8,382,000) yielding an effective tax rate of 67.2% and 38.3%, respectively. For the three and nine months ended January 29, 2022, the Company recorded a benefit from income taxes of $(15,396,000) and $(25,864,000) yielding an effective tax rate of 98.7% and 69.1%, respectively. Historically, the Company calculated the provision for income taxes during interim reporting periods by applying an estimate of the annual effective tax rate (“AETR”) for the full fiscal year to the pretax income or loss for the interim reporting period. For the three and nine months ended January 28, 2023, the Company calculated the provision for income taxes using a discrete effective tax rate (“ETR”) method. The Company determined that due to the fact small changes in the Company’s estimated pretax income or loss would result in significant changes in the estimated AETR, the historical method would not provide a reliable estimate for the three and nine months ended January 28, 2023. The variance from statutory rates for the three and nine months ended January 28, 2023 was primarily due to a combination of federal R&amp;D credits, the foreign-derived intangible income deduction and discrete excess tax benefits resulting from the vesting of restricted stock awards and exercises of stock options. The variance from statutory rates for the three and nine months ended January 29, 2022 was primarily due to federal R&amp;D credits and the recording of discrete excess tax benefits resulting from the vesting of restricted stock awards and exercises of stock options.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Share Repurchase Plan and Issuances</w:t>
      </w:r>
    </w:p>
    <w:p>
      <w:pPr>
        <w:spacing w:after="0" w:line="21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In September 2015, the Company’s Board of Directors authorized a program to repurchase up to $25,000,000 of the Company’s common stock. No shares were repurchased under the program during the nine months ended January 28, 2023 or January 29, 2022. As of April 30, 2022, approximately $21,200,000 remained authorized for future repurchases under this program. In September 2022, the Company’s Board of Directors terminated the repurchase program effective immediately.</w:t>
      </w:r>
    </w:p>
    <w:p>
      <w:pPr>
        <w:spacing w:after="0" w:line="183" w:lineRule="exact"/>
        <w:rPr>
          <w:sz w:val="20"/>
          <w:szCs w:val="20"/>
          <w:color w:val="auto"/>
        </w:rPr>
      </w:pPr>
    </w:p>
    <w:p>
      <w:pPr>
        <w:ind w:left="40" w:right="99"/>
        <w:spacing w:after="0" w:line="236" w:lineRule="auto"/>
        <w:rPr>
          <w:sz w:val="20"/>
          <w:szCs w:val="20"/>
          <w:color w:val="auto"/>
        </w:rPr>
      </w:pPr>
      <w:r>
        <w:rPr>
          <w:rFonts w:ascii="Times New Roman" w:cs="Times New Roman" w:eastAsia="Times New Roman" w:hAnsi="Times New Roman"/>
          <w:sz w:val="18"/>
          <w:szCs w:val="18"/>
          <w:color w:val="auto"/>
        </w:rPr>
        <w:t>On September 8, 2022 the Company filed an S-3 shelf registration statement to offer and sell shares of the Company’s common stock,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 LLC relating to the proposed offer and sale of shares of our common stock having an aggregate offering price of up to $200,000,000 from time to time through Jefferies LLC as the sales agent. As of January 28, 2023, the Company has sold 221,971 of its shares for total gross proceeds of $21,439,000, and the Company has $178,561,000 of aggregate offering price remaining available under the registration.</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color w:val="auto"/>
        </w:rPr>
        <w:t>Related party transactions are defined as transactions between the Company and entities either controlled by the Company or that the Company can significantly influence. Prior to the Company’s sale of all of its equity interest in HAPSMobile in March 2022, the Company determined that it had the ability to exercise significant influence over HAPSMobile. As such, HAPSMobile and SoftBank were considered related parties of the Company prior to the sale. Subsequent to the sale, the Company had no ownership stake in HAPSMobile and SoftBank and HAPSMobile are no longer considered related parties. Under the DDA and related efforts with HAPSMobile, the Company designed and built prototype solar powered high altitude aircraft and ground control stations for HAPSMobile and conducted low altitude and high altitude flight tests of the prototype aircraft on a best efforts basis. The Company will continue the development of Solar HAPS with Softbank under the MDDA. Upon the execution of the MDDA, SoftBank issued the first order under the MDDA, which has a maximum value of approximately $51,200,000. The Company recorded revenue under both the MDDA and DDA of $9,543,000 and $30,237,000 for the three and nine months ended January 29,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7059" w:firstLine="4"/>
        <w:spacing w:after="0" w:line="532" w:lineRule="auto"/>
        <w:tabs>
          <w:tab w:leader="none" w:pos="31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Planck Acquisition</w:t>
      </w:r>
    </w:p>
    <w:p>
      <w:pPr>
        <w:spacing w:after="0" w:line="1"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On August 17, 2022 the Company closed its acquisition of Planck, a leading provider of advanced unmanned aircraft navigation solutions based in San Diego, California. Pursuant to the purchase agreement, the Company paid a total purchase price of $5,105,000 from cash-on-hand plus a $500,000 holdback for certain assets of Planck. Planck is a small technology company and post-acquisition will be incorporated into AeroVironment’s MUAS segment to focus on integrating its flight autonomy solutions, such as ACE™, or Autonomous Control Engine, into the Company’s offerings to enable safe, autonomous takeoff and landing from moving platforms on land or at sea in GPS-denied environments. Other solutions include AVEM™, a fully integrated mobile tethered sensor platform designed for persistent autonomous operation from moving vehicles and vessels in any environment, and a suite of machine-learning object detection and tracking systems that are customized for specific end-user needs. The Company accounted for the acquisition under the acquisition method of accounting for business combinations.</w:t>
      </w:r>
    </w:p>
    <w:p>
      <w:pPr>
        <w:spacing w:after="0" w:line="194" w:lineRule="exact"/>
        <w:rPr>
          <w:sz w:val="20"/>
          <w:szCs w:val="20"/>
          <w:color w:val="auto"/>
        </w:rPr>
      </w:pPr>
    </w:p>
    <w:p>
      <w:pPr>
        <w:ind w:left="40" w:right="219"/>
        <w:spacing w:after="0" w:line="289" w:lineRule="auto"/>
        <w:rPr>
          <w:sz w:val="20"/>
          <w:szCs w:val="20"/>
          <w:color w:val="auto"/>
        </w:rPr>
      </w:pPr>
      <w:r>
        <w:rPr>
          <w:rFonts w:ascii="Times New Roman" w:cs="Times New Roman" w:eastAsia="Times New Roman" w:hAnsi="Times New Roman"/>
          <w:sz w:val="17"/>
          <w:szCs w:val="17"/>
          <w:color w:val="auto"/>
        </w:rPr>
        <w:t>The following table summarizes the provisional allocation of the purchase price over the estimated fair value of the assets and liabilities assumed in the acquisition of Planck. The purchase price allocation is expected to be finalized as soon as practicable within the measurement period, but not later than one year following the acquisition date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17,</w:t>
            </w:r>
          </w:p>
        </w:tc>
        <w:tc>
          <w:tcPr>
            <w:tcW w:w="0" w:type="dxa"/>
            <w:vAlign w:val="bottom"/>
          </w:tcPr>
          <w:p>
            <w:pPr>
              <w:spacing w:after="0"/>
              <w:rPr>
                <w:sz w:val="1"/>
                <w:szCs w:val="1"/>
                <w:color w:val="auto"/>
              </w:rPr>
            </w:pPr>
          </w:p>
        </w:tc>
      </w:tr>
      <w:tr>
        <w:trPr>
          <w:trHeight w:val="226"/>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4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4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4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advances</w:t>
            </w:r>
          </w:p>
        </w:tc>
        <w:tc>
          <w:tcPr>
            <w:tcW w:w="4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Holdback</w:t>
            </w:r>
          </w:p>
        </w:tc>
        <w:tc>
          <w:tcPr>
            <w:tcW w:w="4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4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260" w:type="dxa"/>
            <w:vAlign w:val="bottom"/>
            <w:vMerge w:val="restart"/>
          </w:tcPr>
          <w:p>
            <w:pPr>
              <w:jc w:val="right"/>
              <w:ind w:right="32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0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Planck and expected future customers in the MUAS market. For tax purposes the acquisition was treated as an asset acquisition and the goodwill is deductible.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Planck Supplemental Pro Forma Information (unaudited)</w:t>
      </w:r>
    </w:p>
    <w:p>
      <w:pPr>
        <w:spacing w:after="0" w:line="229"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summary presents condensed consolidated information of the Company as if the business acquisition had occurred on May 1, 2021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66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EndedThree Months EndedNine Months EndedNine Months Ended</w:t>
            </w:r>
          </w:p>
        </w:tc>
      </w:tr>
      <w:tr>
        <w:trPr>
          <w:trHeight w:val="213"/>
        </w:trPr>
        <w:tc>
          <w:tcPr>
            <w:tcW w:w="2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2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12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0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9"/>
        </w:trPr>
        <w:tc>
          <w:tcPr>
            <w:tcW w:w="226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134,395 $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90,752 $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357,411 $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315,086</w:t>
            </w:r>
          </w:p>
        </w:tc>
      </w:tr>
      <w:tr>
        <w:trPr>
          <w:trHeight w:val="234"/>
        </w:trPr>
        <w:tc>
          <w:tcPr>
            <w:tcW w:w="40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w w:val="99"/>
              </w:rPr>
              <w:t>Net (loss) income attributable to AeroVironment, Inc.$</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(390)$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w:t>
            </w:r>
          </w:p>
        </w:tc>
      </w:tr>
    </w:tbl>
    <w:p>
      <w:pPr>
        <w:spacing w:after="0" w:line="395"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Planck revenue since acquisition on August 17, 2022 was $76,000. The Company did not have any material, nonrecurring pro forma adjustments directly attributable to the business acquisition included in the reported pro forma revenue and earnings.</w:t>
      </w:r>
    </w:p>
    <w:p>
      <w:pPr>
        <w:spacing w:after="0" w:line="176" w:lineRule="exact"/>
        <w:rPr>
          <w:sz w:val="20"/>
          <w:szCs w:val="20"/>
          <w:color w:val="auto"/>
        </w:rPr>
      </w:pPr>
    </w:p>
    <w:p>
      <w:pPr>
        <w:jc w:val="both"/>
        <w:ind w:left="40" w:right="99"/>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31, 2021, reflecting the additional amortization that would have been charged and including the results of Planck prior to acquisition.</w:t>
      </w:r>
    </w:p>
    <w:p>
      <w:pPr>
        <w:spacing w:after="0" w:line="176" w:lineRule="exact"/>
        <w:rPr>
          <w:sz w:val="20"/>
          <w:szCs w:val="20"/>
          <w:color w:val="auto"/>
        </w:rPr>
      </w:pPr>
    </w:p>
    <w:p>
      <w:pPr>
        <w:ind w:left="40" w:right="479"/>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$286,000 and $855,000 of acquisition-related expenses for the three and nine months ended January 28, 2023. These expenses are included in selling, general and administrative on the Company’s unaudited condensed consolidated statement of operations.</w:t>
      </w:r>
    </w:p>
    <w:p>
      <w:pPr>
        <w:spacing w:after="0" w:line="176"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2021, nor are they indicative of results of operations that may occur in the future.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Telerob Acquisition</w:t>
      </w:r>
    </w:p>
    <w:p>
      <w:pPr>
        <w:spacing w:after="0" w:line="229" w:lineRule="exact"/>
        <w:rPr>
          <w:sz w:val="20"/>
          <w:szCs w:val="20"/>
          <w:color w:val="auto"/>
        </w:rPr>
      </w:pPr>
    </w:p>
    <w:p>
      <w:pPr>
        <w:jc w:val="both"/>
        <w:ind w:left="40" w:right="199"/>
        <w:spacing w:after="0" w:line="266" w:lineRule="auto"/>
        <w:rPr>
          <w:sz w:val="20"/>
          <w:szCs w:val="20"/>
          <w:color w:val="auto"/>
        </w:rPr>
      </w:pPr>
      <w:r>
        <w:rPr>
          <w:rFonts w:ascii="Times New Roman" w:cs="Times New Roman" w:eastAsia="Times New Roman" w:hAnsi="Times New Roman"/>
          <w:sz w:val="18"/>
          <w:szCs w:val="18"/>
          <w:color w:val="auto"/>
        </w:rPr>
        <w:t>On May 3, 2021, the Company closed its acquisition of Telerob pursuant to the terms of the Telerob Purchase Agreement. Telerob develops, manufactures, sells, and services remote-controlled unmanned ground robots and transport vehicles for civil and defense applications.</w:t>
      </w:r>
    </w:p>
    <w:p>
      <w:pPr>
        <w:spacing w:after="0" w:line="176"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8"/>
          <w:szCs w:val="18"/>
          <w:color w:val="auto"/>
        </w:rPr>
        <w:t>Pursuant to the Telerob Purchase Agreement at closing, the Company paid €37,455,000 (approximately $45,400,000) in cash to the Telerob Seller (subject to certain purchase price adjustments as set forth in the Telerob Purchase Agreement), less (a) €3,000,000 (approximately $3,636,000) to be held in escrow for breaches of the Telerob Seller’s fundamental warranties or any other of Telerob Seller’s warranties to the extent not covered by a representation and warranty insurance policy (the “RWI Policy”) obtained by the Company in support of certain indemnifications provided by the Telerob Seller; (b) transaction-related fees and costs incurred by the Telerob Seller, including change in control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56" w:lineRule="auto"/>
        <w:rPr>
          <w:sz w:val="20"/>
          <w:szCs w:val="20"/>
          <w:color w:val="auto"/>
        </w:rPr>
      </w:pPr>
      <w:r>
        <w:rPr>
          <w:rFonts w:ascii="Times New Roman" w:cs="Times New Roman" w:eastAsia="Times New Roman" w:hAnsi="Times New Roman"/>
          <w:sz w:val="18"/>
          <w:szCs w:val="18"/>
          <w:color w:val="auto"/>
        </w:rPr>
        <w:t>payments triggered by the transaction; and (c) 50% of the cost of obtaining the RWI Policy. In addition, at closing the Company paid off approximately €7,811,000 (approximately $9,468,000), of certain indebtedness of Telerob, which amount was paid in combination to the Telerob Seller and the lender under an agreement between Telerob GmbH and the lender providing for a reduced payoff amount. This indebtedness was offset by cash on hand at Telerob at closing. The escrow amount is to be released to the Telerob Seller, less any amounts paid or reserved, 30 months following the closing date.</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addition to the consideration paid at closing, the Telerob Seller may receive €2,000,000 (approximately $2,424,000) in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additional cash consideration if specific revenue targets for Telerob are achieved during the 12 month period after closing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beginning on the first day of the calendar month following the closing (the “First Earnout Year”) and an additional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€2,000,000 (approximately $2,424,000) in cash consideration if specific revenue targets for Telerob are achieved in the 12</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month period following the First Earnout Year. The Telerob Seller may also receive up to €2,000,000 (approximately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$2,424,000) in additional cash consideration if specific awards and/or orders from the U.S. military are achieved prior to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end of a 36-month post-closing period. The first year earnout of €2,000,000 (approximately $2,424,000) was not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achieved.</w:t>
      </w:r>
    </w:p>
    <w:p>
      <w:pPr>
        <w:spacing w:after="0" w:line="207"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0" w:type="dxa"/>
            <w:vAlign w:val="bottom"/>
          </w:tcPr>
          <w:p>
            <w:pPr>
              <w:spacing w:after="0"/>
              <w:rPr>
                <w:sz w:val="1"/>
                <w:szCs w:val="1"/>
                <w:color w:val="auto"/>
              </w:rPr>
            </w:pPr>
          </w:p>
        </w:tc>
      </w:tr>
      <w:tr>
        <w:trPr>
          <w:trHeight w:val="226"/>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Unbilled receivable</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8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advances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4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8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net of cash acquired</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Telerob and expected future customers in the UGV market. For tax purposes the acquisition was treated as a stock purchase and the goodwill is not deductible.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Telerob Supplemental Pro Forma Information (unaudited)</w:t>
      </w:r>
    </w:p>
    <w:p>
      <w:pPr>
        <w:spacing w:after="0" w:line="229"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summary presents condensed consolidated information of the Company as if the business acquisition had occurred on May 1, 2020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3"/>
        </w:trPr>
        <w:tc>
          <w:tcPr>
            <w:tcW w:w="4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9"/>
        </w:trPr>
        <w:tc>
          <w:tcPr>
            <w:tcW w:w="43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313,110</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AeroVironment, Inc.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r>
    </w:tbl>
    <w:p>
      <w:pPr>
        <w:spacing w:after="0" w:line="179" w:lineRule="exact"/>
        <w:rPr>
          <w:sz w:val="20"/>
          <w:szCs w:val="20"/>
          <w:color w:val="auto"/>
        </w:rPr>
      </w:pPr>
    </w:p>
    <w:p>
      <w:pPr>
        <w:ind w:left="40" w:right="839"/>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August 1, 2020, reflecting the additional amortization that would have been charged assuming the fair value adjustments to intangible assets had been applied from May 1, 2020 with the consequential tax effects and including the results of Telerob prior to acquisition.</w:t>
      </w:r>
    </w:p>
    <w:p>
      <w:pPr>
        <w:spacing w:after="0" w:line="180" w:lineRule="exact"/>
        <w:rPr>
          <w:sz w:val="20"/>
          <w:szCs w:val="20"/>
          <w:color w:val="auto"/>
        </w:rPr>
      </w:pPr>
    </w:p>
    <w:p>
      <w:pPr>
        <w:ind w:left="40" w:right="479"/>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$113,000 and $661,000 of acquisition-related expenses for the three and nine months ended January 29, 2022. These expenses are included in selling, general and administrative on the Company’s unaudited condensed consolidated statement of operations.</w:t>
      </w:r>
    </w:p>
    <w:p>
      <w:pPr>
        <w:spacing w:after="0" w:line="176"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2020, nor are they indicative of results of operations that may occur in the future.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19. Pension</w:t>
      </w:r>
    </w:p>
    <w:p>
      <w:pPr>
        <w:spacing w:after="0" w:line="229"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2022.</w:t>
      </w:r>
    </w:p>
    <w:p>
      <w:pPr>
        <w:spacing w:after="0" w:line="183" w:lineRule="exact"/>
        <w:rPr>
          <w:sz w:val="20"/>
          <w:szCs w:val="20"/>
          <w:color w:val="auto"/>
        </w:rPr>
      </w:pPr>
    </w:p>
    <w:p>
      <w:pPr>
        <w:ind w:left="40" w:right="419"/>
        <w:spacing w:after="0" w:line="266" w:lineRule="auto"/>
        <w:rPr>
          <w:sz w:val="20"/>
          <w:szCs w:val="20"/>
          <w:color w:val="auto"/>
        </w:rPr>
      </w:pPr>
      <w:r>
        <w:rPr>
          <w:rFonts w:ascii="Times New Roman" w:cs="Times New Roman" w:eastAsia="Times New Roman" w:hAnsi="Times New Roman"/>
          <w:sz w:val="18"/>
          <w:szCs w:val="18"/>
          <w:color w:val="auto"/>
        </w:rPr>
        <w:t>The table below includes the projected benefit obligation and fair value of plan assets as of April 30, 2022. The net projected benefit obligation (in thousands) is recorded in other assets on the unaudited condensed consolidated balance sheet.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4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1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of the plan</w:t>
            </w:r>
          </w:p>
        </w:tc>
        <w:tc>
          <w:tcPr>
            <w:tcW w:w="27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projected benefit obligation includes assumptions of a discount rate of 1.7% and pension increase for in-payment benefits of 1.5% for January 28, 2023 and April 30, 2022.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2023. The Company assumed expected return on plan assets of 2.9% for January 28, 2023 and April 30, 2022.</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Expected benefits payments as of April 30, 2022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2028-2032</w:t>
            </w: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0"/>
        </w:trPr>
        <w:tc>
          <w:tcPr>
            <w:tcW w:w="6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Net periodic benefit cost (in thousands) is recorded in interest expense, net.</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Three Months Ended Nine Months Ended Nine Months Ended</w:t>
            </w:r>
          </w:p>
        </w:tc>
        <w:tc>
          <w:tcPr>
            <w:tcW w:w="0" w:type="dxa"/>
            <w:vAlign w:val="bottom"/>
          </w:tcPr>
          <w:p>
            <w:pPr>
              <w:spacing w:after="0"/>
              <w:rPr>
                <w:sz w:val="1"/>
                <w:szCs w:val="1"/>
                <w:color w:val="auto"/>
              </w:rPr>
            </w:pPr>
          </w:p>
        </w:tc>
      </w:tr>
      <w:tr>
        <w:trPr>
          <w:trHeight w:val="240"/>
        </w:trPr>
        <w:tc>
          <w:tcPr>
            <w:tcW w:w="3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1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140" w:type="dxa"/>
            <w:vAlign w:val="bottom"/>
          </w:tcPr>
          <w:p>
            <w:pPr>
              <w:spacing w:after="0"/>
              <w:rPr>
                <w:sz w:val="20"/>
                <w:szCs w:val="20"/>
                <w:color w:val="auto"/>
              </w:rPr>
            </w:pPr>
          </w:p>
        </w:tc>
        <w:tc>
          <w:tcPr>
            <w:tcW w:w="1120" w:type="dxa"/>
            <w:vAlign w:val="bottom"/>
            <w:gridSpan w:val="2"/>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Pr>
          <w:p>
            <w:pPr>
              <w:spacing w:after="0"/>
              <w:rPr>
                <w:sz w:val="20"/>
                <w:szCs w:val="20"/>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226"/>
        </w:trPr>
        <w:tc>
          <w:tcPr>
            <w:tcW w:w="3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1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9"/>
                <w:szCs w:val="19"/>
                <w:color w:val="auto"/>
              </w:rPr>
            </w:pPr>
          </w:p>
        </w:tc>
        <w:tc>
          <w:tcPr>
            <w:tcW w:w="1120" w:type="dxa"/>
            <w:vAlign w:val="bottom"/>
            <w:gridSpan w:val="2"/>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9"/>
                <w:szCs w:val="19"/>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 Segments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223" w:lineRule="exact"/>
        <w:rPr>
          <w:sz w:val="20"/>
          <w:szCs w:val="20"/>
          <w:color w:val="auto"/>
        </w:rPr>
      </w:pPr>
    </w:p>
    <w:p>
      <w:pPr>
        <w:jc w:val="both"/>
        <w:ind w:left="40" w:right="79"/>
        <w:spacing w:after="0" w:line="261" w:lineRule="auto"/>
        <w:rPr>
          <w:sz w:val="20"/>
          <w:szCs w:val="20"/>
          <w:color w:val="auto"/>
        </w:rPr>
      </w:pPr>
      <w:r>
        <w:rPr>
          <w:rFonts w:ascii="Times New Roman" w:cs="Times New Roman" w:eastAsia="Times New Roman" w:hAnsi="Times New Roman"/>
          <w:sz w:val="18"/>
          <w:szCs w:val="18"/>
          <w:i w:val="1"/>
          <w:iCs w:val="1"/>
          <w:color w:val="auto"/>
        </w:rPr>
        <w:t>Small Unmanned Aircraft Systems</w:t>
      </w:r>
      <w:r>
        <w:rPr>
          <w:rFonts w:ascii="Times New Roman" w:cs="Times New Roman" w:eastAsia="Times New Roman" w:hAnsi="Times New Roman"/>
          <w:sz w:val="18"/>
          <w:szCs w:val="18"/>
          <w:color w:val="auto"/>
        </w:rPr>
        <w:t>—The Small UAS segment focuses primarily on products designed to operate reliably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very low altitudes in a wide range of environmental conditions, providing a vantage point from which to collect and deliver valuable information as well as related support services including training, spare parts, product repair, product replacement, and the customer contracted operation.</w:t>
      </w:r>
    </w:p>
    <w:p>
      <w:pPr>
        <w:spacing w:after="0" w:line="180" w:lineRule="exact"/>
        <w:rPr>
          <w:sz w:val="20"/>
          <w:szCs w:val="20"/>
          <w:color w:val="auto"/>
        </w:rPr>
      </w:pPr>
    </w:p>
    <w:p>
      <w:pPr>
        <w:ind w:left="40" w:right="359"/>
        <w:spacing w:after="0" w:line="261" w:lineRule="auto"/>
        <w:rPr>
          <w:sz w:val="20"/>
          <w:szCs w:val="20"/>
          <w:color w:val="auto"/>
        </w:rPr>
      </w:pPr>
      <w:r>
        <w:rPr>
          <w:rFonts w:ascii="Times New Roman" w:cs="Times New Roman" w:eastAsia="Times New Roman" w:hAnsi="Times New Roman"/>
          <w:sz w:val="18"/>
          <w:szCs w:val="18"/>
          <w:i w:val="1"/>
          <w:iCs w:val="1"/>
          <w:color w:val="auto"/>
        </w:rPr>
        <w:t>Tactical Missile Systems</w:t>
      </w:r>
      <w:r>
        <w:rPr>
          <w:rFonts w:ascii="Times New Roman" w:cs="Times New Roman" w:eastAsia="Times New Roman" w:hAnsi="Times New Roman"/>
          <w:sz w:val="18"/>
          <w:szCs w:val="18"/>
          <w:color w:val="auto"/>
        </w:rPr>
        <w:t>—The TMS segment focuses primarily on TMS products, which are tube-launched aircraft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 with the push of a button, fly at higher speeds than small UAS products, and perform either effects delivery or reconnaissance missions, and related support services including training, spare parts, product repair, and product replacement. The TMS segment also includes customer-funded research and development programs.</w:t>
      </w:r>
    </w:p>
    <w:p>
      <w:pPr>
        <w:spacing w:after="0" w:line="180"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i w:val="1"/>
          <w:iCs w:val="1"/>
          <w:color w:val="auto"/>
        </w:rPr>
        <w:t>Medium Unmanned Aircraft Systems</w:t>
      </w:r>
      <w:r>
        <w:rPr>
          <w:rFonts w:ascii="Times New Roman" w:cs="Times New Roman" w:eastAsia="Times New Roman" w:hAnsi="Times New Roman"/>
          <w:sz w:val="18"/>
          <w:szCs w:val="18"/>
          <w:color w:val="auto"/>
        </w:rPr>
        <w:t>—The MUAS segment, which originates with the acquisition of Arcturus, focuses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designs, engineers, tools, and manufactures unmanned aerial and aircraft systems including airborne platforms, payloads and payload integration, ground control systems, and ground support equipment and other items and services related generally to unmanned aircraft systems including ISR services.</w:t>
      </w:r>
    </w:p>
    <w:p>
      <w:pPr>
        <w:spacing w:after="0" w:line="180" w:lineRule="exact"/>
        <w:rPr>
          <w:sz w:val="20"/>
          <w:szCs w:val="20"/>
          <w:color w:val="auto"/>
        </w:rPr>
      </w:pPr>
    </w:p>
    <w:p>
      <w:pPr>
        <w:ind w:left="40" w:right="3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Altitude Pseudo-Satellite Unmanned Aircraft Systems </w:t>
      </w:r>
      <w:r>
        <w:rPr>
          <w:rFonts w:ascii="Times New Roman" w:cs="Times New Roman" w:eastAsia="Times New Roman" w:hAnsi="Times New Roman"/>
          <w:sz w:val="18"/>
          <w:szCs w:val="18"/>
          <w:color w:val="auto"/>
        </w:rPr>
        <w:t>(“HAPS”)—The HAPS segment consists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development of High Altitude Pseudo-Satellite systems in conjunction with SoftBank.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All other</w:t>
      </w:r>
      <w:r>
        <w:rPr>
          <w:rFonts w:ascii="Times New Roman" w:cs="Times New Roman" w:eastAsia="Times New Roman" w:hAnsi="Times New Roman"/>
          <w:sz w:val="18"/>
          <w:szCs w:val="18"/>
          <w:color w:val="auto"/>
        </w:rPr>
        <w:t>—All other segments include MacCready Works (which includes the recently acquired ISG business) and Telerob.</w:t>
      </w:r>
    </w:p>
    <w:p>
      <w:pPr>
        <w:spacing w:after="0" w:line="227" w:lineRule="exact"/>
        <w:rPr>
          <w:sz w:val="20"/>
          <w:szCs w:val="20"/>
          <w:color w:val="auto"/>
        </w:rPr>
      </w:pPr>
    </w:p>
    <w:p>
      <w:pPr>
        <w:ind w:left="40" w:right="299"/>
        <w:spacing w:after="0" w:line="25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 “Organization and Significant Accounting Policies.” The operating segments do not make sales to each other. The following table (in thousands) sets forth segment revenue, gross margin, income (loss) from operations and adjusted income (loss) from operations for the periods indicated. Adjusted income (loss) from operations is defined as income (loss) from operations before intangible amortization, amortization of purchase accounting adjustment related to increasing the carrying value of certain assets to fair value, and acquisition related expenses.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Small UAS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gridSpan w:val="2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 January 28, 2023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TMS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MUAS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HAPS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$ 69,376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and other purchase accounting</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2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 January 29, 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Small UAS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TMS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MUAS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HAPS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$ 24,366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(1,289)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and other purchase accounting</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(1,235)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1"/>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Nine Months Ended January 28, 2023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2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Small UAS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TMS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MUAS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HAPS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$ 139,313</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78,127</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46,888</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and other purchase accounting</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26,514</w:t>
            </w:r>
          </w:p>
        </w:tc>
        <w:tc>
          <w:tcPr>
            <w:tcW w:w="160" w:type="dxa"/>
            <w:vAlign w:val="bottom"/>
            <w:gridSpan w:val="2"/>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w:t>
            </w:r>
          </w:p>
        </w:tc>
        <w:tc>
          <w:tcPr>
            <w:tcW w:w="160" w:type="dxa"/>
            <w:vAlign w:val="bottom"/>
            <w:gridSpan w:val="3"/>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4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60" w:type="dxa"/>
            <w:vAlign w:val="bottom"/>
            <w:gridSpan w:val="10"/>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Nine Months Ended January 29, 2022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UAS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MUAS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HAPS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and other purchase accounting</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Segment assets are summarized in the table below. Corporate assets primarily consist of cash and cash equivalents, short-term investments, prepaid expenses and other current assets, long-term investments, property and equipment, net, operating lease right-of-use assets, deferred income taxes and other assets managed centrally on behalf of the business segments.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Small UAS</w:t>
            </w: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TMS</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MUAS</w:t>
            </w:r>
          </w:p>
        </w:tc>
        <w:tc>
          <w:tcPr>
            <w:tcW w:w="140" w:type="dxa"/>
            <w:vAlign w:val="bottom"/>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HAPS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$ 168,081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$ 67,786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$ 379,307</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$ 7,937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$ 84,989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$ 213,102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921,202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80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Small UAS</w:t>
            </w:r>
          </w:p>
        </w:tc>
        <w:tc>
          <w:tcPr>
            <w:tcW w:w="16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TMS</w:t>
            </w:r>
          </w:p>
        </w:tc>
        <w:tc>
          <w:tcPr>
            <w:tcW w:w="1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MUAS</w:t>
            </w: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HAPS</w:t>
            </w: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$ 110,286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$ 91,862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$ 388,058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$ 8,148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$ 86,617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$ 229,229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On February 24, 2023, the Company was issued a stop work notification for the Company’s remaining MUAS COCO services site location, which terminated the COCO flight services effective immediately. The impacts of the site completion will include accelerated depreciation charges of certain deployed fixed assets related to the MUAS site location of approximately $6,000,000, which will be recorded during the Company’s fiscal quarter ending April 30, 2023, and will be evaluated as part of the annual goodwill and intangible asset impairment test performed during the fourth quarter. Refer to Note 9—Goodwill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right="339" w:hanging="849"/>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2022, as updated by our subsequent filings under the Securities and Exchange Act of 1934, as amended (the “Exchange 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The following should be read in conjunction with the critical accounting estimates presented in our Annual Report on Form 10-K for the fiscal year ended April 30, 2022.</w:t>
      </w:r>
    </w:p>
    <w:p>
      <w:pPr>
        <w:spacing w:after="0" w:line="162"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in accordance with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requires revenue to be recognized when promised goods or services are transferred to customers in amounts that reflect the consideration to which we expect to be entitled in exchange for those goods or services.</w:t>
      </w:r>
    </w:p>
    <w:p>
      <w:pPr>
        <w:spacing w:after="0" w:line="175"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color w:val="auto"/>
        </w:rPr>
        <w:t>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90"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Our small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83"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We review cost performance, estimates-to-complete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months ended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January 28, 2023 and January 29, 2022, changes in accounting estimates on contracts recognized over time are presented below.</w:t>
      </w:r>
    </w:p>
    <w:p>
      <w:pPr>
        <w:spacing w:after="0" w:line="162" w:lineRule="exact"/>
        <w:rPr>
          <w:sz w:val="20"/>
          <w:szCs w:val="20"/>
          <w:color w:val="auto"/>
        </w:rPr>
      </w:pPr>
    </w:p>
    <w:p>
      <w:pPr>
        <w:ind w:left="40" w:right="659"/>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28, 2023 and January 29, 2022,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00" w:type="dxa"/>
            <w:vAlign w:val="bottom"/>
          </w:tcPr>
          <w:p>
            <w:pPr>
              <w:spacing w:after="0"/>
              <w:rPr>
                <w:sz w:val="10"/>
                <w:szCs w:val="10"/>
                <w:color w:val="auto"/>
              </w:rPr>
            </w:pPr>
          </w:p>
        </w:tc>
      </w:tr>
      <w:tr>
        <w:trPr>
          <w:trHeight w:val="173"/>
        </w:trPr>
        <w:tc>
          <w:tcPr>
            <w:tcW w:w="6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r>
      <w:tr>
        <w:trPr>
          <w:trHeight w:val="209"/>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(unfavorable) adjustments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99"/>
        <w:spacing w:after="0" w:line="261" w:lineRule="auto"/>
        <w:rPr>
          <w:sz w:val="20"/>
          <w:szCs w:val="20"/>
          <w:color w:val="auto"/>
        </w:rPr>
      </w:pPr>
      <w:r>
        <w:rPr>
          <w:rFonts w:ascii="Times New Roman" w:cs="Times New Roman" w:eastAsia="Times New Roman" w:hAnsi="Times New Roman"/>
          <w:sz w:val="18"/>
          <w:szCs w:val="18"/>
          <w:color w:val="auto"/>
        </w:rPr>
        <w:t>For the three months ended January 28, 2023, favorable cumulative catch-up adjustments of $1.7 million were primarily due to final cost adjustments on 11 contracts, which individually were not material. For the same period, unfavorable cumulative catch-up adjustments of $0.9 million were primarily related to higher than expected costs on seven contracts, which individually were not material.</w:t>
      </w:r>
    </w:p>
    <w:p>
      <w:pPr>
        <w:spacing w:after="0" w:line="180" w:lineRule="exact"/>
        <w:rPr>
          <w:sz w:val="20"/>
          <w:szCs w:val="20"/>
          <w:color w:val="auto"/>
        </w:rPr>
      </w:pPr>
    </w:p>
    <w:p>
      <w:pPr>
        <w:ind w:left="40" w:right="79"/>
        <w:spacing w:after="0" w:line="312" w:lineRule="auto"/>
        <w:rPr>
          <w:sz w:val="20"/>
          <w:szCs w:val="20"/>
          <w:color w:val="auto"/>
        </w:rPr>
      </w:pPr>
      <w:r>
        <w:rPr>
          <w:rFonts w:ascii="Times New Roman" w:cs="Times New Roman" w:eastAsia="Times New Roman" w:hAnsi="Times New Roman"/>
          <w:sz w:val="17"/>
          <w:szCs w:val="17"/>
          <w:color w:val="auto"/>
        </w:rPr>
        <w:t>Also during the three months ended January 28, 2023, we recognized a decrease in the forward loss reserves on two MUAS ISR contracts for $2.4 million and an increase in the forward loss reserve of an MUAS products contract for $1.6 million.</w:t>
      </w:r>
    </w:p>
    <w:p>
      <w:pPr>
        <w:spacing w:after="0" w:line="140" w:lineRule="exact"/>
        <w:rPr>
          <w:sz w:val="20"/>
          <w:szCs w:val="20"/>
          <w:color w:val="auto"/>
        </w:rPr>
      </w:pPr>
    </w:p>
    <w:p>
      <w:pPr>
        <w:ind w:left="40" w:right="319"/>
        <w:spacing w:after="0" w:line="261" w:lineRule="auto"/>
        <w:rPr>
          <w:sz w:val="20"/>
          <w:szCs w:val="20"/>
          <w:color w:val="auto"/>
        </w:rPr>
      </w:pPr>
      <w:r>
        <w:rPr>
          <w:rFonts w:ascii="Times New Roman" w:cs="Times New Roman" w:eastAsia="Times New Roman" w:hAnsi="Times New Roman"/>
          <w:sz w:val="18"/>
          <w:szCs w:val="18"/>
          <w:color w:val="auto"/>
        </w:rPr>
        <w:t>For the three months ended January 29, 2022, favorable cumulative catch-up adjustments of $1.1 million were primarily due to final cost adjustments on six contracts, which individually were not material. For the same period, unfavorable cumulative catch-up adjustments of $1.7 million were primarily related to higher than expected costs on 10 contracts, which individually were not material.</w:t>
      </w:r>
    </w:p>
    <w:p>
      <w:pPr>
        <w:spacing w:after="0" w:line="180" w:lineRule="exact"/>
        <w:rPr>
          <w:sz w:val="20"/>
          <w:szCs w:val="20"/>
          <w:color w:val="auto"/>
        </w:rPr>
      </w:pPr>
    </w:p>
    <w:p>
      <w:pPr>
        <w:ind w:left="40" w:right="699"/>
        <w:spacing w:after="0" w:line="282" w:lineRule="auto"/>
        <w:rPr>
          <w:sz w:val="20"/>
          <w:szCs w:val="20"/>
          <w:color w:val="auto"/>
        </w:rPr>
      </w:pPr>
      <w:r>
        <w:rPr>
          <w:rFonts w:ascii="Times New Roman" w:cs="Times New Roman" w:eastAsia="Times New Roman" w:hAnsi="Times New Roman"/>
          <w:sz w:val="18"/>
          <w:szCs w:val="18"/>
          <w:color w:val="auto"/>
        </w:rPr>
        <w:t>For the nine months ended January 28, 2023 and January 29, 2022,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2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unfavorable adjustments</w:t>
            </w:r>
          </w:p>
        </w:tc>
        <w:tc>
          <w:tcPr>
            <w:tcW w:w="2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For the nine months ended January 28, 2023, favorable cumulative catch-up adjustments of $2.3 million were primarily due to final cost adjustments on 22 contracts, which individually were not material. For the same period, unfavorable cumulative catch-up adjustments of $3.7 million were primarily related to higher than expected costs on six contracts. During the nine months ended January 28, 2023, we revised our estimates of the total expected costs to complete two TMS variant contracts. The aggregate impact of these adjustments in contract estimates on revenue related to performance obligations satisfied or partially satisfied in previous periods was a decrease to revenue of approximately $2.4 million.</w:t>
      </w:r>
    </w:p>
    <w:p>
      <w:pPr>
        <w:spacing w:after="0" w:line="187"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For the nine months ended January 29, 2022, favorable cumulative catch-up adjustments of $1.2 million were primarily due to final cost adjustments on 18 contracts, which individually were not material. For the same period, unfavorable cumulative catch-up adjustments of $2.2 million were primarily related to higher than expected costs on 15 contracts, which individually were not material.</w:t>
      </w:r>
    </w:p>
    <w:p>
      <w:pPr>
        <w:spacing w:after="0" w:line="3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Goodwill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8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its business.</w:t>
      </w:r>
    </w:p>
    <w:p>
      <w:pPr>
        <w:spacing w:after="0" w:line="192"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Our MUAS reporting unit is considered at an increased risk of failing future quantitative goodwill impairment tests as the estimated fair value exceeded its carrying value by approximately 10% during the most recent annual goodwill impairment test performed during the fourth quarter ended April 30, 2022. The termination of the COCO flight services at our remaining MUAS COCO services site location will be evaluated as part of the annual goodwill and intangible asset impairment test. We perform our annual impairment tests during the fourth quarter of each fiscal year. The intangibles included in the MUAS reporting unit of $56.0 million as of January 28, 2023 will also be evaluated for potential impairment during the fourth quarter.</w:t>
      </w:r>
    </w:p>
    <w:p>
      <w:pPr>
        <w:spacing w:after="0" w:line="18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40" w:right="139"/>
        <w:spacing w:after="0" w:line="289" w:lineRule="auto"/>
        <w:rPr>
          <w:sz w:val="20"/>
          <w:szCs w:val="20"/>
          <w:color w:val="auto"/>
        </w:rPr>
      </w:pPr>
      <w:r>
        <w:rPr>
          <w:rFonts w:ascii="Times New Roman" w:cs="Times New Roman" w:eastAsia="Times New Roman" w:hAnsi="Times New Roman"/>
          <w:sz w:val="17"/>
          <w:szCs w:val="17"/>
          <w:color w:val="auto"/>
        </w:rPr>
        <w:t>Due to our fixed year end date of April 30, our first and fourth quarters each consist of approximately 13 weeks. The second and third quarters each consist of exactly 13 weeks. Our first three quarters end on a Saturday. Our 2023 fiscal year ends on April 30, 2023 and our fiscal quarters end on July 30, 2022, October 29, 2022 and January 28, 2023, respectively.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28, 2023 Compared to Three Months Ended January 29, 2022</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00" w:type="dxa"/>
            <w:vAlign w:val="bottom"/>
          </w:tcPr>
          <w:p>
            <w:pPr>
              <w:spacing w:after="0"/>
              <w:rPr>
                <w:sz w:val="10"/>
                <w:szCs w:val="10"/>
                <w:color w:val="auto"/>
              </w:rPr>
            </w:pPr>
          </w:p>
        </w:tc>
      </w:tr>
      <w:tr>
        <w:trPr>
          <w:trHeight w:val="173"/>
        </w:trPr>
        <w:tc>
          <w:tcPr>
            <w:tcW w:w="6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90,093</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68,657</w:t>
            </w:r>
          </w:p>
        </w:tc>
        <w:tc>
          <w:tcPr>
            <w:tcW w:w="10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100" w:type="dxa"/>
            <w:vAlign w:val="bottom"/>
          </w:tcPr>
          <w:p>
            <w:pPr>
              <w:spacing w:after="0"/>
              <w:rPr>
                <w:sz w:val="18"/>
                <w:szCs w:val="18"/>
                <w:color w:val="auto"/>
              </w:rPr>
            </w:pPr>
          </w:p>
        </w:tc>
      </w:tr>
      <w:tr>
        <w:trPr>
          <w:trHeight w:val="22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(15,396)</w:t>
            </w: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 (loss) income, net of tax</w:t>
            </w:r>
          </w:p>
        </w:tc>
        <w:tc>
          <w:tcPr>
            <w:tcW w:w="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r>
      <w:tr>
        <w:trPr>
          <w:trHeight w:val="209"/>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We have identified four reportable segments, Small Unmanned Aircraft Systems (“Small UAS”), Tactical Missile Systems (“TMS”), Medium Unmanned Aircraft Systems (“MUAS”) and High Altitude Pseudo-Satellite Unmanned Aircraft Systems (“HAPS”). The Small UAS segment consists of our existing small UAS product lines. The TMS segment consists of our existing tactical missile systems product lines. The MUAS segment consists of our acquired Arcturus business. The HAPS segment consists of the Company’s existing development of High Altitude Pseudo-Satellite systems in conjunction with SoftBank. The category entitled “All other” includes MacCready Works, which includes the recently acquired ISG, and Telerob businesses. 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 All corporate and headquarter expenses are allocated to the reportable segments.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Small UAS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TMS</w:t>
            </w:r>
          </w:p>
        </w:tc>
        <w:tc>
          <w:tcPr>
            <w:tcW w:w="3040" w:type="dxa"/>
            <w:vAlign w:val="bottom"/>
            <w:gridSpan w:val="9"/>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 January 28, 2023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MUAS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HAPS</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$ 69,376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and other purchase accounting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$ 19,217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60" w:type="dxa"/>
            <w:vAlign w:val="bottom"/>
            <w:gridSpan w:val="9"/>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January 29, 2022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Small UAS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MUAS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HAPS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and other purchase accounting</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right="599"/>
        <w:spacing w:after="0" w:line="282" w:lineRule="auto"/>
        <w:rPr>
          <w:sz w:val="20"/>
          <w:szCs w:val="20"/>
          <w:color w:val="auto"/>
        </w:rPr>
      </w:pPr>
      <w:r>
        <w:rPr>
          <w:rFonts w:ascii="Times New Roman" w:cs="Times New Roman" w:eastAsia="Times New Roman" w:hAnsi="Times New Roman"/>
          <w:sz w:val="18"/>
          <w:szCs w:val="18"/>
          <w:color w:val="auto"/>
        </w:rPr>
        <w:t>The Company recorded intangible amortization expense and other purchase accounting adjustments in the following categories on the accompanying unaudited condensed consolidated statements of operations: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00" w:type="dxa"/>
            <w:vAlign w:val="bottom"/>
          </w:tcPr>
          <w:p>
            <w:pPr>
              <w:spacing w:after="0"/>
              <w:rPr>
                <w:sz w:val="10"/>
                <w:szCs w:val="10"/>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Borders>
              <w:bottom w:val="single" w:sz="8" w:color="CCEEFF"/>
            </w:tcBorders>
          </w:tcPr>
          <w:p>
            <w:pPr>
              <w:spacing w:after="0"/>
              <w:rPr>
                <w:sz w:val="18"/>
                <w:szCs w:val="18"/>
                <w:color w:val="auto"/>
              </w:rPr>
            </w:pPr>
          </w:p>
        </w:tc>
      </w:tr>
      <w:tr>
        <w:trPr>
          <w:trHeight w:val="209"/>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right="13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January 28, 2023 was $134.4 million, as compared to $90.1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January 29, 2022, representing an increase of $44.3 million, or 49%. The increase in revenue was due to an increase in product revenue of $48.6 million, partially offset by a decrease in service revenue of $4.3 million. The increase in product revenue was primarily due to increases in small UAS and TMS product revenue, partially offset by a decrease in All other product revenue. The decrease in service revenue was primarily due to a decrease in MUAS service revenue, partially offset by increases in customer-funded research and development revenue. We expect the lower levels of MUAS service revenues to continue into fiscal 2024 due to the completion of certain MUAS site locations. Due to the higher backlog, the increase in the small UAS product revenues as compared to the prior year period is expected to continue for the fourth quarter of the fiscal year ended April 30, 2023.</w:t>
      </w:r>
    </w:p>
    <w:p>
      <w:pPr>
        <w:spacing w:after="0" w:line="188"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January 28, 2023 was $88.9 million, as compared to $68.7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January 29, 2022, representing an increase of $20.2 million, or 29%. The increase in cost of sales was a result of an increase in product cost of sales of $25.6 million, partially offset by a decrease in service costs of sales of $5.3 million. The increase in product costs of sales was primarily due to an increase in product revenue, partially offset by a favorable product mix. The decrease in service cost of sales was primarily due a decrease in service revenue. Cost of sales for the three months ended January 28, 2023 included $3.3 million of intangible amortization and other related non-cash purchase accounting expenses as compared to $5.1 million for the three months ended January 29, 2022. As a percentage of revenue, cost of sales decreased from 76% to 66%, primarily due to a favorable product mix, a decrease in intangible amortization and other related non-cash purchase accounting expenses, and an increase in revenue resulting in higher overhead cost absorption, partially offset by accelerated depreciation charges of certain deployed fixed assets related to the anticipated completion of certain MUAS site locations of $4.3 million.</w:t>
      </w:r>
    </w:p>
    <w:p>
      <w:pPr>
        <w:spacing w:after="0" w:line="182"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three months ended January 28, 2023 was $45.5 million, as compared to $21.4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January 29, 2022, representing an increase of $24.1 million, or 112%. The increase in gross margin was due primarily to an increase in product margin of $23.0 million and an increase in service margin of $1.0 million. The increase in product margin was primarily due to the increase in product sales and a favorable product mix. The increase in service margin was primarily due to a favorable service mix and higher overhead cost absorption. As a percentage of revenue, gross margin increased from 24% to 34%, primarily due to a favorable product mix, a decrease in intangible amortization and other related non-cash purchase accounting expenses, and an increase in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resulting in higher overhead cost absorption, partially offset by accelerated depreciation charges of certain deployed fixed assets related to the anticipated completion of certain MUAS site locations of $4.3 million. Additionally, we expect inflationary and supply chain constraint trends to continue throughout our fiscal year 2023, which are currently impacting and will continue to negatively impact our gross margin across all our segments.</w:t>
      </w:r>
    </w:p>
    <w:p>
      <w:pPr>
        <w:spacing w:after="0" w:line="176"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three months ended January 28, 2023 was $24.7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 of revenue, as compared to SG&amp;A expense of $22.5 million, or 25% of revenue, for the three months ended January 29, 2022. The increase in SG&amp;A expense was primarily due to an increase in employee related expenses, partially offset by a decrease in intangible amortization and other related non-cash purchase accounting expenses.</w:t>
      </w:r>
    </w:p>
    <w:p>
      <w:pPr>
        <w:spacing w:after="0" w:line="176" w:lineRule="exact"/>
        <w:rPr>
          <w:sz w:val="20"/>
          <w:szCs w:val="20"/>
          <w:color w:val="auto"/>
        </w:rPr>
      </w:pPr>
    </w:p>
    <w:p>
      <w:pPr>
        <w:ind w:left="4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January 28, 2023 was $16.2 million, or 12%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$13.0 million, or 14% of revenue, for the three months ended January 29, 2022, primarily due to an increase in development activities regarding enhanced capabilities for our products, development of new product lines and support for our acquired businesses.</w:t>
      </w:r>
    </w:p>
    <w:p>
      <w:pPr>
        <w:spacing w:after="0" w:line="176"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three months ended January 28, 2023 was $2.8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net of $1.5 million for the three months ended January 29, 2022. The increase in interest expense, net was primarily due to an increase in interest expense resulting from higher interest rates on our debt facility, partially offset by lower average outstanding balances.</w:t>
      </w:r>
    </w:p>
    <w:p>
      <w:pPr>
        <w:spacing w:after="0" w:line="176" w:lineRule="exact"/>
        <w:rPr>
          <w:sz w:val="20"/>
          <w:szCs w:val="20"/>
          <w:color w:val="auto"/>
        </w:rPr>
      </w:pPr>
    </w:p>
    <w:p>
      <w:pPr>
        <w:ind w:left="4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w:t>
      </w:r>
      <w:r>
        <w:rPr>
          <w:rFonts w:ascii="Times New Roman" w:cs="Times New Roman" w:eastAsia="Times New Roman" w:hAnsi="Times New Roman"/>
          <w:sz w:val="18"/>
          <w:szCs w:val="18"/>
          <w:color w:val="auto"/>
        </w:rPr>
        <w:t>Other expense, net, for the three months ended January 28, 2023 was $(2.6)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other income, net of $34 thousand for the three months ended January 29, 2022. Other expense, net for the three months ended January 28, 2023 includes unrealized losses associated with decreases in the fair market value for equity security investments.</w:t>
      </w:r>
    </w:p>
    <w:p>
      <w:pPr>
        <w:spacing w:after="0" w:line="17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Income Taxes. </w:t>
      </w:r>
      <w:r>
        <w:rPr>
          <w:rFonts w:ascii="Times New Roman" w:cs="Times New Roman" w:eastAsia="Times New Roman" w:hAnsi="Times New Roman"/>
          <w:sz w:val="18"/>
          <w:szCs w:val="18"/>
          <w:color w:val="auto"/>
        </w:rPr>
        <w:t>Our effective income tax rate was 67.2% for the three months ended January 28, 2023,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98.7% for the three months ended January 29, 2022. Historically, we calculated the provision for income taxes during interim reporting periods by applying an estimate of our annual effective tax rate (“AETR”) for the full fiscal year to the pretax income or loss for the interim reporting period. For the three months ended January 28, 2023, we calculated the provision for income taxes using a discrete effective tax rate (“ETR”) method. We determined that since small changes in estimated pretax income or loss would result in significant changes in the estimated AETR, the historical method would not provide a reliable estimate for the three months ended January 28, 2023. The decrease in our effective income tax rate was in part due to the change to the ETR method. The effective income tax rate for the three months ended January 28, 2023 was primarily impacted by expected federal R&amp;D tax credits, foreign-derived intangible income deductions and excess tax benefits on equity awards.</w:t>
      </w:r>
    </w:p>
    <w:p>
      <w:pPr>
        <w:spacing w:after="0" w:line="185"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(Loss) Income, net of Tax. </w:t>
      </w:r>
      <w:r>
        <w:rPr>
          <w:rFonts w:ascii="Times New Roman" w:cs="Times New Roman" w:eastAsia="Times New Roman" w:hAnsi="Times New Roman"/>
          <w:sz w:val="18"/>
          <w:szCs w:val="18"/>
          <w:color w:val="auto"/>
        </w:rPr>
        <w:t>Equity method investment loss, net of tax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January 28, 2023 was $(0.4) million as compared to equity method investment income, net of tax of $0.2 million for the three months ended January 29, 2022. In March 2022, the Company sold its 7% equity interest in HAPSMobile to SoftBank. Subsequent to the equity interest sale in HAPSMobile during the three months ended April 30, 2022, equity method investment loss, net of tax relates to activity related to investments in limited partnership funds.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January 28, 2023 Compared to Nine Months Ended January 29, 2022</w:t>
      </w:r>
    </w:p>
    <w:p>
      <w:pPr>
        <w:spacing w:after="0" w:line="189"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following tables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 All corporate and headquarter expenses are allocated to the reportable segments.</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354,495</w:t>
            </w:r>
          </w:p>
        </w:tc>
        <w:tc>
          <w:tcPr>
            <w:tcW w:w="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249,381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 investment (loss) income, net of tax</w:t>
            </w: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0"/>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Nine Months Ended January 28, 2023</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Small UAS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TMS</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MUAS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HAPS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and other purchase accounting</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10"/>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Nine Months Ended January 29, 2022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UAS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MUAS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HAPS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$ 119,004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and other purchase accounting</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nine months ended January 28, 2023 was $354.5 million, as compared to $313.1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January 29, 2022, representing an increase of $41.4 million, or 13%. The increase in revenue was due to an increase in product revenue of $44.8 million, partially offset by a decrease in service revenue of $3.4 million. The increase in product revenue was primarily due to increases in small UAS, TMS and MUAS product revenue.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77" w:lineRule="auto"/>
        <w:rPr>
          <w:sz w:val="20"/>
          <w:szCs w:val="20"/>
          <w:color w:val="auto"/>
        </w:rPr>
      </w:pPr>
      <w:r>
        <w:rPr>
          <w:rFonts w:ascii="Times New Roman" w:cs="Times New Roman" w:eastAsia="Times New Roman" w:hAnsi="Times New Roman"/>
          <w:sz w:val="17"/>
          <w:szCs w:val="17"/>
          <w:color w:val="auto"/>
        </w:rPr>
        <w:t>decrease in service revenue was primarily due to decreases in MUAS, small UAS and HAPS service revenue, partially offset by increases in revenue from customer-funded research and development efforts primarily in our All Other and TMS segments. We expect the lower levels of MUAS service revenues to continue into fiscal 2024 related to the completion of certain MUAS site locations. Due to the higher backlog, we expect the Small UAS product revenues to be significantly higher in the fourth quarter of fiscal 2023 and during the first half of fiscal 2024 as compared to the first half of fiscal 2023.</w:t>
      </w:r>
    </w:p>
    <w:p>
      <w:pPr>
        <w:spacing w:after="0" w:line="164"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nine months ended January 28, 2023 was $249.4 million, as compared to $220.5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nine months ended January 29, 2022, representing an increase of $28.9 million, or 13%. The increase in cost of sales was a result of an increase in product cost of sales of $26.4 million and an increase in service costs of sales of $2.5 million. The increase in product costs of sales was primarily due to an increase in product revenue. The increase in service cost of sales was primarily due to accelerated depreciation charges of certain deployed fixed assets related to the anticipated completion of certain MUAS site locations of $8.1 million, partially offset by a decrease in service revenue and a decrease in intangible amortization and other related non-cash purchase accounting expenses. Cost of sales for the nine months ended January 28, 2023 included $10.4 million of intangible amortization and other related non-cash purchase accounting expenses as compared to $14.6 million for the nine months ended January 29, 2022. As a percentage of revenue, cost of sales remained consistent at 70%.</w:t>
      </w:r>
    </w:p>
    <w:p>
      <w:pPr>
        <w:spacing w:after="0" w:line="185" w:lineRule="exact"/>
        <w:rPr>
          <w:sz w:val="20"/>
          <w:szCs w:val="20"/>
          <w:color w:val="auto"/>
        </w:rPr>
      </w:pPr>
    </w:p>
    <w:p>
      <w:pPr>
        <w:ind w:left="40" w:right="1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nine months ended January 28, 2023 was $105.1 million, as compared to $92.6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nine months ended January 29, 2022, representing an increase of $12.5 million, or 13%. The increase in gross margin was due to an increase in product margin of $18.4 million, partially offset by a decrease in service margin of $5.9 million. The increase in product margin was primarily due to the increase in product sales combined with a favorable product mix. The decrease in service margin was primarily due to accelerated depreciation charges of certain deployed fixed assets related to the anticipated completion of certain MUAS site locations of $8.1 million and a decrease in service revenue. As a percentage of revenue, gross margin remained consistent at 30%. Additionally, we expect inflationary and supply chain constraint trends to continue throughout our fiscal year 2023, which are currently and will continue to negatively impact our gross margin across all our segments.</w:t>
      </w:r>
    </w:p>
    <w:p>
      <w:pPr>
        <w:spacing w:after="0" w:line="188" w:lineRule="exact"/>
        <w:rPr>
          <w:sz w:val="20"/>
          <w:szCs w:val="20"/>
          <w:color w:val="auto"/>
        </w:rPr>
      </w:pPr>
    </w:p>
    <w:p>
      <w:pPr>
        <w:ind w:left="40" w:right="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nine months ended January 28, 2023 was $70.3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 of revenue, as compared to SG&amp;A expense of $74.5 million, or 24% of revenue, for the nine months ended January 29, 2022. The decrease in SG&amp;A expense was primarily due to a decrease in acquisition-related expenses of $3.9 million and a decrease in intangible amortization and other related non-cash purchase accounting expenses of $2.7 million, partially offset by an increase in employee related costs.</w:t>
      </w:r>
    </w:p>
    <w:p>
      <w:pPr>
        <w:spacing w:after="0" w:line="179" w:lineRule="exact"/>
        <w:rPr>
          <w:sz w:val="20"/>
          <w:szCs w:val="20"/>
          <w:color w:val="auto"/>
        </w:rPr>
      </w:pPr>
    </w:p>
    <w:p>
      <w:pPr>
        <w:ind w:left="4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nine months ended January 28, 2023 was $47.8 million, or 13%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$41.0 million, or 13% of revenue, for the nine months ended January 29, 2022, primarily due to an increase in development activities regarding enhanced capabilities for our products, development of new product lines and to support our acquired businesses.</w:t>
      </w:r>
    </w:p>
    <w:p>
      <w:pPr>
        <w:spacing w:after="0" w:line="176"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nine months ended January 28, 2023 was $6.7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net of $4.2 million for the nine months ended January 29, 2022. The increase in interest expense, net was primarily due to an increase in interest expense resulting from higher interest rates on our debt facility, partially offset by lower average outstanding balances.</w:t>
      </w:r>
    </w:p>
    <w:p>
      <w:pPr>
        <w:spacing w:after="0" w:line="176" w:lineRule="exact"/>
        <w:rPr>
          <w:sz w:val="20"/>
          <w:szCs w:val="20"/>
          <w:color w:val="auto"/>
        </w:rPr>
      </w:pPr>
    </w:p>
    <w:p>
      <w:pPr>
        <w:ind w:left="40" w:right="2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nine months ended January 28, 2023 was $2.2 million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net of $10.4 million for the nine months ended January 29, 2022. The decrease in other expense, net is primarily due to a legal accrual of $10.0 million for the settlement of all claims made by the buyers of our former EES business recorded during the nine months ended January 29, 2022. Other expense, net for the nine months ended January 28, 2023 includes unrealized losses associated with decreases in fair market value for equity security investments.</w:t>
      </w:r>
    </w:p>
    <w:p>
      <w:pPr>
        <w:spacing w:after="0" w:line="179"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Income Taxes. </w:t>
      </w:r>
      <w:r>
        <w:rPr>
          <w:rFonts w:ascii="Times New Roman" w:cs="Times New Roman" w:eastAsia="Times New Roman" w:hAnsi="Times New Roman"/>
          <w:sz w:val="18"/>
          <w:szCs w:val="18"/>
          <w:color w:val="auto"/>
        </w:rPr>
        <w:t>Our effective income tax rate was 38.3% for the nine months ended January 28, 2023,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69.1% for the nine months ended January 29, 2022. Historically, we calculate the provision for income taxes during interim reporting periods by applying an estimate of our annual effective tax rate (“AETR”) for the full fiscal year to the pretax income or loss for the interim reporting period. For the nine months ended January 28, 2023, we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8"/>
          <w:szCs w:val="18"/>
          <w:color w:val="auto"/>
        </w:rPr>
        <w:t>calculated the provision for income taxes using a discrete effective tax rate (“ETR”) method. We determined that since small changes in estimated pretax income or loss would result in significant changes in the estimated AETR, the historical method would not provide a reliable estimate for the nine months ended January 28, 2023. The decrease in our effective income tax rate was primarily due to the change to the ETR method. The effective income tax rate for the nine months ended January 28, 2023 was primarily impacted by expected federal R&amp;D tax credits and foreign-derived intangible income deductions.</w:t>
      </w:r>
    </w:p>
    <w:p>
      <w:pPr>
        <w:spacing w:after="0" w:line="183" w:lineRule="exact"/>
        <w:rPr>
          <w:sz w:val="20"/>
          <w:szCs w:val="20"/>
          <w:color w:val="auto"/>
        </w:rPr>
      </w:pPr>
    </w:p>
    <w:p>
      <w:pPr>
        <w:jc w:val="both"/>
        <w:ind w:left="40" w:right="5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Equity Method Investment (Loss) Income, net of Tax. </w:t>
      </w:r>
      <w:r>
        <w:rPr>
          <w:rFonts w:ascii="Times New Roman" w:cs="Times New Roman" w:eastAsia="Times New Roman" w:hAnsi="Times New Roman"/>
          <w:sz w:val="17"/>
          <w:szCs w:val="17"/>
          <w:color w:val="auto"/>
        </w:rPr>
        <w:t>Equity method investment loss, net of tax for the nine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January 28, 2023 was $2.2 million as compared to equity method investment income, net of tax of $0.2 million for the nine months ended January 29, 2022. In March 2022, the Company sold its 7% equity interest in HAPSMobile to SoftBank.</w:t>
      </w:r>
    </w:p>
    <w:p>
      <w:pPr>
        <w:spacing w:after="0" w:line="1" w:lineRule="exact"/>
        <w:rPr>
          <w:sz w:val="20"/>
          <w:szCs w:val="20"/>
          <w:color w:val="auto"/>
        </w:rPr>
      </w:pPr>
    </w:p>
    <w:p>
      <w:pPr>
        <w:ind w:left="40" w:right="639"/>
        <w:spacing w:after="0" w:line="260" w:lineRule="auto"/>
        <w:rPr>
          <w:sz w:val="20"/>
          <w:szCs w:val="20"/>
          <w:color w:val="auto"/>
        </w:rPr>
      </w:pPr>
      <w:r>
        <w:rPr>
          <w:rFonts w:ascii="Times New Roman" w:cs="Times New Roman" w:eastAsia="Times New Roman" w:hAnsi="Times New Roman"/>
          <w:sz w:val="18"/>
          <w:szCs w:val="18"/>
          <w:color w:val="auto"/>
        </w:rPr>
        <w:t>Subsequent to the equity interest sale in HAPSMobile during the three months ended April 30, 2022, equity method investment loss, net of tax relates to activity related to investments in limited partnership funds.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Consistent with ASC 606, we define funded backlog as remaining performance obligations under firm orders for which funding is currently appropriated to us under a customer contract. As of January 28, 2023, our funded backlog was approximately $413.9 million, as compared to $210.8 million as of April 30, 2022.</w:t>
      </w:r>
    </w:p>
    <w:p>
      <w:pPr>
        <w:spacing w:after="0" w:line="176"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$387.0 million as of January 28, 2023. Unfunded backlog does not meet the definition of a performance obligation under ASC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includes a $235.2 million contract with a third party that is pending export license approval prior to the funding of the contract. Unfunded backlog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 Additionally, unfunded backlog on the U.S. Special Operations Command (“SOCOM”) Mid-Endurance Unmanned Aircraft Systems (“MEUAS”) contract reflects only those sites which have been awarded to Arcturus and does not include the remaining potential value associated with the entire SOCOM MEUAS III/IV contract.</w:t>
      </w:r>
    </w:p>
    <w:p>
      <w:pPr>
        <w:spacing w:after="0" w:line="187"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79"/>
        <w:spacing w:after="0" w:line="236" w:lineRule="auto"/>
        <w:rPr>
          <w:sz w:val="20"/>
          <w:szCs w:val="20"/>
          <w:color w:val="auto"/>
        </w:rPr>
      </w:pPr>
      <w:r>
        <w:rPr>
          <w:rFonts w:ascii="Times New Roman" w:cs="Times New Roman" w:eastAsia="Times New Roman" w:hAnsi="Times New Roman"/>
          <w:sz w:val="18"/>
          <w:szCs w:val="18"/>
          <w:color w:val="auto"/>
        </w:rPr>
        <w:t>On September 8, 2022 we filed an S-3 shelf registration statement to offer and sell shares of our common stock,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 LLC relating to the proposed offer and sale of shares of our common stock having an aggregate offering price of up to $200.0 million from time to time through Jefferies LLC as our sales agent. As of January 28, 2023, we have sold 221,971 of our shares for total gross proceeds of $21.4 million, and we have $178.6 million aggregate offering price remaining available under the registration.</w:t>
      </w:r>
    </w:p>
    <w:p>
      <w:pPr>
        <w:spacing w:after="0" w:line="200" w:lineRule="exact"/>
        <w:rPr>
          <w:sz w:val="20"/>
          <w:szCs w:val="20"/>
          <w:color w:val="auto"/>
        </w:rPr>
      </w:pPr>
    </w:p>
    <w:p>
      <w:pPr>
        <w:ind w:left="40" w:right="239"/>
        <w:spacing w:after="0" w:line="289" w:lineRule="auto"/>
        <w:rPr>
          <w:sz w:val="20"/>
          <w:szCs w:val="20"/>
          <w:color w:val="auto"/>
        </w:rPr>
      </w:pPr>
      <w:r>
        <w:rPr>
          <w:rFonts w:ascii="Times New Roman" w:cs="Times New Roman" w:eastAsia="Times New Roman" w:hAnsi="Times New Roman"/>
          <w:sz w:val="17"/>
          <w:szCs w:val="17"/>
          <w:color w:val="auto"/>
        </w:rPr>
        <w:t>On February 19, 2021 in connection with the consummation of the Arcturus acquisition, we entered into the Credit Agreement for (i) the Revolving Facility, and (ii) the Term Loan Facility, and together with the Revolving Credit Facility, the “Credit Facilities”. The Term Loan Facility requires payment of 5% of the outstanding obligations in each of</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Our ability to borrow under the Revolving Facility is reduced by outstanding letters of credit of $4.7 million as of January 28, 2023. As of January 28, 2023, approximately $95.3 million was available under the Revolving Facility. Borrowings under the Revolving Facility may be used for working capital and other general corporate purposes. Refer to Note 10—Debt to our unaudited condensed consolidated financial statements in Part I, Item 1 of this Quarterly Report on Form 10-Q for further details. In addition, Telerob has a line of credit of €5.5 million ($6.0 million) available for issuing letters of credit of which €2.8 million ($3.0 million) was outstanding as of January 28, 2023.</w:t>
      </w:r>
    </w:p>
    <w:p>
      <w:pPr>
        <w:spacing w:after="0" w:line="188" w:lineRule="exact"/>
        <w:rPr>
          <w:sz w:val="20"/>
          <w:szCs w:val="20"/>
          <w:color w:val="auto"/>
        </w:rPr>
      </w:pPr>
    </w:p>
    <w:p>
      <w:pPr>
        <w:ind w:left="40" w:right="199"/>
        <w:spacing w:after="0" w:line="270" w:lineRule="auto"/>
        <w:rPr>
          <w:sz w:val="20"/>
          <w:szCs w:val="20"/>
          <w:color w:val="auto"/>
        </w:rPr>
      </w:pPr>
      <w:r>
        <w:rPr>
          <w:rFonts w:ascii="Times New Roman" w:cs="Times New Roman" w:eastAsia="Times New Roman" w:hAnsi="Times New Roman"/>
          <w:sz w:val="17"/>
          <w:szCs w:val="17"/>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of Arcturus, ISG, Telerob and Planck.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77"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Our primary liquidity needs are for financing working capital, investing in capital expenditures, supporting product development efforts, introducing new products and enhancing existing products,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Agreement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88"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0" w:lineRule="exact"/>
        <w:rPr>
          <w:sz w:val="20"/>
          <w:szCs w:val="20"/>
          <w:color w:val="auto"/>
        </w:rPr>
      </w:pPr>
    </w:p>
    <w:p>
      <w:pPr>
        <w:ind w:left="40" w:right="359"/>
        <w:spacing w:after="0" w:line="261" w:lineRule="auto"/>
        <w:rPr>
          <w:sz w:val="20"/>
          <w:szCs w:val="20"/>
          <w:color w:val="auto"/>
        </w:rPr>
      </w:pPr>
      <w:r>
        <w:rPr>
          <w:rFonts w:ascii="Times New Roman" w:cs="Times New Roman" w:eastAsia="Times New Roman" w:hAnsi="Times New Roman"/>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ongoing COVID-19 pandemic, we continue to hold significant cash and cash equivalents.</w:t>
      </w:r>
    </w:p>
    <w:p>
      <w:pPr>
        <w:spacing w:after="0" w:line="180" w:lineRule="exact"/>
        <w:rPr>
          <w:sz w:val="20"/>
          <w:szCs w:val="20"/>
          <w:color w:val="auto"/>
        </w:rPr>
      </w:pPr>
    </w:p>
    <w:p>
      <w:pPr>
        <w:ind w:left="40" w:right="259"/>
        <w:spacing w:after="0" w:line="255" w:lineRule="auto"/>
        <w:rPr>
          <w:sz w:val="20"/>
          <w:szCs w:val="20"/>
          <w:color w:val="auto"/>
        </w:rPr>
      </w:pPr>
      <w:r>
        <w:rPr>
          <w:rFonts w:ascii="Times New Roman" w:cs="Times New Roman" w:eastAsia="Times New Roman" w:hAnsi="Times New Roman"/>
          <w:sz w:val="18"/>
          <w:szCs w:val="18"/>
          <w:color w:val="auto"/>
        </w:rPr>
        <w:t>During the fiscal year ended April 30, 2022, we made certain commitments outside of the ordinary course of business, including capital contribution commitments to a second limited partnership fund. Under the terms of a new limited partnership agreement, we have committed to make capital contributions to such fund totaling $20.0 million, inclusive of the expected reinvestment of distributions from our existing limited partnership fund, of which $17.2 million was remaining at January 28, 2023. The contributions are anticipated to be paid over the next five fiscal years. As of January 28, 2023, $5.0 million remains of the obligation under the legal settlement with Webasto. The final $5.0 million was paid on February 2,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40" w:right="499"/>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cash flow data for the nine months ended January 28, 2023 and January 29, 2022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00" w:type="dxa"/>
            <w:vAlign w:val="bottom"/>
          </w:tcPr>
          <w:p>
            <w:pPr>
              <w:spacing w:after="0"/>
              <w:rPr>
                <w:sz w:val="10"/>
                <w:szCs w:val="10"/>
                <w:color w:val="auto"/>
              </w:rPr>
            </w:pPr>
          </w:p>
        </w:tc>
      </w:tr>
      <w:tr>
        <w:trPr>
          <w:trHeight w:val="173"/>
        </w:trPr>
        <w:tc>
          <w:tcPr>
            <w:tcW w:w="5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28"/>
        </w:trPr>
        <w:tc>
          <w:tcPr>
            <w:tcW w:w="5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right"/>
              <w:ind w:right="67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(37,009)</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Operating Activities. </w:t>
      </w:r>
      <w:r>
        <w:rPr>
          <w:rFonts w:ascii="Times New Roman" w:cs="Times New Roman" w:eastAsia="Times New Roman" w:hAnsi="Times New Roman"/>
          <w:sz w:val="18"/>
          <w:szCs w:val="18"/>
          <w:color w:val="auto"/>
        </w:rPr>
        <w:t>Net cash provided by operating activities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28, 2023 increased by $32.0 million to $8.8 million, as compared to net cash used in operating activities of $23.2 million for the nine months ended January 29, 2022. The increase in net cash provided by operating activities was primarily due to an increase in cash as a result of changes in operating assets and liabilities of $29.8 million, largely related to unbilled receivables and retentions, income taxes receivable and other liabilities, partially offset by a decrease in inventories, accounts receivable and prepaid expenses and other assets due to year over year timing differences, and an increase in non-cash expenses of $6.5 million primarily due to an increase in loss from equity investments of and stock-based compensation, partially offset by an increase in net loss of $4.3 million.</w:t>
      </w:r>
    </w:p>
    <w:p>
      <w:pPr>
        <w:spacing w:after="0" w:line="185"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Investing Activities. </w:t>
      </w:r>
      <w:r>
        <w:rPr>
          <w:rFonts w:ascii="Times New Roman" w:cs="Times New Roman" w:eastAsia="Times New Roman" w:hAnsi="Times New Roman"/>
          <w:sz w:val="18"/>
          <w:szCs w:val="18"/>
          <w:color w:val="auto"/>
        </w:rPr>
        <w:t>Net cash provided by investing activities increased by $37.9 million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$0.9 million for the nine months ended January 28, 2023, as compared to net cash used in investing activities of $37.0 million for the nine months ended January 29, 2022. The increase in net cash provided by investing activities was primarily due to the acquisition of Telerob for $46.2 million in the prior year, a decrease in acquisition of property and equipment of $6.9 million and a decrease in equity method investments of $4.1 million, partially offset by a decrease in redemptions of available-for-sale investments of $9.9 million and equity securities investments of $5.1 million.</w:t>
      </w:r>
    </w:p>
    <w:p>
      <w:pPr>
        <w:spacing w:after="0" w:line="182"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Financing Activities. </w:t>
      </w:r>
      <w:r>
        <w:rPr>
          <w:rFonts w:ascii="Times New Roman" w:cs="Times New Roman" w:eastAsia="Times New Roman" w:hAnsi="Times New Roman"/>
          <w:sz w:val="18"/>
          <w:szCs w:val="18"/>
          <w:color w:val="auto"/>
        </w:rPr>
        <w:t>Net cash used in financing activities decreased by $9.5 million to $2.4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January 28, 2023, as compared to net cash used by financing activities of $11.9 million for the nine months ended January 29, 2022. The decrease in net cash used by financing activities was primarily due to proceeds from share issuance net of issuance costs of $20.1 million and a decrease in holdback and retention payments related to business acquisitions of $6.0 million, partially offset by an increase in principal payment of the term loan of $15.0 million.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ind w:left="40" w:right="679"/>
        <w:spacing w:after="0" w:line="289" w:lineRule="auto"/>
        <w:rPr>
          <w:sz w:val="20"/>
          <w:szCs w:val="20"/>
          <w:color w:val="auto"/>
        </w:rPr>
      </w:pPr>
      <w:r>
        <w:rPr>
          <w:rFonts w:ascii="Times New Roman" w:cs="Times New Roman" w:eastAsia="Times New Roman" w:hAnsi="Times New Roman"/>
          <w:sz w:val="17"/>
          <w:szCs w:val="17"/>
          <w:color w:val="auto"/>
        </w:rPr>
        <w:t>Please refer to Note 1—Organization and Significant Accounting Policies to our unaudited condensed consolidated financial statements in Part I, Item 1 of this Quarterly Report on Form 10-Q for a discussion of new accounting pronouncements and accounting pronouncements adopted during the nine months ended January 28, 2023.</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It is our policy not to enter into interest rate derivative financial instruments. On February 19, 2021 in connection with the consummation of the Arcturus Acquisition, we entered into the Credit Facilities. The current outstanding balance of the Credit Facilities is $167.5 million and bears a variable interest rate. The market interest rate has increased significantly, and if market interest rates continue to increase, interest due on the Credit Facilities would increase.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0"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28, 2023, the end of the period covered by this Quarterly Report on Form 10-Q.</w:t>
      </w:r>
    </w:p>
    <w:p>
      <w:pPr>
        <w:spacing w:after="0" w:line="180"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8"/>
          <w:szCs w:val="18"/>
          <w:color w:val="auto"/>
        </w:rPr>
        <w:t>Based on the foregoing, and in light of the material weaknesses identified in our internal control over financial reporting as disclosed in our Form 10-K for the fiscal year ended April 30, 2022, our Chief Executive Officer and Chief Financial Officer concluded that, as of January 28, 2023, our disclosure controls and procedures were not effective.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Weaknesses</w:t>
      </w:r>
    </w:p>
    <w:p>
      <w:pPr>
        <w:spacing w:after="0" w:line="229"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As of the date of this report, management implemented measures it believes remediated the identified deficiencies for one of the newly acquired businesses as certain IT systems at certain newly acquired businesses related to inventory and cost of sales were transitioned to the corporate enterprise resource planning system in late May 2022. Regarding the material weaknesses identified in the other acquisition, management’s remediation efforts are ongoing, and management has designed and implemented a number of controls through quarter ended January 28, 2023. The remediation activities as of the date of this report include, but are not limited to:</w:t>
      </w:r>
    </w:p>
    <w:p>
      <w:pPr>
        <w:spacing w:after="0" w:line="187" w:lineRule="exact"/>
        <w:rPr>
          <w:sz w:val="20"/>
          <w:szCs w:val="20"/>
          <w:color w:val="auto"/>
        </w:rPr>
      </w:pPr>
    </w:p>
    <w:p>
      <w:pPr>
        <w:ind w:left="720" w:right="919" w:hanging="325"/>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rationalized access privileges for all system users and critical transactions based on job responsibilities considering segregation of duties (“SOD”);</w:t>
      </w:r>
    </w:p>
    <w:p>
      <w:pPr>
        <w:spacing w:after="0" w:line="161"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excess rights and access for all system users;</w:t>
      </w:r>
    </w:p>
    <w:p>
      <w:pPr>
        <w:spacing w:after="0" w:line="225" w:lineRule="exact"/>
        <w:rPr>
          <w:rFonts w:ascii="Times New Roman" w:cs="Times New Roman" w:eastAsia="Times New Roman" w:hAnsi="Times New Roman"/>
          <w:sz w:val="18"/>
          <w:szCs w:val="18"/>
          <w:color w:val="auto"/>
        </w:rPr>
      </w:pPr>
    </w:p>
    <w:p>
      <w:pPr>
        <w:ind w:left="720" w:right="339" w:hanging="325"/>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controls that require the periodic re-evaluation of user access privileges, including administrative access;</w:t>
      </w:r>
    </w:p>
    <w:p>
      <w:pPr>
        <w:spacing w:after="0" w:line="161" w:lineRule="exact"/>
        <w:rPr>
          <w:rFonts w:ascii="Times New Roman" w:cs="Times New Roman" w:eastAsia="Times New Roman" w:hAnsi="Times New Roman"/>
          <w:sz w:val="18"/>
          <w:szCs w:val="18"/>
          <w:color w:val="auto"/>
        </w:rPr>
      </w:pPr>
    </w:p>
    <w:p>
      <w:pPr>
        <w:ind w:left="720" w:right="539" w:hanging="325"/>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system monitoring controls to confirm the adequacy of program change management and security controls;</w:t>
      </w:r>
    </w:p>
    <w:p>
      <w:pPr>
        <w:spacing w:after="0" w:line="161" w:lineRule="exact"/>
        <w:rPr>
          <w:rFonts w:ascii="Times New Roman" w:cs="Times New Roman" w:eastAsia="Times New Roman" w:hAnsi="Times New Roman"/>
          <w:sz w:val="18"/>
          <w:szCs w:val="18"/>
          <w:color w:val="auto"/>
        </w:rPr>
      </w:pPr>
    </w:p>
    <w:p>
      <w:pPr>
        <w:ind w:left="720" w:right="219" w:hanging="325"/>
        <w:spacing w:after="0" w:line="312"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trained personnel on the design and operation of our internal controls over financial reporting, as well as hired additional resources with experience with the Committee of Sponsoring Organizations, or COSO, guidance;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25"/>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initial instances of operating effectiveness for the newly implemented controls.</w:t>
      </w:r>
    </w:p>
    <w:p>
      <w:pPr>
        <w:spacing w:after="0" w:line="225"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Due to the nature of the remediation process, controls must operate effectively for a sufficient period of time for a definitive conclusion, validated through testing, that the deficiencies have been fully remediated and, as such, management cannot be certain that the measures it has undertaken have fully remediated the material weaknesses that it has identified or that additional material weaknesses will not arise in the future. Management will continue to monitor the design and effectiveness of these controls through ongoing tests during the fourth quarter of fiscal year 2023 and will make any further changes that management determines to be appropriate. Management expects that the remediation of the material weaknesses will be completed prior to April 30, 2023.</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Except for the remediation activities related to the material weaknesses described above, there were no changes in our internal control over financial reporting or in other factors identified in connection with the evaluation required by paragraph (d) of Rules 13a-15 or 15d-15 under the Exchange Act that occurred during the quarter ended January 28,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We filed our answer on December 16, 2021. Discovery in this lawsuit has begun and is ongoing. We continue to mount a vigorous defense.</w:t>
      </w:r>
    </w:p>
    <w:p>
      <w:pPr>
        <w:spacing w:after="0" w:line="183" w:lineRule="exact"/>
        <w:rPr>
          <w:sz w:val="20"/>
          <w:szCs w:val="20"/>
          <w:color w:val="auto"/>
        </w:rPr>
      </w:pPr>
    </w:p>
    <w:p>
      <w:pPr>
        <w:jc w:val="both"/>
        <w:ind w:left="40" w:right="139"/>
        <w:spacing w:after="0" w:line="289" w:lineRule="auto"/>
        <w:rPr>
          <w:sz w:val="20"/>
          <w:szCs w:val="20"/>
          <w:color w:val="auto"/>
        </w:rPr>
      </w:pPr>
      <w:r>
        <w:rPr>
          <w:rFonts w:ascii="Times New Roman" w:cs="Times New Roman" w:eastAsia="Times New Roman" w:hAnsi="Times New Roman"/>
          <w:sz w:val="17"/>
          <w:szCs w:val="17"/>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44" w:lineRule="exact"/>
        <w:rPr>
          <w:sz w:val="20"/>
          <w:szCs w:val="20"/>
          <w:color w:val="auto"/>
        </w:rPr>
      </w:pPr>
    </w:p>
    <w:p>
      <w:pPr>
        <w:ind w:left="40" w:right="119"/>
        <w:spacing w:after="0" w:line="274" w:lineRule="auto"/>
        <w:rPr>
          <w:sz w:val="20"/>
          <w:szCs w:val="20"/>
          <w:color w:val="auto"/>
        </w:rPr>
      </w:pPr>
      <w:r>
        <w:rPr>
          <w:rFonts w:ascii="Arial" w:cs="Arial" w:eastAsia="Arial" w:hAnsi="Arial"/>
          <w:sz w:val="23"/>
          <w:szCs w:val="23"/>
          <w:b w:val="1"/>
          <w:bCs w:val="1"/>
          <w:color w:val="auto"/>
        </w:rPr>
        <w:t>Except as set for below, there have been no material changes to the risk factors disclosed under Part I, Item 1A, “Risk Factors,” of our Annual Report on Form 10-K for the fiscal year ended April 30, 2022. Please refer to that section for disclosures regarding the risks and uncertainties related to our business.</w:t>
      </w:r>
    </w:p>
    <w:p>
      <w:pPr>
        <w:spacing w:after="0" w:line="194" w:lineRule="exact"/>
        <w:rPr>
          <w:sz w:val="20"/>
          <w:szCs w:val="20"/>
          <w:color w:val="auto"/>
        </w:rPr>
      </w:pPr>
    </w:p>
    <w:p>
      <w:pPr>
        <w:ind w:left="4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59"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176" w:lineRule="exact"/>
        <w:rPr>
          <w:sz w:val="20"/>
          <w:szCs w:val="20"/>
          <w:color w:val="auto"/>
        </w:rPr>
      </w:pPr>
    </w:p>
    <w:p>
      <w:pPr>
        <w:ind w:left="1360" w:right="539" w:hanging="317"/>
        <w:spacing w:after="0" w:line="261"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Acquisition Regulations and supplemental agency regulations, which comprehensively regulate the formation and administration of, and performance under, U.S. government contracts;</w:t>
      </w:r>
    </w:p>
    <w:p>
      <w:pPr>
        <w:ind w:left="1360" w:right="239" w:hanging="317"/>
        <w:spacing w:after="0" w:line="250"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Negotiations Act, which requires certification and disclosure of all factual cost and pricing data in connection with contract negotiations;</w:t>
      </w:r>
    </w:p>
    <w:p>
      <w:pPr>
        <w:ind w:left="1360" w:right="319" w:hanging="317"/>
        <w:spacing w:after="0" w:line="250"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 w:lineRule="exact"/>
        <w:rPr>
          <w:rFonts w:ascii="Times New Roman" w:cs="Times New Roman" w:eastAsia="Times New Roman" w:hAnsi="Times New Roman"/>
          <w:sz w:val="18"/>
          <w:szCs w:val="18"/>
          <w:color w:val="auto"/>
        </w:rPr>
      </w:pPr>
    </w:p>
    <w:p>
      <w:pPr>
        <w:ind w:left="1360" w:right="79" w:hanging="317"/>
        <w:spacing w:after="0" w:line="250"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U.S. companies from providing anything of value to a foreign official to help obtain, retain or direct business, or obtain any unfair advantage;</w:t>
      </w:r>
    </w:p>
    <w:p>
      <w:pPr>
        <w:ind w:left="1360" w:right="319" w:hanging="317"/>
        <w:spacing w:after="0" w:line="250"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1" w:lineRule="exact"/>
        <w:rPr>
          <w:rFonts w:ascii="Times New Roman" w:cs="Times New Roman" w:eastAsia="Times New Roman" w:hAnsi="Times New Roman"/>
          <w:sz w:val="18"/>
          <w:szCs w:val="18"/>
          <w:color w:val="auto"/>
        </w:rPr>
      </w:pPr>
    </w:p>
    <w:p>
      <w:pPr>
        <w:ind w:left="1360" w:right="239" w:hanging="317"/>
        <w:spacing w:after="0" w:line="250"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Aviation Administration, which regulates the use of airspace for all aircraft, including UAS operation in the United States;</w:t>
      </w:r>
    </w:p>
    <w:p>
      <w:pPr>
        <w:ind w:left="1360" w:right="279" w:hanging="317"/>
        <w:spacing w:after="0" w:line="250"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1" w:lineRule="exact"/>
        <w:rPr>
          <w:rFonts w:ascii="Times New Roman" w:cs="Times New Roman" w:eastAsia="Times New Roman" w:hAnsi="Times New Roman"/>
          <w:sz w:val="18"/>
          <w:szCs w:val="18"/>
          <w:color w:val="auto"/>
        </w:rPr>
      </w:pPr>
    </w:p>
    <w:p>
      <w:pPr>
        <w:jc w:val="both"/>
        <w:ind w:left="1360" w:right="159" w:hanging="317"/>
        <w:spacing w:after="0" w:line="255"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restricting the use and dissemination of information classified for national security purposes or determined to be “controlled unclassified information” and the exportation of certain products and technical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Additionally, certain of our products are sold to the U.S. government as commercial items. If the U.S. government were to dispute the commercial designation of such items, and absent a successful appeal by us of such designation, the profitability of sales of such items could be negatively affected. Our failure to comply with applicable regulations, rules and approvals; changes in the government’s interpretation of such regulations, rules and approvals as have been and are applied to our contracts, proposals or business or misconduct by any of our employees could result in the imposition of fines and penalties, the loss of security clearances, a decrease in profitability,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spacing w:after="0" w:line="193" w:lineRule="exact"/>
        <w:rPr>
          <w:sz w:val="20"/>
          <w:szCs w:val="20"/>
          <w:color w:val="auto"/>
        </w:rPr>
      </w:pPr>
    </w:p>
    <w:p>
      <w:pPr>
        <w:ind w:left="4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 government contracts are generally not fully funded at inception, contain certain provisions that may be unfavorable to us and may be undefinitized at the time of the start of performance, which could prevent us from realizing our contract backlog and materially harm our business and results of operations.</w:t>
      </w:r>
    </w:p>
    <w:p>
      <w:pPr>
        <w:spacing w:after="0" w:line="175" w:lineRule="exact"/>
        <w:rPr>
          <w:sz w:val="20"/>
          <w:szCs w:val="20"/>
          <w:color w:val="auto"/>
        </w:rPr>
      </w:pPr>
    </w:p>
    <w:p>
      <w:pPr>
        <w:ind w:left="40" w:right="339" w:firstLine="648"/>
        <w:spacing w:after="0" w:line="258" w:lineRule="auto"/>
        <w:rPr>
          <w:sz w:val="20"/>
          <w:szCs w:val="20"/>
          <w:color w:val="auto"/>
        </w:rPr>
      </w:pPr>
      <w:r>
        <w:rPr>
          <w:rFonts w:ascii="Times New Roman" w:cs="Times New Roman" w:eastAsia="Times New Roman" w:hAnsi="Times New Roman"/>
          <w:sz w:val="18"/>
          <w:szCs w:val="18"/>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183"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162"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88" w:lineRule="exact"/>
        <w:rPr>
          <w:sz w:val="20"/>
          <w:szCs w:val="20"/>
          <w:color w:val="auto"/>
        </w:rPr>
      </w:pPr>
    </w:p>
    <w:p>
      <w:pPr>
        <w:ind w:left="40" w:right="99" w:firstLine="648"/>
        <w:spacing w:after="0" w:line="273" w:lineRule="auto"/>
        <w:rPr>
          <w:sz w:val="20"/>
          <w:szCs w:val="20"/>
          <w:color w:val="auto"/>
        </w:rPr>
      </w:pPr>
      <w:r>
        <w:rPr>
          <w:rFonts w:ascii="Times New Roman" w:cs="Times New Roman" w:eastAsia="Times New Roman" w:hAnsi="Times New Roman"/>
          <w:sz w:val="17"/>
          <w:szCs w:val="17"/>
          <w:color w:val="auto"/>
        </w:rPr>
        <w:t>Furthermore, we may operate from time to time under undefinitized contract actions (UCAs), under which we may begin performance at the direction of the U.S. government prior to completing contract negotiations regarding pricing, specifications and other terms. Under a UCA, the U.S. Government has the ability to unilaterally definitize contracts and, absent a successful appeal of such action, the unilateral definitization of the contract would obligate us to perform under terms and conditions imposed by the U.S. government. Such unilaterally imposed contract terms could include less favorable pricing and/or terms and conditions more burdensome than those negotiated in other circumstances, which could negatively affect our expected profitability under such contract and could negatively affect our results of operations.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c>
          <w:tcPr>
            <w:tcW w:w="5380" w:type="dxa"/>
            <w:vAlign w:val="bottom"/>
            <w:tcBorders>
              <w:bottom w:val="single" w:sz="8" w:color="auto"/>
            </w:tcBorders>
            <w:gridSpan w:val="7"/>
          </w:tcPr>
          <w:p>
            <w:pPr>
              <w:ind w:left="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3.1(1)</w:t>
            </w:r>
          </w:p>
        </w:tc>
        <w:tc>
          <w:tcPr>
            <w:tcW w:w="200" w:type="dxa"/>
            <w:vAlign w:val="bottom"/>
          </w:tcPr>
          <w:p>
            <w:pPr>
              <w:spacing w:after="0"/>
              <w:rPr>
                <w:sz w:val="16"/>
                <w:szCs w:val="16"/>
                <w:color w:val="auto"/>
              </w:rPr>
            </w:pPr>
          </w:p>
        </w:tc>
        <w:tc>
          <w:tcPr>
            <w:tcW w:w="20" w:type="dxa"/>
            <w:vAlign w:val="bottom"/>
            <w:tcBorders>
              <w:bottom w:val="single" w:sz="8" w:color="0000EE"/>
            </w:tcBorders>
          </w:tcPr>
          <w:p>
            <w:pPr>
              <w:spacing w:after="0"/>
              <w:rPr>
                <w:sz w:val="16"/>
                <w:szCs w:val="16"/>
                <w:color w:val="auto"/>
              </w:rPr>
            </w:pPr>
          </w:p>
        </w:tc>
        <w:tc>
          <w:tcPr>
            <w:tcW w:w="5400" w:type="dxa"/>
            <w:vAlign w:val="bottom"/>
            <w:tcBorders>
              <w:bottom w:val="single" w:sz="8" w:color="0000EE"/>
            </w:tcBorders>
            <w:gridSpan w:val="3"/>
          </w:tcPr>
          <w:p>
            <w:pPr>
              <w:spacing w:after="0" w:line="189" w:lineRule="exact"/>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Amended and Restated Certificate of Incorporation of AeroVironment, Inc.</w:t>
              </w:r>
            </w:hyperlink>
          </w:p>
        </w:tc>
        <w:tc>
          <w:tcPr>
            <w:tcW w:w="2500" w:type="dxa"/>
            <w:vAlign w:val="bottom"/>
            <w:gridSpan w:val="5"/>
          </w:tcPr>
          <w:p>
            <w:pPr>
              <w:spacing w:after="0"/>
              <w:rPr>
                <w:sz w:val="16"/>
                <w:szCs w:val="16"/>
                <w:color w:val="auto"/>
              </w:rPr>
            </w:pPr>
          </w:p>
        </w:tc>
      </w:tr>
      <w:tr>
        <w:trPr>
          <w:trHeight w:val="22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200" w:type="dxa"/>
            <w:vAlign w:val="bottom"/>
          </w:tcPr>
          <w:p>
            <w:pPr>
              <w:spacing w:after="0"/>
              <w:rPr>
                <w:sz w:val="19"/>
                <w:szCs w:val="19"/>
                <w:color w:val="auto"/>
              </w:rPr>
            </w:pPr>
          </w:p>
        </w:tc>
        <w:tc>
          <w:tcPr>
            <w:tcW w:w="7920" w:type="dxa"/>
            <w:vAlign w:val="bottom"/>
            <w:gridSpan w:val="9"/>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Fourth Amended and Restated Bylaws of AeroVironment, Inc., amended as of December 1, 2022</w:t>
              </w:r>
            </w:hyperlink>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9"/>
                <w:szCs w:val="19"/>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 and Rule 15d-14(a) of the Securities</w:t>
            </w: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p>
        </w:tc>
        <w:tc>
          <w:tcPr>
            <w:tcW w:w="420" w:type="dxa"/>
            <w:vAlign w:val="bottom"/>
            <w:gridSpan w:val="2"/>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0"/>
                <w:szCs w:val="20"/>
                <w:color w:val="auto"/>
              </w:rPr>
            </w:pPr>
          </w:p>
        </w:tc>
        <w:tc>
          <w:tcPr>
            <w:tcW w:w="74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and Rule 15d-14(a) of the Securities</w:t>
            </w:r>
          </w:p>
        </w:tc>
        <w:tc>
          <w:tcPr>
            <w:tcW w:w="460" w:type="dxa"/>
            <w:vAlign w:val="bottom"/>
            <w:gridSpan w:val="3"/>
          </w:tcPr>
          <w:p>
            <w:pPr>
              <w:spacing w:after="0"/>
              <w:rPr>
                <w:sz w:val="20"/>
                <w:szCs w:val="20"/>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200" w:type="dxa"/>
            <w:vAlign w:val="bottom"/>
          </w:tcPr>
          <w:p>
            <w:pPr>
              <w:spacing w:after="0"/>
              <w:rPr>
                <w:sz w:val="20"/>
                <w:szCs w:val="20"/>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 as</w:t>
            </w: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r>
              <w:rPr>
                <w:rFonts w:ascii="Times New Roman" w:cs="Times New Roman" w:eastAsia="Times New Roman" w:hAnsi="Times New Roman"/>
                <w:sz w:val="18"/>
                <w:szCs w:val="18"/>
                <w:color w:val="000000"/>
              </w:rPr>
              <w:t>.</w:t>
            </w:r>
          </w:p>
        </w:tc>
        <w:tc>
          <w:tcPr>
            <w:tcW w:w="20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gridSpan w:val="3"/>
            <w:shd w:val="clear" w:color="auto" w:fill="0000EE"/>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r>
      <w:tr>
        <w:trPr>
          <w:trHeight w:val="27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20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w:t>
            </w:r>
          </w:p>
        </w:tc>
      </w:tr>
      <w:tr>
        <w:trPr>
          <w:trHeight w:val="243"/>
        </w:trPr>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5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00" w:type="dxa"/>
            <w:vAlign w:val="bottom"/>
          </w:tcPr>
          <w:p>
            <w:pPr>
              <w:spacing w:after="0"/>
              <w:rPr>
                <w:sz w:val="22"/>
                <w:szCs w:val="22"/>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200" w:type="dxa"/>
            <w:vAlign w:val="bottom"/>
          </w:tcPr>
          <w:p>
            <w:pPr>
              <w:spacing w:after="0"/>
              <w:rPr>
                <w:sz w:val="21"/>
                <w:szCs w:val="21"/>
                <w:color w:val="auto"/>
              </w:rPr>
            </w:pPr>
          </w:p>
        </w:tc>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 w:lineRule="exact"/>
        <w:rPr>
          <w:sz w:val="20"/>
          <w:szCs w:val="20"/>
          <w:color w:val="auto"/>
        </w:rPr>
      </w:pPr>
    </w:p>
    <w:p>
      <w:pPr>
        <w:ind w:left="1040" w:hanging="728"/>
        <w:spacing w:after="0"/>
        <w:tabs>
          <w:tab w:leader="none" w:pos="1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ind w:left="360" w:right="139" w:hanging="316"/>
        <w:spacing w:after="0" w:line="239" w:lineRule="exact"/>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March 9, 2007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spacing w:after="0" w:line="158" w:lineRule="exact"/>
        <w:rPr>
          <w:rFonts w:ascii="Times New Roman" w:cs="Times New Roman" w:eastAsia="Times New Roman" w:hAnsi="Times New Roman"/>
          <w:sz w:val="18"/>
          <w:szCs w:val="18"/>
          <w:color w:val="auto"/>
        </w:rPr>
      </w:pPr>
    </w:p>
    <w:p>
      <w:pPr>
        <w:ind w:left="360" w:right="279" w:hanging="316"/>
        <w:spacing w:after="0" w:line="239" w:lineRule="exact"/>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December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spacing w:after="0" w:line="177" w:lineRule="exact"/>
        <w:rPr>
          <w:sz w:val="20"/>
          <w:szCs w:val="20"/>
          <w:color w:val="auto"/>
        </w:rPr>
      </w:pPr>
    </w:p>
    <w:p>
      <w:pPr>
        <w:ind w:left="360" w:right="79" w:hanging="316"/>
        <w:spacing w:after="0" w:line="258" w:lineRule="auto"/>
        <w:tabs>
          <w:tab w:leader="none" w:pos="3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18"/>
          <w:szCs w:val="18"/>
          <w:color w:val="auto"/>
        </w:rPr>
        <w:t>Date: March 6, 2023</w:t>
      </w:r>
      <w:r>
        <w:rPr>
          <w:sz w:val="20"/>
          <w:szCs w:val="20"/>
          <w:color w:val="auto"/>
        </w:rPr>
        <w:tab/>
      </w:r>
      <w:r>
        <w:rPr>
          <w:rFonts w:ascii="Times New Roman" w:cs="Times New Roman" w:eastAsia="Times New Roman" w:hAnsi="Times New Roman"/>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Wahid Nawabi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4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Kevin P. McDonnell, certify that:</w:t>
      </w:r>
    </w:p>
    <w:p>
      <w:pPr>
        <w:spacing w:after="0" w:line="225" w:lineRule="exact"/>
        <w:rPr>
          <w:sz w:val="20"/>
          <w:szCs w:val="20"/>
          <w:color w:val="auto"/>
        </w:rPr>
      </w:pPr>
    </w:p>
    <w:p>
      <w:pPr>
        <w:ind w:left="360" w:hanging="316"/>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5" w:lineRule="exact"/>
        <w:rPr>
          <w:sz w:val="20"/>
          <w:szCs w:val="20"/>
          <w:color w:val="auto"/>
        </w:rPr>
      </w:pPr>
    </w:p>
    <w:p>
      <w:pPr>
        <w:jc w:val="both"/>
        <w:ind w:left="40" w:right="119" w:firstLine="48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76" w:lineRule="exact"/>
        <w:rPr>
          <w:sz w:val="20"/>
          <w:szCs w:val="20"/>
          <w:color w:val="auto"/>
        </w:rPr>
      </w:pPr>
    </w:p>
    <w:p>
      <w:pPr>
        <w:ind w:left="40" w:right="59" w:firstLine="486"/>
        <w:spacing w:after="0" w:line="255" w:lineRule="auto"/>
        <w:rPr>
          <w:sz w:val="20"/>
          <w:szCs w:val="20"/>
          <w:color w:val="auto"/>
        </w:rPr>
      </w:pPr>
      <w:r>
        <w:rPr>
          <w:rFonts w:ascii="Times New Roman" w:cs="Times New Roman" w:eastAsia="Times New Roman" w:hAnsi="Times New Roman"/>
          <w:sz w:val="18"/>
          <w:szCs w:val="18"/>
          <w:color w:val="auto"/>
        </w:rPr>
        <w:t>The Quarterly Report on Form 10-Q for the quarter ended January 28, 2023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March 6, 2023</w:t>
      </w:r>
    </w:p>
    <w:p>
      <w:pPr>
        <w:spacing w:after="0" w:line="225" w:lineRule="exact"/>
        <w:rPr>
          <w:sz w:val="20"/>
          <w:szCs w:val="20"/>
          <w:color w:val="auto"/>
        </w:rPr>
      </w:pPr>
    </w:p>
    <w:p>
      <w:pPr>
        <w:ind w:left="40" w:right="299" w:firstLine="486"/>
        <w:spacing w:after="0" w:line="25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8"/>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lvl w:ilvl="1">
      <w:lvlJc w:val="left"/>
      <w:lvlText w:val="%2"/>
      <w:numFmt w:val="decimal"/>
      <w:start w:val="104"/>
    </w:lvl>
  </w:abstractNum>
  <w:abstractNum w:abstractNumId="8">
    <w:nsid w:val="216231B"/>
    <w:multiLevelType w:val="hybridMultilevel"/>
    <w:lvl w:ilvl="0">
      <w:lvlJc w:val="left"/>
      <w:lvlText w:val="(%1)"/>
      <w:numFmt w:val="decimal"/>
      <w:start w:val="1"/>
    </w:lvl>
    <w:lvl w:ilvl="1">
      <w:lvlJc w:val="left"/>
      <w:lvlText w:val="%2"/>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59" Type="http://schemas.openxmlformats.org/officeDocument/2006/relationships/hyperlink" Target="https://www.sec.gov/Archives/edgar/data/1368622/000095015007000008/a28119exv3w1.htm" TargetMode="External"/><Relationship Id="rId60" Type="http://schemas.openxmlformats.org/officeDocument/2006/relationships/hyperlink" Target="https://www.sec.gov/Archives/edgar/data/1368622/000155837022018418/avav-20221029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2023-03-06T16:53:44Z</dcterms:created>
  <dcterms:modified xsi:type="dcterms:W3CDTF">2023-03-06T16:53:44Z</dcterms:modified>
</cp:coreProperties>
</file>