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October 29, 2011</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AEROVIRONMENT,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95-2705790</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181 W. Huntington Drive, Suite 202</w:t>
            </w:r>
          </w:p>
        </w:tc>
        <w:tc>
          <w:tcPr>
            <w:tcW w:w="3800" w:type="dxa"/>
            <w:vAlign w:val="bottom"/>
          </w:tcPr>
          <w:p>
            <w:pPr>
              <w:spacing w:after="0"/>
              <w:rPr>
                <w:sz w:val="24"/>
                <w:szCs w:val="24"/>
                <w:color w:val="auto"/>
              </w:rPr>
            </w:pPr>
          </w:p>
        </w:tc>
      </w:t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Monrovia, California</w:t>
            </w:r>
          </w:p>
        </w:tc>
        <w:tc>
          <w:tcPr>
            <w:tcW w:w="3800" w:type="dxa"/>
            <w:vAlign w:val="bottom"/>
          </w:tcPr>
          <w:p>
            <w:pPr>
              <w:jc w:val="right"/>
              <w:ind w:right="1010"/>
              <w:spacing w:after="0"/>
              <w:rPr>
                <w:sz w:val="20"/>
                <w:szCs w:val="20"/>
                <w:color w:val="auto"/>
              </w:rPr>
            </w:pPr>
            <w:r>
              <w:rPr>
                <w:rFonts w:ascii="Arial" w:cs="Arial" w:eastAsia="Arial" w:hAnsi="Arial"/>
                <w:sz w:val="18"/>
                <w:szCs w:val="18"/>
                <w:b w:val="1"/>
                <w:bCs w:val="1"/>
                <w:color w:val="auto"/>
              </w:rPr>
              <w:t>91016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(626) 357-9983</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1940"/>
        <w:spacing w:after="0"/>
        <w:tabs>
          <w:tab w:leader="none" w:pos="79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(Do not check if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25, 2011, the number of shares outstanding of the registrant’s common stock, $0.0001 par value, was 22,102,559.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6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2"/>
              </w:rPr>
              <w:t>AeroVironment, Inc.</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Table of Contents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Item 1.</w:t>
              </w:r>
            </w:hyperlink>
          </w:p>
        </w:tc>
        <w:tc>
          <w:tcPr>
            <w:tcW w:w="880" w:type="dxa"/>
            <w:vAlign w:val="bottom"/>
            <w:tcBorders>
              <w:bottom w:val="single" w:sz="8" w:color="CCEEFF"/>
            </w:tcBorders>
            <w:gridSpan w:val="4"/>
            <w:shd w:val="clear" w:color="auto" w:fill="CCEEFF"/>
          </w:tcPr>
          <w:p>
            <w:pPr>
              <w:spacing w:after="0"/>
              <w:rPr>
                <w:sz w:val="17"/>
                <w:szCs w:val="17"/>
                <w:color w:val="auto"/>
              </w:rPr>
            </w:pPr>
          </w:p>
        </w:tc>
        <w:tc>
          <w:tcPr>
            <w:tcW w:w="15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5120" w:type="dxa"/>
            <w:vAlign w:val="bottom"/>
            <w:tcBorders>
              <w:bottom w:val="single" w:sz="8" w:color="CCEEFF"/>
            </w:tcBorders>
            <w:gridSpan w:val="9"/>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80" w:type="dxa"/>
            <w:vAlign w:val="bottom"/>
            <w:gridSpan w:val="19"/>
          </w:tcPr>
          <w:p>
            <w:pPr>
              <w:ind w:left="180"/>
              <w:spacing w:after="0" w:line="17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Consolidated Balance Sheets as of October 29, 2011 (Unaudited) and April 30, 2011</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20" w:type="dxa"/>
            <w:vAlign w:val="bottom"/>
            <w:gridSpan w:val="28"/>
            <w:shd w:val="clear" w:color="auto" w:fill="CCEEFF"/>
          </w:tcPr>
          <w:p>
            <w:pPr>
              <w:ind w:left="180"/>
              <w:spacing w:after="0" w:line="176" w:lineRule="exact"/>
              <w:rPr>
                <w:rFonts w:ascii="Arial" w:cs="Arial" w:eastAsia="Arial" w:hAnsi="Arial"/>
                <w:sz w:val="18"/>
                <w:szCs w:val="18"/>
                <w:color w:val="0000EE"/>
                <w:w w:val="96"/>
              </w:rPr>
            </w:pPr>
            <w:hyperlink w:anchor="page3">
              <w:r>
                <w:rPr>
                  <w:rFonts w:ascii="Arial" w:cs="Arial" w:eastAsia="Arial" w:hAnsi="Arial"/>
                  <w:sz w:val="18"/>
                  <w:szCs w:val="18"/>
                  <w:color w:val="0000EE"/>
                  <w:w w:val="96"/>
                </w:rPr>
                <w:t>Consolidated Statements of Operations for the three and six months ended October 29, 2011 (Unaudited) and October 30, 2010</w:t>
              </w:r>
            </w:hyperlink>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500" w:type="dxa"/>
            <w:vAlign w:val="bottom"/>
            <w:tcBorders>
              <w:top w:val="single" w:sz="8" w:color="0000EE"/>
            </w:tcBorders>
            <w:gridSpan w:val="18"/>
            <w:shd w:val="clear" w:color="auto" w:fill="CCEEFF"/>
          </w:tcPr>
          <w:p>
            <w:pPr>
              <w:ind w:left="18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2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18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68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20" w:type="dxa"/>
            <w:vAlign w:val="bottom"/>
            <w:gridSpan w:val="25"/>
          </w:tcPr>
          <w:p>
            <w:pPr>
              <w:ind w:left="180"/>
              <w:spacing w:after="0" w:line="17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Consolidated Statements of Cash Flows for the six months ended October 29, 2011 (Unaudited) and October 30, 2010</w:t>
              </w:r>
            </w:hyperlink>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00" w:type="dxa"/>
            <w:vAlign w:val="bottom"/>
            <w:tcBorders>
              <w:top w:val="single" w:sz="8" w:color="0000EE"/>
            </w:tcBorders>
            <w:gridSpan w:val="18"/>
          </w:tcPr>
          <w:p>
            <w:pPr>
              <w:ind w:left="18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8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Notes to Consolidated Financial Statements (Unaudited)</w:t>
              </w:r>
            </w:hyperlink>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80" w:type="dxa"/>
            <w:vAlign w:val="bottom"/>
            <w:gridSpan w:val="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Item 2.</w:t>
              </w:r>
            </w:hyperlink>
          </w:p>
        </w:tc>
        <w:tc>
          <w:tcPr>
            <w:tcW w:w="6680" w:type="dxa"/>
            <w:vAlign w:val="bottom"/>
            <w:gridSpan w:val="19"/>
          </w:tcPr>
          <w:p>
            <w:pPr>
              <w:spacing w:after="0" w:line="17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Management’s Discussion and Analysis of Financial Condition and Results of Operations</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Item 3.</w:t>
              </w:r>
            </w:hyperlink>
          </w:p>
        </w:tc>
        <w:tc>
          <w:tcPr>
            <w:tcW w:w="880" w:type="dxa"/>
            <w:vAlign w:val="bottom"/>
            <w:tcBorders>
              <w:bottom w:val="single" w:sz="8" w:color="CCEEFF"/>
            </w:tcBorders>
            <w:gridSpan w:val="4"/>
            <w:shd w:val="clear" w:color="auto" w:fill="CCEEFF"/>
          </w:tcPr>
          <w:p>
            <w:pPr>
              <w:spacing w:after="0"/>
              <w:rPr>
                <w:sz w:val="17"/>
                <w:szCs w:val="17"/>
                <w:color w:val="auto"/>
              </w:rPr>
            </w:pPr>
          </w:p>
        </w:tc>
        <w:tc>
          <w:tcPr>
            <w:tcW w:w="43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Quantitative and Qualitative Disclosures About Market Risk</w:t>
              </w:r>
            </w:hyperlink>
          </w:p>
        </w:tc>
        <w:tc>
          <w:tcPr>
            <w:tcW w:w="2320" w:type="dxa"/>
            <w:vAlign w:val="bottom"/>
            <w:tcBorders>
              <w:bottom w:val="single" w:sz="8" w:color="CCEEFF"/>
            </w:tcBorders>
            <w:gridSpan w:val="3"/>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gridSpan w:val="5"/>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4.</w:t>
              </w:r>
            </w:hyperlink>
          </w:p>
        </w:tc>
        <w:tc>
          <w:tcPr>
            <w:tcW w:w="6680" w:type="dxa"/>
            <w:vAlign w:val="bottom"/>
            <w:gridSpan w:val="19"/>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Controls and Procedures</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60" w:type="dxa"/>
            <w:vAlign w:val="bottom"/>
            <w:gridSpan w:val="24"/>
          </w:tcPr>
          <w:p>
            <w:pPr>
              <w:spacing w:after="0" w:line="17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PART II. OTHER INFORMATION</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80" w:type="dxa"/>
            <w:vAlign w:val="bottom"/>
            <w:gridSpan w:val="5"/>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1.</w:t>
              </w:r>
            </w:hyperlink>
          </w:p>
        </w:tc>
        <w:tc>
          <w:tcPr>
            <w:tcW w:w="6680" w:type="dxa"/>
            <w:vAlign w:val="bottom"/>
            <w:gridSpan w:val="19"/>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Legal Proceedings</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80" w:type="dxa"/>
            <w:vAlign w:val="bottom"/>
            <w:gridSpan w:val="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1A.</w:t>
              </w:r>
            </w:hyperlink>
          </w:p>
        </w:tc>
        <w:tc>
          <w:tcPr>
            <w:tcW w:w="6680" w:type="dxa"/>
            <w:vAlign w:val="bottom"/>
            <w:gridSpan w:val="19"/>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760" w:type="dxa"/>
            <w:vAlign w:val="bottom"/>
            <w:gridSpan w:val="3"/>
          </w:tcPr>
          <w:p>
            <w:pPr>
              <w:spacing w:after="0"/>
              <w:rPr>
                <w:sz w:val="15"/>
                <w:szCs w:val="15"/>
                <w:color w:val="auto"/>
              </w:rPr>
            </w:pPr>
          </w:p>
        </w:tc>
        <w:tc>
          <w:tcPr>
            <w:tcW w:w="6680" w:type="dxa"/>
            <w:vAlign w:val="bottom"/>
            <w:gridSpan w:val="19"/>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Unregistered Sales of Equity Securities and Use of Proceeds</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3.</w:t>
              </w:r>
            </w:hyperlink>
          </w:p>
        </w:tc>
        <w:tc>
          <w:tcPr>
            <w:tcW w:w="880" w:type="dxa"/>
            <w:vAlign w:val="bottom"/>
            <w:gridSpan w:val="4"/>
            <w:shd w:val="clear" w:color="auto" w:fill="CCEEFF"/>
          </w:tcPr>
          <w:p>
            <w:pPr>
              <w:spacing w:after="0"/>
              <w:rPr>
                <w:sz w:val="17"/>
                <w:szCs w:val="17"/>
                <w:color w:val="auto"/>
              </w:rPr>
            </w:pPr>
          </w:p>
        </w:tc>
        <w:tc>
          <w:tcPr>
            <w:tcW w:w="6680" w:type="dxa"/>
            <w:vAlign w:val="bottom"/>
            <w:gridSpan w:val="19"/>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Defaults Upon Senior Securities</w:t>
              </w:r>
            </w:hyperlink>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4.</w:t>
              </w:r>
            </w:hyperlink>
          </w:p>
        </w:tc>
        <w:tc>
          <w:tcPr>
            <w:tcW w:w="880" w:type="dxa"/>
            <w:vAlign w:val="bottom"/>
            <w:tcBorders>
              <w:top w:val="single" w:sz="8" w:color="CCEEFF"/>
            </w:tcBorders>
            <w:gridSpan w:val="4"/>
          </w:tcPr>
          <w:p>
            <w:pPr>
              <w:spacing w:after="0"/>
              <w:rPr>
                <w:sz w:val="15"/>
                <w:szCs w:val="15"/>
                <w:color w:val="auto"/>
              </w:rPr>
            </w:pPr>
          </w:p>
        </w:tc>
        <w:tc>
          <w:tcPr>
            <w:tcW w:w="232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Reserved</w:t>
              </w:r>
            </w:hyperlink>
          </w:p>
        </w:tc>
        <w:tc>
          <w:tcPr>
            <w:tcW w:w="4360" w:type="dxa"/>
            <w:vAlign w:val="bottom"/>
            <w:tcBorders>
              <w:top w:val="single" w:sz="8" w:color="CCEEFF"/>
            </w:tcBorders>
            <w:gridSpan w:val="6"/>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gridSpan w:val="3"/>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5.</w:t>
              </w:r>
            </w:hyperlink>
          </w:p>
        </w:tc>
        <w:tc>
          <w:tcPr>
            <w:tcW w:w="880" w:type="dxa"/>
            <w:vAlign w:val="bottom"/>
            <w:tcBorders>
              <w:bottom w:val="single" w:sz="8" w:color="CCEEFF"/>
            </w:tcBorders>
            <w:gridSpan w:val="4"/>
            <w:shd w:val="clear" w:color="auto" w:fill="CCEEFF"/>
          </w:tcPr>
          <w:p>
            <w:pPr>
              <w:spacing w:after="0"/>
              <w:rPr>
                <w:sz w:val="17"/>
                <w:szCs w:val="17"/>
                <w:color w:val="auto"/>
              </w:rPr>
            </w:pPr>
          </w:p>
        </w:tc>
        <w:tc>
          <w:tcPr>
            <w:tcW w:w="13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Other Information</w:t>
              </w:r>
            </w:hyperlink>
          </w:p>
        </w:tc>
        <w:tc>
          <w:tcPr>
            <w:tcW w:w="5360" w:type="dxa"/>
            <w:vAlign w:val="bottom"/>
            <w:tcBorders>
              <w:bottom w:val="single" w:sz="8" w:color="CCEEFF"/>
            </w:tcBorders>
            <w:gridSpan w:val="12"/>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gridSpan w:val="5"/>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6.</w:t>
              </w:r>
            </w:hyperlink>
          </w:p>
        </w:tc>
        <w:tc>
          <w:tcPr>
            <w:tcW w:w="6680" w:type="dxa"/>
            <w:vAlign w:val="bottom"/>
            <w:gridSpan w:val="19"/>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Exhibits</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80" w:type="dxa"/>
            <w:vAlign w:val="bottom"/>
            <w:gridSpan w:val="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Signatures</w:t>
              </w:r>
            </w:hyperlink>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1380" w:type="dxa"/>
            <w:vAlign w:val="bottom"/>
            <w:gridSpan w:val="5"/>
          </w:tcPr>
          <w:p>
            <w:pPr>
              <w:spacing w:after="0"/>
              <w:rPr>
                <w:sz w:val="20"/>
                <w:szCs w:val="20"/>
                <w:color w:val="auto"/>
              </w:rPr>
            </w:pPr>
            <w:r>
              <w:rPr>
                <w:rFonts w:ascii="Arial" w:cs="Arial" w:eastAsia="Arial" w:hAnsi="Arial"/>
                <w:sz w:val="18"/>
                <w:szCs w:val="18"/>
                <w:color w:val="auto"/>
              </w:rPr>
              <w:t>Exhibit Index</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gridSpan w:val="17"/>
          </w:tcPr>
          <w:p>
            <w:pPr>
              <w:jc w:val="center"/>
              <w:ind w:left="227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9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400" w:type="dxa"/>
            <w:vAlign w:val="bottom"/>
            <w:gridSpan w:val="6"/>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Table of Contents</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6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5"/>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6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2"/>
              </w:rPr>
              <w:t>AeroVironment, Inc.</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7"/>
              </w:rPr>
              <w:t>Consolidated Balance Sheets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(In thousands except share and per share data)</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October 29,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98,589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ind w:left="1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78,782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126,839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gridSpan w:val="24"/>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$877 at October 29, 2011 and $639 at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gridSpan w:val="24"/>
            <w:shd w:val="clear" w:color="auto" w:fill="CCEEFF"/>
          </w:tcPr>
          <w:p>
            <w:pPr>
              <w:ind w:left="340"/>
              <w:spacing w:after="0"/>
              <w:rPr>
                <w:sz w:val="20"/>
                <w:szCs w:val="20"/>
                <w:color w:val="auto"/>
              </w:rPr>
            </w:pPr>
            <w:r>
              <w:rPr>
                <w:rFonts w:ascii="Arial" w:cs="Arial" w:eastAsia="Arial" w:hAnsi="Arial"/>
                <w:sz w:val="18"/>
                <w:szCs w:val="18"/>
                <w:color w:val="auto"/>
              </w:rPr>
              <w:t>April 30, 2011</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25,571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44,376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ind w:left="160"/>
              <w:spacing w:after="0"/>
              <w:rPr>
                <w:sz w:val="20"/>
                <w:szCs w:val="20"/>
                <w:color w:val="auto"/>
              </w:rPr>
            </w:pPr>
            <w:r>
              <w:rPr>
                <w:rFonts w:ascii="Arial" w:cs="Arial" w:eastAsia="Arial" w:hAnsi="Arial"/>
                <w:sz w:val="18"/>
                <w:szCs w:val="18"/>
                <w:color w:val="auto"/>
              </w:rPr>
              <w:t>Unbilled receivables and retentions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21,676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21,966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7"/>
              </w:rPr>
              <w:t>Inventories,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gridSpan w:val="5"/>
          </w:tcPr>
          <w:p>
            <w:pPr>
              <w:spacing w:after="0"/>
              <w:rPr>
                <w:sz w:val="20"/>
                <w:szCs w:val="20"/>
                <w:color w:val="auto"/>
              </w:rPr>
            </w:pPr>
            <w:r>
              <w:rPr>
                <w:rFonts w:ascii="Arial" w:cs="Arial" w:eastAsia="Arial" w:hAnsi="Arial"/>
                <w:sz w:val="18"/>
                <w:szCs w:val="18"/>
                <w:color w:val="auto"/>
                <w:w w:val="86"/>
              </w:rPr>
              <w:t>Total 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271,623</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298,031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18,841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17,498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331,747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060" w:type="dxa"/>
            <w:vAlign w:val="bottom"/>
            <w:gridSpan w:val="24"/>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Current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19,617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31,134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ind w:left="160"/>
              <w:spacing w:after="0"/>
              <w:rPr>
                <w:sz w:val="20"/>
                <w:szCs w:val="20"/>
                <w:color w:val="auto"/>
              </w:rPr>
            </w:pPr>
            <w:r>
              <w:rPr>
                <w:rFonts w:ascii="Arial" w:cs="Arial" w:eastAsia="Arial" w:hAnsi="Arial"/>
                <w:sz w:val="18"/>
                <w:szCs w:val="18"/>
                <w:color w:val="auto"/>
              </w:rPr>
              <w:t>Wages and related accruals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2,372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7,404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ind w:left="160"/>
              <w:spacing w:after="0"/>
              <w:rPr>
                <w:sz w:val="20"/>
                <w:szCs w:val="20"/>
                <w:color w:val="auto"/>
              </w:rPr>
            </w:pPr>
            <w:r>
              <w:rPr>
                <w:rFonts w:ascii="Arial" w:cs="Arial" w:eastAsia="Arial" w:hAnsi="Arial"/>
                <w:sz w:val="18"/>
                <w:szCs w:val="18"/>
                <w:color w:val="auto"/>
              </w:rPr>
              <w:t>Liability for uncertain tax positions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gridSpan w:val="24"/>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43,887</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62,104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spacing w:after="0"/>
              <w:rPr>
                <w:sz w:val="20"/>
                <w:szCs w:val="20"/>
                <w:color w:val="auto"/>
              </w:rPr>
            </w:pPr>
            <w:r>
              <w:rPr>
                <w:rFonts w:ascii="Arial" w:cs="Arial" w:eastAsia="Arial" w:hAnsi="Arial"/>
                <w:sz w:val="18"/>
                <w:szCs w:val="18"/>
                <w:color w:val="auto"/>
              </w:rPr>
              <w:t>Wages and other accruals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tcPr>
          <w:p>
            <w:pPr>
              <w:spacing w:after="0"/>
              <w:rPr>
                <w:sz w:val="20"/>
                <w:szCs w:val="20"/>
                <w:color w:val="auto"/>
              </w:rPr>
            </w:pPr>
            <w:r>
              <w:rPr>
                <w:rFonts w:ascii="Arial" w:cs="Arial" w:eastAsia="Arial" w:hAnsi="Arial"/>
                <w:sz w:val="18"/>
                <w:szCs w:val="18"/>
                <w:color w:val="auto"/>
              </w:rPr>
              <w:t>Liability for uncertain tax positions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4,138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4,138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gridSpan w:val="24"/>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-5928360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-5928360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Preferred stock, $0.0001 par value:</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shares — 10,000,000</w:t>
      </w:r>
    </w:p>
    <w:p>
      <w:pPr>
        <w:sectPr>
          <w:pgSz w:w="11900" w:h="16902" w:orient="portrait"/>
          <w:cols w:equalWidth="0" w:num="1">
            <w:col w:w="11460"/>
          </w:cols>
          <w:pgMar w:left="240" w:top="337" w:right="199" w:bottom="0" w:gutter="0" w:footer="0" w:header="0"/>
        </w:sectPr>
      </w:pPr>
    </w:p>
    <w:bookmarkStart w:id="2" w:name="page3"/>
    <w:bookmarkEnd w:id="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None issued or outstanding</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Common stock, $0.0001 par value: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 shares — 100,000,000</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w w:val="94"/>
              </w:rPr>
              <w:t>Issued and outstanding shares — 22,098,896 at October 29, 2011 and 21,949,884 at April 30, 2011</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122,089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119,765</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151,398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144,485</w:t>
            </w:r>
          </w:p>
        </w:tc>
      </w:tr>
      <w:tr>
        <w:trPr>
          <w:trHeight w:val="210"/>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272,748</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263,468</w:t>
            </w:r>
          </w:p>
        </w:tc>
        <w:tc>
          <w:tcPr>
            <w:tcW w:w="100" w:type="dxa"/>
            <w:vAlign w:val="bottom"/>
            <w:tcBorders>
              <w:bottom w:val="single" w:sz="8" w:color="CCEEFF"/>
            </w:tcBorders>
          </w:tcPr>
          <w:p>
            <w:pPr>
              <w:spacing w:after="0"/>
              <w:rPr>
                <w:sz w:val="18"/>
                <w:szCs w:val="18"/>
                <w:color w:val="auto"/>
              </w:rPr>
            </w:pPr>
          </w:p>
        </w:tc>
      </w:tr>
      <w:tr>
        <w:trPr>
          <w:trHeight w:val="210"/>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322,939</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29,</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October 30,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October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1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47,858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32,494</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77,157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44,714</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services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32,514</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31,287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65,212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57,295</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80,372</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142,369</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28,499</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20,646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46,371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29,332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services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21,243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43,653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38,866</w:t>
            </w: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49,742</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42,006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90,024</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12,240</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12,685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25,940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24,056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16,402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16,661</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9,574</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10,003</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3,274</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Earnings (loss) per share data:</w:t>
            </w: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0.30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Basic</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21,763,927</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21,565,969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21,743,990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21,555,864</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22,255,943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22,027,155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22,244,697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21,555,864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7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tcPr>
          <w:p>
            <w:pPr>
              <w:spacing w:after="0"/>
              <w:rPr>
                <w:sz w:val="10"/>
                <w:szCs w:val="10"/>
                <w:color w:val="auto"/>
              </w:rPr>
            </w:pPr>
          </w:p>
        </w:tc>
      </w:tr>
      <w:tr>
        <w:trPr>
          <w:trHeight w:val="171"/>
        </w:trPr>
        <w:tc>
          <w:tcPr>
            <w:tcW w:w="75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6,913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(3,181)</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cash provided by (used in) operating activities: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4,141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5,493</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Tax benefit from exercise of stock options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from stock-based compensation</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Gain on sale of property and equipment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18,559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5,098</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receivables and retentions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(3,298)</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(8,001)</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(2,351)</w:t>
            </w:r>
          </w:p>
        </w:tc>
      </w:tr>
    </w:tbl>
    <w:p>
      <w:pPr>
        <w:sectPr>
          <w:pgSz w:w="11900" w:h="16897"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(6,481)</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property and equipment</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Proceeds from the sale of property and equipment</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sales of held-to-maturity investments</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31,623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sales of available-for-sale investments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225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26,364</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323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36,548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62,041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28,665</w:t>
            </w:r>
          </w:p>
        </w:tc>
        <w:tc>
          <w:tcPr>
            <w:tcW w:w="0" w:type="dxa"/>
            <w:vAlign w:val="bottom"/>
          </w:tcPr>
          <w:p>
            <w:pPr>
              <w:spacing w:after="0"/>
              <w:rPr>
                <w:sz w:val="1"/>
                <w:szCs w:val="1"/>
                <w:color w:val="auto"/>
              </w:rPr>
            </w:pPr>
          </w:p>
        </w:tc>
      </w:tr>
      <w:tr>
        <w:trPr>
          <w:trHeight w:val="250"/>
        </w:trPr>
        <w:tc>
          <w:tcPr>
            <w:tcW w:w="78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98,589</w:t>
            </w:r>
          </w:p>
        </w:tc>
        <w:tc>
          <w:tcPr>
            <w:tcW w:w="28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Supplemental disclosure:</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Unrealized gain (loss) on long-term investments recorded in other comprehensive income (loss), net of</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 of $30 and $10, respectively</w:t>
            </w:r>
          </w:p>
        </w:tc>
        <w:tc>
          <w:tcPr>
            <w:tcW w:w="9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AeroVironment, Inc., a Delaware corporation (the “Company”), is engaged in the design, development, production and support of unmanned aircraft systems and efficient energy systems for various industries and governmental agencies.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for interim financial information and with the instructions of Form 10-Q and Article 10 of Regulation S-X. Accordingly, they do not include all of the information and footnotes required by accounting principles generally accepted in the United States for complete financial statements. In the opinion of management, all adjustments, consisting only of normal recurring adjustments necessary for a fair presentation with respect to the interim financial statements have been included. The results of operations for the three and six months ended October 29, 2011 are not necessarily indicative of the results for the full year ending April 30, 2012. For further information, refer to the consolidated financial statements and footnotes thereto for the year ended April 30, 2011, included in AeroVironment, Inc.’s Annual Report on Form 10-K.</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66"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significant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products are sold and divided among two reportable segments to reflect the Company’s strategic goals. Operating segments are defined as components of an enterprise from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(“R&amp;D”) activities and assessing performance. The Company’s reportable segments are business units that offer different products and services and are managed separately.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investments are accounted for as held-to-maturity and available-for-sale and reported at amortized cost and fair value,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 Contracts</w:t>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line="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billing rates, may create an additional receivable or liability for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example, during the course of its audits, the DCAA may question the Company’s incurred project costs, and if the DCAA believes the Company has accounted for such costs in a manner inconsistent with the requirements under Federal Acquisition Regulations, the DCAA auditor may recommend to the Company’s administrative contracting officer to disallow such costs. The Company can provide no assurance that the DCAA or other government audits will not result in material disallowances for incurred costs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Basic earnings (loss) per share is computed using the weighted-average number of common shares outstanding, excluding shares of unvested restricted stock. The dilutive effect of potential common shares outstanding is included in diluted earnings per share and excludes any anti-dilutive effects of options and shares of unvested restricted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diluted to basic shares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3300" w:type="dxa"/>
            <w:vAlign w:val="bottom"/>
            <w:gridSpan w:val="4"/>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3120" w:type="dxa"/>
            <w:vAlign w:val="bottom"/>
            <w:gridSpan w:val="5"/>
          </w:tcPr>
          <w:p>
            <w:pPr>
              <w:ind w:left="9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000" w:type="dxa"/>
            <w:vAlign w:val="bottom"/>
          </w:tcPr>
          <w:p>
            <w:pPr>
              <w:spacing w:after="0"/>
              <w:rPr>
                <w:sz w:val="10"/>
                <w:szCs w:val="10"/>
                <w:color w:val="auto"/>
              </w:rPr>
            </w:pPr>
          </w:p>
        </w:tc>
        <w:tc>
          <w:tcPr>
            <w:tcW w:w="1660" w:type="dxa"/>
            <w:vAlign w:val="bottom"/>
            <w:tcBorders>
              <w:top w:val="single" w:sz="8" w:color="auto"/>
            </w:tcBorders>
            <w:gridSpan w:val="2"/>
          </w:tcPr>
          <w:p>
            <w:pPr>
              <w:ind w:left="320"/>
              <w:spacing w:after="0" w:line="119" w:lineRule="exact"/>
              <w:rPr>
                <w:sz w:val="20"/>
                <w:szCs w:val="20"/>
                <w:color w:val="auto"/>
              </w:rPr>
            </w:pPr>
            <w:r>
              <w:rPr>
                <w:rFonts w:ascii="Arial" w:cs="Arial" w:eastAsia="Arial" w:hAnsi="Arial"/>
                <w:sz w:val="13"/>
                <w:szCs w:val="13"/>
                <w:b w:val="1"/>
                <w:bCs w:val="1"/>
                <w:color w:val="auto"/>
              </w:rPr>
              <w:t>October 29,</w:t>
            </w:r>
          </w:p>
        </w:tc>
        <w:tc>
          <w:tcPr>
            <w:tcW w:w="136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October 30,</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October 29,</w:t>
            </w:r>
          </w:p>
        </w:tc>
        <w:tc>
          <w:tcPr>
            <w:tcW w:w="1380" w:type="dxa"/>
            <w:vAlign w:val="bottom"/>
            <w:tcBorders>
              <w:top w:val="single" w:sz="8" w:color="auto"/>
            </w:tcBorders>
          </w:tcPr>
          <w:p>
            <w:pPr>
              <w:jc w:val="right"/>
              <w:ind w:right="258"/>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gridSpan w:val="2"/>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 for basic earnings (loss) per share:</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5000" w:type="dxa"/>
            <w:vAlign w:val="bottom"/>
          </w:tcPr>
          <w:p>
            <w:pPr>
              <w:ind w:left="180"/>
              <w:spacing w:after="0" w:line="201" w:lineRule="exact"/>
              <w:rPr>
                <w:sz w:val="20"/>
                <w:szCs w:val="20"/>
                <w:color w:val="auto"/>
              </w:rPr>
            </w:pPr>
            <w:r>
              <w:rPr>
                <w:rFonts w:ascii="Arial" w:cs="Arial" w:eastAsia="Arial" w:hAnsi="Arial"/>
                <w:sz w:val="18"/>
                <w:szCs w:val="18"/>
                <w:color w:val="auto"/>
              </w:rPr>
              <w:t>Weighted average common shares outstanding, excluding</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unvested restricted stock</w:t>
            </w: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rPr>
              <w:t>21,763,927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21,565,969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21,743,990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21,555,864</w:t>
            </w:r>
          </w:p>
        </w:tc>
        <w:tc>
          <w:tcPr>
            <w:tcW w:w="80" w:type="dxa"/>
            <w:vAlign w:val="bottom"/>
          </w:tcPr>
          <w:p>
            <w:pPr>
              <w:spacing w:after="0"/>
              <w:rPr>
                <w:sz w:val="20"/>
                <w:szCs w:val="20"/>
                <w:color w:val="auto"/>
              </w:rPr>
            </w:pPr>
          </w:p>
        </w:tc>
      </w:tr>
      <w:tr>
        <w:trPr>
          <w:trHeight w:val="202"/>
        </w:trPr>
        <w:tc>
          <w:tcPr>
            <w:tcW w:w="5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Dilutive effect of employee stock options and unvested</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492,016</w:t>
            </w:r>
          </w:p>
        </w:tc>
        <w:tc>
          <w:tcPr>
            <w:tcW w:w="3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461,186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500,707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000" w:type="dxa"/>
            <w:vAlign w:val="bottom"/>
          </w:tcPr>
          <w:p>
            <w:pPr>
              <w:ind w:left="180"/>
              <w:spacing w:after="0"/>
              <w:rPr>
                <w:sz w:val="20"/>
                <w:szCs w:val="20"/>
                <w:color w:val="auto"/>
              </w:rPr>
            </w:pPr>
            <w:r>
              <w:rPr>
                <w:rFonts w:ascii="Arial" w:cs="Arial" w:eastAsia="Arial" w:hAnsi="Arial"/>
                <w:sz w:val="18"/>
                <w:szCs w:val="18"/>
                <w:color w:val="auto"/>
              </w:rPr>
              <w:t>Denominator for diluted earnings (loss) per share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22,255,943</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22,027,155</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22,244,697</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21,555,864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three months ended October 29, 2011 and October 30, 2010 and six months ended October 29, 2011, certain shares reserved for issuance upon exercise of stock options and shares of unvested restricted stock were not included in the computation of diluted earnings per share because their inclusion would have been anti-dilutive. The number of shares reserved for issuance upon exercise of stock options and shares of unvested restricted stock that met this anti-dilutive criterion for the three months ended October 29, 2011 and October 30, 2010 was approximately 1,000 and 16,000, respectively. The number of shares reserved for issuance upon exercise of stock options and shares of unvested restricted stock that met this anti-dilutive criterion for the six months ended October 29, 2011 was approximately 2,000. Due to the net loss for the six months ended October 30, 2010, no shares reserved for issuance upon exercise of stock options or shares of unvested restricted stock were included in the computation of diluted loss per share as their inclusion would have been anti-dilutive.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June 2011, the Financial Accounting Standards Board (“FASB”) issued accounting guidance which requires companies to present the total of comprehensive income, the components of net income, and the components of other comprehensive income either in a single continuous statement of comprehensive income or in two separate but consecutive statements. The new guidance eliminates the option to present the components of other comprehensive income as part of the statement of equity. The new guidance is effective for the Company’s interim and annual reporting periods beginning on May 1, 2012 and will be applied retrospectively, with early adoption permitted. The Company does not expect the adoption of this new guidance to have a material impact on the Company’s consolidated financial statements, other than the change in presentation described in the new guidance.</w:t>
      </w:r>
    </w:p>
    <w:p>
      <w:pPr>
        <w:spacing w:after="0" w:line="165"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In May 2011, the FASB issued accounting guidance to provide a consistent definition of fair value and to ensure that the fair value measurement and disclosure requirements are similar between generally accepted accounting principles in the United States and International Financial Reporting Standards. The new guidance changes certain fair value measurement principles and enhances the disclosure requirements particularly for Level 3 fair value measurements. The new guidance is effective for the Company’s interim and annual reporting periods beginning on May 1, 2012 and will be applied prospectively. The Company is currently evaluating the potential impact of this adoption on its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October 29,</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April 30,</w:t>
            </w:r>
          </w:p>
        </w:tc>
      </w:tr>
      <w:tr>
        <w:trPr>
          <w:trHeight w:val="171"/>
        </w:trPr>
        <w:tc>
          <w:tcPr>
            <w:tcW w:w="5240" w:type="dxa"/>
            <w:vAlign w:val="bottom"/>
            <w:tcBorders>
              <w:bottom w:val="single" w:sz="8" w:color="CCEEFF"/>
            </w:tcBorders>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w:t>
            </w:r>
          </w:p>
        </w:tc>
        <w:tc>
          <w:tcPr>
            <w:tcW w:w="3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Held-to-maturity securities:</w:t>
            </w: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bills</w:t>
            </w:r>
          </w:p>
        </w:tc>
        <w:tc>
          <w:tcPr>
            <w:tcW w:w="30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78,782</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126,839</w:t>
            </w:r>
          </w:p>
        </w:tc>
        <w:tc>
          <w:tcPr>
            <w:tcW w:w="100" w:type="dxa"/>
            <w:vAlign w:val="bottom"/>
            <w:shd w:val="clear" w:color="auto" w:fill="CCEEFF"/>
          </w:tcPr>
          <w:p>
            <w:pPr>
              <w:spacing w:after="0"/>
              <w:rPr>
                <w:sz w:val="18"/>
                <w:szCs w:val="18"/>
                <w:color w:val="auto"/>
              </w:rPr>
            </w:pPr>
          </w:p>
        </w:tc>
      </w:tr>
    </w:tbl>
    <w:p>
      <w:pPr>
        <w:sectPr>
          <w:pgSz w:w="11900" w:h="16857" w:orient="portrait"/>
          <w:cols w:equalWidth="0" w:num="1">
            <w:col w:w="11420"/>
          </w:cols>
          <w:pgMar w:left="240" w:top="341" w:right="239" w:bottom="0" w:gutter="0" w:footer="0" w:header="0"/>
        </w:sectPr>
      </w:pPr>
    </w:p>
    <w:bookmarkStart w:id="5" w:name="page6"/>
    <w:bookmarkEnd w:id="5"/>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60" w:type="dxa"/>
            <w:vAlign w:val="bottom"/>
          </w:tcPr>
          <w:p>
            <w:pPr>
              <w:ind w:left="540"/>
              <w:spacing w:after="0"/>
              <w:rPr>
                <w:sz w:val="20"/>
                <w:szCs w:val="20"/>
                <w:color w:val="auto"/>
              </w:rPr>
            </w:pPr>
            <w:r>
              <w:rPr>
                <w:rFonts w:ascii="Arial" w:cs="Arial" w:eastAsia="Arial" w:hAnsi="Arial"/>
                <w:sz w:val="18"/>
                <w:szCs w:val="18"/>
                <w:color w:val="auto"/>
              </w:rPr>
              <w:t>Total short-term investments</w:t>
            </w:r>
          </w:p>
        </w:tc>
        <w:tc>
          <w:tcPr>
            <w:tcW w:w="33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78,782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126,839</w:t>
            </w:r>
          </w:p>
        </w:tc>
        <w:tc>
          <w:tcPr>
            <w:tcW w:w="80" w:type="dxa"/>
            <w:vAlign w:val="bottom"/>
          </w:tcPr>
          <w:p>
            <w:pPr>
              <w:spacing w:after="0"/>
              <w:rPr>
                <w:sz w:val="23"/>
                <w:szCs w:val="23"/>
                <w:color w:val="auto"/>
              </w:rPr>
            </w:pPr>
          </w:p>
        </w:tc>
      </w:tr>
      <w:tr>
        <w:trPr>
          <w:trHeight w:val="170"/>
        </w:trPr>
        <w:tc>
          <w:tcPr>
            <w:tcW w:w="54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Long-term investments:</w:t>
            </w:r>
          </w:p>
        </w:tc>
        <w:tc>
          <w:tcPr>
            <w:tcW w:w="28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Held-to-maturity securities:</w:t>
            </w:r>
          </w:p>
        </w:tc>
        <w:tc>
          <w:tcPr>
            <w:tcW w:w="2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Pre-refunded municipal bonds</w:t>
            </w:r>
          </w:p>
        </w:tc>
        <w:tc>
          <w:tcPr>
            <w:tcW w:w="33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16,433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2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Auction rate securities</w:t>
            </w:r>
          </w:p>
        </w:tc>
        <w:tc>
          <w:tcPr>
            <w:tcW w:w="2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6,275</w:t>
            </w:r>
          </w:p>
        </w:tc>
        <w:tc>
          <w:tcPr>
            <w:tcW w:w="80" w:type="dxa"/>
            <w:vAlign w:val="bottom"/>
            <w:shd w:val="clear" w:color="auto" w:fill="CCEEFF"/>
          </w:tcPr>
          <w:p>
            <w:pPr>
              <w:spacing w:after="0"/>
              <w:rPr>
                <w:sz w:val="18"/>
                <w:szCs w:val="18"/>
                <w:color w:val="auto"/>
              </w:rPr>
            </w:pPr>
          </w:p>
        </w:tc>
      </w:tr>
      <w:tr>
        <w:trPr>
          <w:trHeight w:val="210"/>
        </w:trPr>
        <w:tc>
          <w:tcPr>
            <w:tcW w:w="5460" w:type="dxa"/>
            <w:vAlign w:val="bottom"/>
          </w:tcPr>
          <w:p>
            <w:pPr>
              <w:ind w:left="540"/>
              <w:spacing w:after="0"/>
              <w:rPr>
                <w:sz w:val="20"/>
                <w:szCs w:val="20"/>
                <w:color w:val="auto"/>
              </w:rPr>
            </w:pPr>
            <w:r>
              <w:rPr>
                <w:rFonts w:ascii="Arial" w:cs="Arial" w:eastAsia="Arial" w:hAnsi="Arial"/>
                <w:sz w:val="18"/>
                <w:szCs w:val="18"/>
                <w:color w:val="auto"/>
              </w:rPr>
              <w:t>Total long-term investments</w:t>
            </w:r>
          </w:p>
        </w:tc>
        <w:tc>
          <w:tcPr>
            <w:tcW w:w="28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22,556</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Held-To-Maturity Securities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October 29, 2011, the balance of held-to-maturity securities consisted of two pre-refunded municipal bonds and U.S. Treasury bills. Pre-refunded municipal bonds are created when municipalities issue new debt to refinance debt issued when interest rates were higher. When the refinancing is completed, the issuer uses the proceeds to purchase U.S. Treasury securities or state and local government securities and places these securities in an escrow account. These proceeds are then used to pay interest and principal on the original debt until the bonds are called. Interest earned from these investments is recorded in interest income.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October 29, 2011,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2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21"/>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Pre-refunded municipal bonds</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16,433</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U.S. Treasury bills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78,782</w:t>
            </w:r>
          </w:p>
        </w:tc>
        <w:tc>
          <w:tcPr>
            <w:tcW w:w="11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79"/>
              </w:rPr>
              <w:t>24</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78,800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95,215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24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April 30, 2011,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160" w:type="dxa"/>
            <w:vAlign w:val="bottom"/>
          </w:tcPr>
          <w:p>
            <w:pPr>
              <w:jc w:val="center"/>
              <w:ind w:right="121"/>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1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10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126,839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 held-to-maturity investments</w:t>
            </w:r>
          </w:p>
        </w:tc>
        <w:tc>
          <w:tcPr>
            <w:tcW w:w="1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126,839</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the Company’s held-to-maturity securities by contractual maturity at October 29, 2011,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78,782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16,433</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16,402</w:t>
            </w: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95,215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Available-For-Sale Securities</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As of October 29, 2011, the entire balance of available-for-sale securities consisted of four investment grade auction rate municipal bonds with maturities ranging from 8 to 23 years.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the Company chooses to roll-over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5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October 29, 2011, until a future auction of these securities is successful or a buyer is found outside of the auction process.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failed auctions, the fair values of these securities are estimated utilizing a discounted cash flow analysis as of October 29, 2011. The analysis considers,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Based on the Company’s ability to access its cash and cash equivalents, expected operating cash flows, and other sources of cash, the Company does not anticipate the current lack of liquidity of these investments will affect its ability to operate the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other-than-temporary impairment. The auction rate securities have been in an unrealized loss position for more than 12 months. The Company has the ability and the intent to hold these investments until a recovery of fair value, which may be at maturity, and as of October 29, 2011 it did not consider these investments to be other-than-temporarily impaired.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available-for-sale investments as of October 29, 2011, were as follows (in thousands):</w:t>
      </w:r>
    </w:p>
    <w:p>
      <w:pPr>
        <w:sectPr>
          <w:pgSz w:w="11900" w:h="16902" w:orient="portrait"/>
          <w:cols w:equalWidth="0" w:num="1">
            <w:col w:w="11420"/>
          </w:cols>
          <w:pgMar w:left="240" w:top="125" w:right="239" w:bottom="0" w:gutter="0" w:footer="0" w:header="0"/>
        </w:sectPr>
      </w:pPr>
    </w:p>
    <w:bookmarkStart w:id="6" w:name="page7"/>
    <w:bookmarkEnd w:id="6"/>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available-for-sale investments as of April 30, 2011,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 of the Company’s auction rate securities by contractual maturity at October 29, 2011,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Due after five through 10 years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Due after 10 years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5,525</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4,484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jc w:val="center"/>
              <w:ind w:left="3250"/>
              <w:spacing w:after="0"/>
              <w:rPr>
                <w:sz w:val="20"/>
                <w:szCs w:val="20"/>
                <w:color w:val="auto"/>
              </w:rPr>
            </w:pPr>
            <w:r>
              <w:rPr>
                <w:rFonts w:ascii="Arial" w:cs="Arial" w:eastAsia="Arial" w:hAnsi="Arial"/>
                <w:sz w:val="18"/>
                <w:szCs w:val="18"/>
                <w:color w:val="auto"/>
                <w:w w:val="99"/>
              </w:rPr>
              <w:t>9</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6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6800" w:type="dxa"/>
            <w:vAlign w:val="bottom"/>
          </w:tcPr>
          <w:p>
            <w:pPr>
              <w:jc w:val="center"/>
              <w:ind w:left="1970"/>
              <w:spacing w:after="0"/>
              <w:rPr>
                <w:sz w:val="20"/>
                <w:szCs w:val="20"/>
                <w:color w:val="auto"/>
              </w:rPr>
            </w:pPr>
            <w:r>
              <w:rPr>
                <w:rFonts w:ascii="Arial" w:cs="Arial" w:eastAsia="Arial" w:hAnsi="Arial"/>
                <w:sz w:val="18"/>
                <w:szCs w:val="18"/>
                <w:b w:val="1"/>
                <w:bCs w:val="1"/>
                <w:color w:val="auto"/>
                <w:w w:val="92"/>
              </w:rPr>
              <w:t>AeroVironment, Inc.</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Notes to Consolidated Financial Statements (Unaudited)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3. Inventories, net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
          </w:tcPr>
          <w:p>
            <w:pPr>
              <w:spacing w:after="0"/>
              <w:rPr>
                <w:sz w:val="20"/>
                <w:szCs w:val="20"/>
                <w:color w:val="auto"/>
              </w:rPr>
            </w:pPr>
            <w:r>
              <w:rPr>
                <w:rFonts w:ascii="Arial" w:cs="Arial" w:eastAsia="Arial" w:hAnsi="Arial"/>
                <w:sz w:val="18"/>
                <w:szCs w:val="18"/>
                <w:color w:val="auto"/>
              </w:rPr>
              <w:t>Inventories consist of the following (in thousands):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October 29,</w:t>
            </w:r>
          </w:p>
        </w:tc>
        <w:tc>
          <w:tcPr>
            <w:tcW w:w="220" w:type="dxa"/>
            <w:vAlign w:val="bottom"/>
          </w:tcPr>
          <w:p>
            <w:pPr>
              <w:spacing w:after="0"/>
              <w:rPr>
                <w:sz w:val="24"/>
                <w:szCs w:val="2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April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80" w:type="dxa"/>
            <w:vAlign w:val="bottom"/>
            <w:tcBorders>
              <w:bottom w:val="single" w:sz="8" w:color="CCEEFF"/>
            </w:tcBorders>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13,892</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7,994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18,279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17,647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2"/>
          </w:tcPr>
          <w:p>
            <w:pPr>
              <w:spacing w:after="0"/>
              <w:rPr>
                <w:sz w:val="20"/>
                <w:szCs w:val="20"/>
                <w:color w:val="auto"/>
              </w:rPr>
            </w:pPr>
            <w:r>
              <w:rPr>
                <w:rFonts w:ascii="Arial" w:cs="Arial" w:eastAsia="Arial" w:hAnsi="Arial"/>
                <w:sz w:val="18"/>
                <w:szCs w:val="18"/>
                <w:color w:val="auto"/>
              </w:rPr>
              <w:t>Inventories, gross</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43,518</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inventory obsolescence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41,435</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38,137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-2548255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-2548255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24" w:lineRule="exact"/>
        <w:rPr>
          <w:sz w:val="20"/>
          <w:szCs w:val="20"/>
          <w:color w:val="auto"/>
        </w:rPr>
      </w:pPr>
    </w:p>
    <w:p>
      <w:pPr>
        <w:ind w:left="1080" w:right="360" w:hanging="1072"/>
        <w:spacing w:after="0" w:line="277" w:lineRule="auto"/>
        <w:tabs>
          <w:tab w:leader="none" w:pos="278"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1080" w:right="380" w:hanging="1072"/>
        <w:spacing w:after="0" w:line="342" w:lineRule="auto"/>
        <w:tabs>
          <w:tab w:leader="none" w:pos="278"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23"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that are unobservable inputs for the asset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measured at fair value on a recurring basis at October 29, 2011, were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Fair Value Measurement Using</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vMerge w:val="restart"/>
          </w:tcPr>
          <w:p>
            <w:pPr>
              <w:jc w:val="center"/>
              <w:ind w:left="147"/>
              <w:spacing w:after="0"/>
              <w:rPr>
                <w:sz w:val="20"/>
                <w:szCs w:val="20"/>
                <w:color w:val="auto"/>
              </w:rPr>
            </w:pPr>
            <w:r>
              <w:rPr>
                <w:rFonts w:ascii="Arial" w:cs="Arial" w:eastAsia="Arial" w:hAnsi="Arial"/>
                <w:sz w:val="14"/>
                <w:szCs w:val="14"/>
                <w:b w:val="1"/>
                <w:bCs w:val="1"/>
                <w:color w:val="auto"/>
                <w:w w:val="92"/>
              </w:rPr>
              <w:t>Quoted prices in</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left="184"/>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1"/>
              </w:rPr>
              <w:t>other</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center"/>
              <w:ind w:left="147"/>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observable</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1480" w:type="dxa"/>
            <w:vAlign w:val="bottom"/>
          </w:tcPr>
          <w:p>
            <w:pPr>
              <w:jc w:val="center"/>
              <w:ind w:left="147"/>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0"/>
              </w:rPr>
              <w:t>inputs</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inputs</w:t>
            </w:r>
          </w:p>
        </w:tc>
        <w:tc>
          <w:tcPr>
            <w:tcW w:w="300" w:type="dxa"/>
            <w:vAlign w:val="bottom"/>
          </w:tcPr>
          <w:p>
            <w:pPr>
              <w:spacing w:after="0"/>
              <w:rPr>
                <w:sz w:val="12"/>
                <w:szCs w:val="12"/>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center"/>
              <w:ind w:left="147"/>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left="184"/>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ind w:right="132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8"/>
                <w:szCs w:val="18"/>
                <w:color w:val="auto"/>
              </w:rPr>
            </w:pPr>
          </w:p>
        </w:tc>
        <w:tc>
          <w:tcPr>
            <w:tcW w:w="1480" w:type="dxa"/>
            <w:vAlign w:val="bottom"/>
            <w:tcBorders>
              <w:bottom w:val="single" w:sz="8" w:color="auto"/>
            </w:tcBorders>
          </w:tcPr>
          <w:p>
            <w:pPr>
              <w:jc w:val="right"/>
              <w:ind w:right="132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right"/>
              <w:ind w:right="944"/>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Due to the auction failures of the Company’s auction rate securities that began in the fourth quarter of fiscal 2008, there are still no quoted prices in active markets for identical assets as of October 29, 2011. Therefore, the Company has classified its auction rate securities as Level 3 financial assets. The following table provides a reconciliation between the beginning and ending balances of items measured at fair value on a recurring basis in the table above that used significant unobservable inputs (Level 3)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Measurements Using</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8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tcPr>
          <w:p>
            <w:pPr>
              <w:jc w:val="center"/>
              <w:ind w:right="124"/>
              <w:spacing w:after="0" w:line="142" w:lineRule="exact"/>
              <w:rPr>
                <w:sz w:val="20"/>
                <w:szCs w:val="20"/>
                <w:color w:val="auto"/>
              </w:rPr>
            </w:pPr>
            <w:r>
              <w:rPr>
                <w:rFonts w:ascii="Arial" w:cs="Arial" w:eastAsia="Arial" w:hAnsi="Arial"/>
                <w:sz w:val="14"/>
                <w:szCs w:val="14"/>
                <w:b w:val="1"/>
                <w:bCs w:val="1"/>
                <w:color w:val="auto"/>
                <w:w w:val="92"/>
              </w:rPr>
              <w:t>Auction Rate Securities</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Transfers to Level 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25" w:orient="portrait"/>
          <w:cols w:equalWidth="0" w:num="1">
            <w:col w:w="11460"/>
          </w:cols>
          <w:pgMar w:left="240" w:top="320" w:right="199" w:bottom="0" w:gutter="0" w:footer="0" w:header="0"/>
        </w:sectPr>
      </w:pPr>
    </w:p>
    <w:bookmarkStart w:id="7" w:name="page8"/>
    <w:bookmarkEnd w:id="7"/>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 (realized or unrealized)</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 (loss)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29, 2011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line="195" w:lineRule="exact"/>
              <w:rPr>
                <w:sz w:val="20"/>
                <w:szCs w:val="20"/>
                <w:color w:val="auto"/>
              </w:rPr>
            </w:pPr>
            <w:r>
              <w:rPr>
                <w:rFonts w:ascii="Arial" w:cs="Arial" w:eastAsia="Arial" w:hAnsi="Arial"/>
                <w:sz w:val="18"/>
                <w:szCs w:val="18"/>
                <w:color w:val="auto"/>
                <w:w w:val="92"/>
              </w:rPr>
              <w:t>The amount of total gains or (losses) for the period included in earnings (or change in net assets) attributable to the change</w:t>
            </w: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in unrealized gains or losses relating to assets still held at October 29, 2011</w:t>
            </w:r>
          </w:p>
        </w:tc>
        <w:tc>
          <w:tcPr>
            <w:tcW w:w="108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60" w:type="dxa"/>
            <w:vAlign w:val="bottom"/>
          </w:tcPr>
          <w:p>
            <w:pPr>
              <w:ind w:left="56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Based on the Company’s ability to access its cash and cash equivalents, expected operating cash flows, and other sources of cash, the Company does not anticipate the current lack of liquidity on these investments will affect its ability to operate the business in the ordinary course. The Company believes the current lack of liquidity of these investments is temporary and expects that the securities will be redeemed or refinanced at some point in the future, allowing the Company to recover the original cost of $7.4 million. The Company will continue to monitor the value of its auction rate securities at each reporting period for a possible other-than-temporary impairment.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(loss)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Borders>
              <w:top w:val="single" w:sz="8" w:color="auto"/>
            </w:tcBorders>
            <w:gridSpan w:val="3"/>
          </w:tcPr>
          <w:p>
            <w:pPr>
              <w:ind w:left="320"/>
              <w:spacing w:after="0" w:line="119" w:lineRule="exact"/>
              <w:rPr>
                <w:sz w:val="20"/>
                <w:szCs w:val="20"/>
                <w:color w:val="auto"/>
              </w:rPr>
            </w:pPr>
            <w:r>
              <w:rPr>
                <w:rFonts w:ascii="Arial" w:cs="Arial" w:eastAsia="Arial" w:hAnsi="Arial"/>
                <w:sz w:val="13"/>
                <w:szCs w:val="13"/>
                <w:b w:val="1"/>
                <w:bCs w:val="1"/>
                <w:color w:val="auto"/>
              </w:rPr>
              <w:t>October 29,</w:t>
            </w:r>
          </w:p>
        </w:tc>
        <w:tc>
          <w:tcPr>
            <w:tcW w:w="10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October 30,</w:t>
            </w:r>
          </w:p>
        </w:tc>
        <w:tc>
          <w:tcPr>
            <w:tcW w:w="3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October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gridSpan w:val="2"/>
          </w:tcPr>
          <w:p>
            <w:pPr>
              <w:spacing w:after="0"/>
              <w:rPr>
                <w:sz w:val="10"/>
                <w:szCs w:val="10"/>
                <w:color w:val="auto"/>
              </w:rPr>
            </w:pPr>
          </w:p>
        </w:tc>
      </w:tr>
      <w:tr>
        <w:trPr>
          <w:trHeight w:val="171"/>
        </w:trPr>
        <w:tc>
          <w:tcPr>
            <w:tcW w:w="432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60"/>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8"/>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0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long-term investments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tcPr>
          <w:p>
            <w:pPr>
              <w:spacing w:after="0"/>
              <w:rPr>
                <w:sz w:val="19"/>
                <w:szCs w:val="19"/>
                <w:color w:val="auto"/>
              </w:rPr>
            </w:pPr>
          </w:p>
        </w:tc>
        <w:tc>
          <w:tcPr>
            <w:tcW w:w="840" w:type="dxa"/>
            <w:vAlign w:val="bottom"/>
            <w:tcBorders>
              <w:top w:val="single" w:sz="8" w:color="auto"/>
            </w:tcBorders>
          </w:tcPr>
          <w:p>
            <w:pPr>
              <w:jc w:val="right"/>
              <w:ind w:right="68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6,628</w:t>
            </w:r>
          </w:p>
        </w:tc>
        <w:tc>
          <w:tcPr>
            <w:tcW w:w="300" w:type="dxa"/>
            <w:vAlign w:val="bottom"/>
          </w:tcPr>
          <w:p>
            <w:pPr>
              <w:spacing w:after="0"/>
              <w:rPr>
                <w:sz w:val="19"/>
                <w:szCs w:val="19"/>
                <w:color w:val="auto"/>
              </w:rPr>
            </w:pPr>
          </w:p>
        </w:tc>
        <w:tc>
          <w:tcPr>
            <w:tcW w:w="1080" w:type="dxa"/>
            <w:vAlign w:val="bottom"/>
            <w:tcBorders>
              <w:top w:val="single" w:sz="8" w:color="auto"/>
            </w:tcBorders>
          </w:tcPr>
          <w:p>
            <w:pPr>
              <w:jc w:val="right"/>
              <w:ind w:right="90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233</w:t>
            </w:r>
          </w:p>
        </w:tc>
        <w:tc>
          <w:tcPr>
            <w:tcW w:w="2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6,956</w:t>
            </w:r>
          </w:p>
        </w:tc>
        <w:tc>
          <w:tcPr>
            <w:tcW w:w="2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Warranty Reserves</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and six months ended October 29, 2011 and October 30, 2010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33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660" w:type="dxa"/>
            <w:vAlign w:val="bottom"/>
            <w:tcBorders>
              <w:top w:val="single" w:sz="8" w:color="auto"/>
            </w:tcBorders>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October 29,</w:t>
            </w:r>
          </w:p>
        </w:tc>
        <w:tc>
          <w:tcPr>
            <w:tcW w:w="10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October 30,</w:t>
            </w:r>
          </w:p>
        </w:tc>
        <w:tc>
          <w:tcPr>
            <w:tcW w:w="3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October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gridSpan w:val="2"/>
          </w:tcPr>
          <w:p>
            <w:pPr>
              <w:spacing w:after="0"/>
              <w:rPr>
                <w:sz w:val="10"/>
                <w:szCs w:val="10"/>
                <w:color w:val="auto"/>
              </w:rPr>
            </w:pPr>
          </w:p>
        </w:tc>
      </w:tr>
      <w:tr>
        <w:trPr>
          <w:trHeight w:val="171"/>
        </w:trPr>
        <w:tc>
          <w:tcPr>
            <w:tcW w:w="336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8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799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Warranty expense</w:t>
            </w: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900</w:t>
            </w:r>
          </w:p>
        </w:tc>
        <w:tc>
          <w:tcPr>
            <w:tcW w:w="10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332</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1,252</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1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(602)</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(297)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Ending balance</w:t>
            </w:r>
          </w:p>
        </w:tc>
        <w:tc>
          <w:tcPr>
            <w:tcW w:w="16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3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8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834</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Customer-Funded Research &amp; Development</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Customer-funded R&amp;D costs are incurred pursuant to contracts (revenue arrangements) to perform R&amp;D activities according to customer specifications. These costs are direct contract costs and are expensed to cost of sales when the corresponding revenue is recognized, which is generally as the R&amp;D services are performed. Revenue from customer-funded R&amp;D was approximately $4.0 million and $9.2 million for the three and six months ended October 29, 2011, respectively. Revenue from customer-funded R&amp;D was approximately $9.7 million and $21.6 million for the three and six months ended October 30, 2010, respectively.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the three and six months ended October 29, 2011, the Company recorded a provision for income taxes of $3.1 million and $3.3 million, respectively, yielding an effective tax rate of 32.0% and 32.1%, respectively. The variance from statutory rates for the three and six months ended October 29, 2011 was primarily due to research and development tax credits. For the three and six months ended October 30, 2010, the Company recorded a provision (benefit) for income taxes of $0.2 million and ($3.6) million, respectively, yielding an effective tax rate of 41.3% and 52.8%, respectively. The variance from statutory rates for the three and six months ended October 30, 2010 was primarily due to a reduction in the liability for uncertain tax positions of approximately $1.7 million related to the conclusion of the examination of the Company’s fiscal 2003 and 2004 tax returns. The examination concluded in May of 2010, and no change was required to the tax returns filed.</w:t>
      </w:r>
    </w:p>
    <w:p>
      <w:pPr>
        <w:sectPr>
          <w:pgSz w:w="11900" w:h="16923" w:orient="portrait"/>
          <w:cols w:equalWidth="0" w:num="1">
            <w:col w:w="11460"/>
          </w:cols>
          <w:pgMar w:left="240" w:top="140" w:right="19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9. Segment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product segments are as follows:</w:t>
      </w:r>
    </w:p>
    <w:p>
      <w:pPr>
        <w:spacing w:after="0" w:line="225" w:lineRule="exact"/>
        <w:rPr>
          <w:sz w:val="20"/>
          <w:szCs w:val="20"/>
          <w:color w:val="auto"/>
        </w:rPr>
      </w:pPr>
    </w:p>
    <w:p>
      <w:pPr>
        <w:ind w:left="980" w:right="100" w:hanging="648"/>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Unmanned Aircraft Systems (“UAS”) — The UAS segment focuses primarily on the design, development, production and support of innovative UAS that provide situational awareness and other mission effects to increase the security and operational effectiveness of the Company’s customers.</w:t>
      </w:r>
    </w:p>
    <w:p>
      <w:pPr>
        <w:spacing w:after="0" w:line="181" w:lineRule="exact"/>
        <w:rPr>
          <w:rFonts w:ascii="Arial" w:cs="Arial" w:eastAsia="Arial" w:hAnsi="Arial"/>
          <w:sz w:val="18"/>
          <w:szCs w:val="18"/>
          <w:color w:val="auto"/>
        </w:rPr>
      </w:pPr>
    </w:p>
    <w:p>
      <w:pPr>
        <w:ind w:left="980" w:right="400" w:hanging="648"/>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Efficient Energy Systems (“EES”) — The EES segment focuses primarily on the design, development, production and support of innovative efficient electric energy systems that address the growing demand for electric transportation solutions.</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inter-segment sales or corporate elimination transactions, and maintains limited financial statement information by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segment results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r>
      <w:tr>
        <w:trPr>
          <w:trHeight w:val="119"/>
        </w:trPr>
        <w:tc>
          <w:tcPr>
            <w:tcW w:w="3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29,</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October 30,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October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376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UAS</w:t>
            </w:r>
          </w:p>
        </w:tc>
        <w:tc>
          <w:tcPr>
            <w:tcW w:w="1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66,931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53,616</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119,136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87,063</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13,441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10,165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23,233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14,946</w:t>
            </w:r>
          </w:p>
        </w:tc>
        <w:tc>
          <w:tcPr>
            <w:tcW w:w="40" w:type="dxa"/>
            <w:vAlign w:val="bottom"/>
          </w:tcPr>
          <w:p>
            <w:pPr>
              <w:spacing w:after="0"/>
              <w:rPr>
                <w:sz w:val="18"/>
                <w:szCs w:val="18"/>
                <w:color w:val="auto"/>
              </w:rPr>
            </w:pPr>
          </w:p>
        </w:tc>
      </w:tr>
      <w:tr>
        <w:trPr>
          <w:trHeight w:val="210"/>
        </w:trPr>
        <w:tc>
          <w:tcPr>
            <w:tcW w:w="3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80,372</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63,781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142,369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102,009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UAS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27,224</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17,434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47,429</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27,804</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6,007</w:t>
            </w:r>
          </w:p>
        </w:tc>
        <w:tc>
          <w:tcPr>
            <w:tcW w:w="40" w:type="dxa"/>
            <w:vAlign w:val="bottom"/>
          </w:tcPr>
          <w:p>
            <w:pPr>
              <w:spacing w:after="0"/>
              <w:rPr>
                <w:sz w:val="18"/>
                <w:szCs w:val="18"/>
                <w:color w:val="auto"/>
              </w:rPr>
            </w:pPr>
          </w:p>
        </w:tc>
      </w:tr>
      <w:tr>
        <w:trPr>
          <w:trHeight w:val="210"/>
        </w:trPr>
        <w:tc>
          <w:tcPr>
            <w:tcW w:w="3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30,630</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52,345</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8,816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8,689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16,402</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16,661</w:t>
            </w:r>
          </w:p>
        </w:tc>
        <w:tc>
          <w:tcPr>
            <w:tcW w:w="40" w:type="dxa"/>
            <w:vAlign w:val="bottom"/>
          </w:tcPr>
          <w:p>
            <w:pPr>
              <w:spacing w:after="0"/>
              <w:rPr>
                <w:sz w:val="18"/>
                <w:szCs w:val="18"/>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Interest income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r>
      <w:tr>
        <w:trPr>
          <w:trHeight w:val="223"/>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474"/>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II, Item 1A, “Risk Factors.”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long-term investments,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6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have been no material changes made to the critical accounting estimates during the periods presented in the consolidated financial statements from those disclosed in the Form 10-K for the fiscal year ended April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Due to our fixed year end date of April 30, our first and fourth quarters each consist of approximately 13 weeks. The second and third quarters each consist of exactly 13 weeks. Our first three quarters end on a Saturday. Our 2012 fiscal year ends on April 30, 2012 and our fiscal quarters end on July 30, 2011, October 29, 2011 and January 28,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ectPr>
          <w:pgSz w:w="11900" w:h="16838" w:orient="portrait"/>
          <w:cols w:equalWidth="0" w:num="1">
            <w:col w:w="11460"/>
          </w:cols>
          <w:pgMar w:left="240" w:top="337" w:right="199" w:bottom="0" w:gutter="0" w:footer="0" w:header="0"/>
        </w:sectPr>
      </w:pPr>
    </w:p>
    <w:bookmarkStart w:id="9" w:name="page10"/>
    <w:bookmarkEnd w:id="9"/>
    <w:p>
      <w:pPr>
        <w:spacing w:after="0" w:line="1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operating segments are Unmanned Aircraft Systems, or UAS, and Efficient Energy Systems, or EES. The accounting policies for each of these segments are the same. In addition, a significant portion of our research and development, or R&amp;D, selling, general and administrative, or SG&amp;A, and general overhead resources are shared across our segments.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revenue and gross margin generated by each operating segment for the periods indicated (in thousands):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October 29, 2011 Compared to Three Months Ended October 30,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4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October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tcPr>
          <w:p>
            <w:pPr>
              <w:spacing w:after="0"/>
              <w:rPr>
                <w:sz w:val="10"/>
                <w:szCs w:val="10"/>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UAS</w:t>
            </w:r>
          </w:p>
        </w:tc>
        <w:tc>
          <w:tcPr>
            <w:tcW w:w="3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66,931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53,616</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13,441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10,165</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80,372</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63,781</w:t>
            </w:r>
          </w:p>
        </w:tc>
        <w:tc>
          <w:tcPr>
            <w:tcW w:w="100" w:type="dxa"/>
            <w:vAlign w:val="bottom"/>
            <w:tcBorders>
              <w:bottom w:val="single" w:sz="8" w:color="CCEEFF"/>
            </w:tcBorders>
          </w:tcPr>
          <w:p>
            <w:pPr>
              <w:spacing w:after="0"/>
              <w:rPr>
                <w:sz w:val="18"/>
                <w:szCs w:val="18"/>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UAS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27,224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17,434</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4,341</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30,630</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21,775</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12,685</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8,816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8,689</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income</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three months ended October 29, 2011 was $80.4 million, as compared to $63.8 million for the three months ended October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2010, representing an increase of $16.6 million, or 26%. UAS revenue increased by $13.3 million to $66.9 million for the three months ended October 29, 2011, primarily due to an increase in UAS product deliveries of $12.2 million and service revenue of $6.8 million, partially offset by a decrease in customer-funded R&amp;D work of $5.6 million. The increase in UAS product deliveries and service revenue was primarily due to increased deliveries of digital Puma® All Environment unmanned aircraft systems, or Puma AE systems, and support services relating to our small unmanned aircraft systems. The decrease in customer-funded R&amp;D work was primarily due to the pending completion of the Global Observer contract. EES revenue increased by $3.3 million, or 32%, to $13.4 million for the three months ended October 29, 2011. The increase in EES revenue was primarily due to increased deliveries of electric vehicle charging docks and electric vehicle test systems.</w:t>
      </w:r>
    </w:p>
    <w:p>
      <w:pPr>
        <w:spacing w:after="0" w:line="17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for the three months ended October 29, 2011 was $49.7 million, as compared to $42.0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October 30, 2010, representing an increase of $7.7 million, or 18%. The increase in cost of sales was caused primarily by increases in UAS cost of sales of $3.5 million and EES cost of sales of $4.2 million due to increased revenue and higher costs on development programs.</w:t>
      </w:r>
    </w:p>
    <w:p>
      <w:pPr>
        <w:spacing w:after="0" w:line="16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October 29, 2011 was $30.6 million, as compared to $21.8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October 30, 2010, representing an increase of $8.8 million, or 41%. UAS gross margin increased $9.8 million, or 56%, to $27.2 million for the three months ended October 29, 2011. As a percentage of revenue, gross margin for UAS increased from 33% to 41%, primarily due to a higher mix of fixed-price contracts compared to cost-plus contracts. EES gross margin decreased $0.9 million, or 22%, to $3.4 million for the three months ended October 29,</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2011. As a percentage of revenue, EES gross margin decreased from 43% to 25%, primarily due to higher program costs on development contracts, higher sales mix of new products in low-rate production and higher manufacturing and engineering support overhead costs.</w:t>
      </w:r>
    </w:p>
    <w:p>
      <w:pPr>
        <w:spacing w:after="0" w:line="18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three months ended October 29, 2011 was $12.2 million, or 15% of revenue,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of $12.7 million, or 20% of revenue, for the three months ended October 30, 2010.</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October 29, 2011 was $8.8 million, or 11% of revenue, compared to R&amp;D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$8.7 million, or 14% of revenue, for the three months ended October 30,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for the three months ended October 29, 2011 and October 30, 2010 remained unchanged at $0.1 million.</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income tax rate was 32.0% for the three months ended October 29, 2011, as compared to 41.3%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October 30, 2010. The decrease was primarily due to lower R&amp;D tax credits.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Six Months Ended October 29, 2011 Compared to Six Months Ended October 30,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ind w:left="7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66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October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tcPr>
          <w:p>
            <w:pPr>
              <w:spacing w:after="0"/>
              <w:rPr>
                <w:sz w:val="10"/>
                <w:szCs w:val="10"/>
                <w:color w:val="auto"/>
              </w:rPr>
            </w:pPr>
          </w:p>
        </w:tc>
      </w:tr>
      <w:tr>
        <w:trPr>
          <w:trHeight w:val="171"/>
        </w:trPr>
        <w:tc>
          <w:tcPr>
            <w:tcW w:w="4660" w:type="dxa"/>
            <w:vAlign w:val="bottom"/>
            <w:tcBorders>
              <w:bottom w:val="single" w:sz="8" w:color="CCEEFF"/>
            </w:tcBorders>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4660" w:type="dxa"/>
            <w:vAlign w:val="bottom"/>
            <w:shd w:val="clear" w:color="auto" w:fill="CCEEFF"/>
          </w:tcPr>
          <w:p>
            <w:pPr>
              <w:jc w:val="center"/>
              <w:ind w:right="3890"/>
              <w:spacing w:after="0" w:line="196" w:lineRule="exact"/>
              <w:rPr>
                <w:sz w:val="20"/>
                <w:szCs w:val="20"/>
                <w:color w:val="auto"/>
              </w:rPr>
            </w:pPr>
            <w:r>
              <w:rPr>
                <w:rFonts w:ascii="Arial" w:cs="Arial" w:eastAsia="Arial" w:hAnsi="Arial"/>
                <w:sz w:val="18"/>
                <w:szCs w:val="18"/>
                <w:color w:val="auto"/>
                <w:w w:val="88"/>
              </w:rPr>
              <w:t>Revenue:</w:t>
            </w:r>
          </w:p>
        </w:tc>
        <w:tc>
          <w:tcPr>
            <w:tcW w:w="3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60" w:type="dxa"/>
            <w:vAlign w:val="bottom"/>
          </w:tcPr>
          <w:p>
            <w:pPr>
              <w:jc w:val="center"/>
              <w:ind w:right="3850"/>
              <w:spacing w:after="0"/>
              <w:rPr>
                <w:sz w:val="20"/>
                <w:szCs w:val="20"/>
                <w:color w:val="auto"/>
              </w:rPr>
            </w:pPr>
            <w:r>
              <w:rPr>
                <w:rFonts w:ascii="Arial" w:cs="Arial" w:eastAsia="Arial" w:hAnsi="Arial"/>
                <w:sz w:val="18"/>
                <w:szCs w:val="18"/>
                <w:color w:val="auto"/>
                <w:w w:val="97"/>
              </w:rPr>
              <w:t>UAS</w:t>
            </w:r>
          </w:p>
        </w:tc>
        <w:tc>
          <w:tcPr>
            <w:tcW w:w="3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119,136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87,063</w:t>
            </w:r>
          </w:p>
        </w:tc>
      </w:tr>
      <w:tr>
        <w:trPr>
          <w:trHeight w:val="216"/>
        </w:trPr>
        <w:tc>
          <w:tcPr>
            <w:tcW w:w="4660" w:type="dxa"/>
            <w:vAlign w:val="bottom"/>
            <w:shd w:val="clear" w:color="auto" w:fill="CCEEFF"/>
          </w:tcPr>
          <w:p>
            <w:pPr>
              <w:jc w:val="center"/>
              <w:ind w:right="3890"/>
              <w:spacing w:after="0"/>
              <w:rPr>
                <w:sz w:val="20"/>
                <w:szCs w:val="20"/>
                <w:color w:val="auto"/>
              </w:rPr>
            </w:pPr>
            <w:r>
              <w:rPr>
                <w:rFonts w:ascii="Arial" w:cs="Arial" w:eastAsia="Arial" w:hAnsi="Arial"/>
                <w:sz w:val="18"/>
                <w:szCs w:val="18"/>
                <w:color w:val="auto"/>
                <w:w w:val="88"/>
              </w:rPr>
              <w:t>EES</w:t>
            </w:r>
          </w:p>
        </w:tc>
        <w:tc>
          <w:tcPr>
            <w:tcW w:w="3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23,233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14,946</w:t>
            </w:r>
          </w:p>
        </w:tc>
      </w:tr>
      <w:tr>
        <w:trPr>
          <w:trHeight w:val="210"/>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36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142,369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102,009</w:t>
            </w:r>
          </w:p>
        </w:tc>
        <w:tc>
          <w:tcPr>
            <w:tcW w:w="100" w:type="dxa"/>
            <w:vAlign w:val="bottom"/>
            <w:tcBorders>
              <w:bottom w:val="single" w:sz="8" w:color="CCEEFF"/>
            </w:tcBorders>
          </w:tcPr>
          <w:p>
            <w:pPr>
              <w:spacing w:after="0"/>
              <w:rPr>
                <w:sz w:val="18"/>
                <w:szCs w:val="18"/>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3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ectPr>
          <w:pgSz w:w="11900" w:h="16857" w:orient="portrait"/>
          <w:cols w:equalWidth="0" w:num="1">
            <w:col w:w="11420"/>
          </w:cols>
          <w:pgMar w:left="240" w:top="341"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UAS</w:t>
            </w:r>
          </w:p>
        </w:tc>
        <w:tc>
          <w:tcPr>
            <w:tcW w:w="2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47,429</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27,804</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6,007</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52,345</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33,811</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24,056</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16,402</w:t>
            </w:r>
          </w:p>
        </w:tc>
        <w:tc>
          <w:tcPr>
            <w:tcW w:w="4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16,661</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9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income</w:t>
            </w:r>
          </w:p>
        </w:tc>
        <w:tc>
          <w:tcPr>
            <w:tcW w:w="2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4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9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six months ended October 29, 2011 was $142.4 million, as compared to $102.0 million for the six months ended October 30,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representing an increase of $40.4 million, or 40%. UAS revenue increased $32.1 million, or 37%, to $119.1 million for the six months ended October 29, 2011, primarily due to increased UAS product deliveries of $25.0 million and service revenue of $19.1 million, partially offset by lower customer-funded R&amp;D work of $12.0 million. The increase in UAS product deliveries and service revenue was primarily due to increased deliveries of Puma AE systems and support services relating to our small unmanned aircraft systems. The decrease in UAS customer-funded R&amp;D revenue was primarily due to the pending completion of the Global Observer contract. EES revenue increased by $8.3 million, or 55%, to $23.2 million for the six months ended October 29, 2011. The increase in EES revenue was primarily due to increased deliveries of electric vehicle charging docks and electric vehicle test systems.</w:t>
      </w:r>
    </w:p>
    <w:p>
      <w:pPr>
        <w:spacing w:after="0" w:line="16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Cost of sales for the six months ended October 29, 2011 was $90.0 million, as compared to $68.2 million for the six months ended October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representing an increase of $21.8 million, or 32%. The increase in cost of sales was caused by higher UAS cost of sales of $12.4 million and EES cost of sales of $9.4 million due to increased revenue and higher costs on development programs.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Margin. </w:t>
      </w:r>
      <w:r>
        <w:rPr>
          <w:rFonts w:ascii="Arial" w:cs="Arial" w:eastAsia="Arial" w:hAnsi="Arial"/>
          <w:sz w:val="17"/>
          <w:szCs w:val="17"/>
          <w:color w:val="auto"/>
        </w:rPr>
        <w:t>Gross margin for the six months ended October 29, 2011 was $52.3 million, as compared to $33.8 million for the six months ended</w:t>
      </w:r>
    </w:p>
    <w:p>
      <w:pPr>
        <w:spacing w:after="0" w:line="3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October 30, 2010, representing an increase of $18.5 million, or 55%. UAS gross margin increased $19.6 million, or 71%, to $47.4 million for the six months ended October 29, 2011. As a percentage of revenue, gross margin for UAS increased from 32% to 40%. EES gross margin decreased $1.1 million, or 18%, to $4.9 million for the six months ended October 29, 2011. As a percentage of revenue, EES gross margin decreased from 40% to 21%, due to higher program costs on development contracts and transition costs related to low-rate production of several new electric vehicle charging systems.</w:t>
      </w:r>
    </w:p>
    <w:p>
      <w:pPr>
        <w:spacing w:after="0" w:line="15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six months ended October 29, 2011 was $25.9 million, or 18% of revenue, compared to SG&amp;A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$24.1 million, or 24% of revenue, for the six months ended October 30, 2010. SG&amp;A expense increased $1.9 million primarily due to higher marketing and business development costs and higher administrative infrastructure costs.</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six months ended October 29, 2011 was $16.4 million, or 12% of revenue, compared to R&amp;D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$16.7 million, or 16% of revenue, for the six months ended October 30,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for the six months ended October 29, 2011 and October 30, 2010 was $0.2 million.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income tax rate was 32.1% for the six months ended October 29, 2011, as compared to 52.8%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30, 2010. The decrease was primarily due to lower R&amp;D tax credits.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Backlog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define funded backlog as unfilled firm orders for products and services for which funding currently is appropriated to us under the contract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customer. As of October 29, 2011 and April 30, 2011, our funded backlog was approximately $116.4 million and $82.9 million, respectively.</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to our funded backlog, we also had unfunded backlog of $126.3 million and $230.8 million as of October 29, 2011 and April 30, 2011, respectively.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w:t>
      </w:r>
    </w:p>
    <w:p>
      <w:pPr>
        <w:spacing w:after="0" w:line="1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funded, may be terminated at the convenience of the U.S. government.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In addition, we do not currently anticipate significant investment in property, plant and equipment, and we believe that our existing cash, cash equivalents, cash provided by operating activities and other financing 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The global credit situation has imposed high levels of volatility and disruption in the capital markets, severely diminished liquidity and credit availability, and increased counterparty risk. Nevertheless, we anticipate that existing sources of liquidity and cash flows from operations will be sufficient to satisfy our cash needs for the foreseeable future.</w:t>
      </w:r>
    </w:p>
    <w:p>
      <w:pPr>
        <w:spacing w:after="0" w:line="16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and enhancing existing products and services, and promoting market acceptance and adoption of our products and services. Our future capital requirements, to a certain extent, are also subject to general conditions in or affecting the defense and electric vehicle industries and are subject to general economic, political, financial, competitive, legislative and regulatory factors that are beyond our control. Moreover, to the extent that existing cash, cash</w:t>
      </w:r>
    </w:p>
    <w:p>
      <w:pPr>
        <w:sectPr>
          <w:pgSz w:w="11900" w:h="16838" w:orient="portrait"/>
          <w:cols w:equalWidth="0" w:num="1">
            <w:col w:w="11420"/>
          </w:cols>
          <w:pgMar w:left="240" w:top="125" w:right="239" w:bottom="0" w:gutter="0" w:footer="0" w:header="0"/>
        </w:sectPr>
      </w:pPr>
    </w:p>
    <w:bookmarkStart w:id="11" w:name="page12"/>
    <w:bookmarkEnd w:id="11"/>
    <w:p>
      <w:pPr>
        <w:ind w:right="20"/>
        <w:spacing w:after="0" w:line="257" w:lineRule="auto"/>
        <w:rPr>
          <w:sz w:val="20"/>
          <w:szCs w:val="20"/>
          <w:color w:val="auto"/>
        </w:rPr>
      </w:pPr>
      <w:r>
        <w:rPr>
          <w:rFonts w:ascii="Arial" w:cs="Arial" w:eastAsia="Arial" w:hAnsi="Arial"/>
          <w:sz w:val="18"/>
          <w:szCs w:val="18"/>
          <w:color w:val="auto"/>
        </w:rPr>
        <w:t>equivalents, cash from operations, and cash from short-term borrowing are insufficient to fund our future activities, we may need to raise additional funds through public or private equity or debt financing. To the extent we require additional funding, we cannot be certain that such funding will be available to us on acceptable terms, or at all. Although we are currently not a party to any agreement or letter of intent with respect to potential investment in, or acquisitions of, businesses, services or technologies, we may enter into these types of arrangements in the future, which could also require us to seek additional equity or debt financing.</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Recent global market and economic conditions have been unprecedented and challenging with tighter credit conditions and recession in most major economies. As a result of these market conditions, the cost and availability of credit has been and may continue to be adversely affected by illiquid credit markets and wider credit spreads. Concern about the stability of the markets generally and the strength of counterparties specifically has led many lenders and institutional investors to reduce, and in some cases, cease to provide credit to businesses and consumers. These factors have led to a decrease in spending by businesses and consumers alike, and a corresponding decrease in global infrastructure spending. Continued turbulence in the U.S. and international markets and economies and prolonged declines in business and consumer spending may adversely affect our liquidity and financial condition, and the liquidity and financial condition of our customers, including our ability to access the capital markets to meet liquidity needs. In addition, we maintain significant amounts of cash and cash equivalents at one or more financial institutions that are in excess of federally insured limits. Given the current instability of financial institutions, we cannot be assured that we will not experience losses on these deposits.</w:t>
      </w:r>
    </w:p>
    <w:p>
      <w:pPr>
        <w:spacing w:after="0" w:line="18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cash flow data for the six months ended October 29, 2011 and October 30, 2010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9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401"/>
              <w:spacing w:after="0" w:line="119" w:lineRule="exact"/>
              <w:rPr>
                <w:sz w:val="20"/>
                <w:szCs w:val="20"/>
                <w:color w:val="auto"/>
              </w:rPr>
            </w:pPr>
            <w:r>
              <w:rPr>
                <w:rFonts w:ascii="Arial" w:cs="Arial" w:eastAsia="Arial" w:hAnsi="Arial"/>
                <w:sz w:val="13"/>
                <w:szCs w:val="13"/>
                <w:b w:val="1"/>
                <w:bCs w:val="1"/>
                <w:color w:val="auto"/>
              </w:rPr>
              <w:t>October 29,</w:t>
            </w:r>
          </w:p>
        </w:tc>
        <w:tc>
          <w:tcPr>
            <w:tcW w:w="4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tcPr>
          <w:p>
            <w:pPr>
              <w:spacing w:after="0"/>
              <w:rPr>
                <w:sz w:val="10"/>
                <w:szCs w:val="10"/>
                <w:color w:val="auto"/>
              </w:rPr>
            </w:pPr>
          </w:p>
        </w:tc>
      </w:tr>
      <w:tr>
        <w:trPr>
          <w:trHeight w:val="171"/>
        </w:trPr>
        <w:tc>
          <w:tcPr>
            <w:tcW w:w="59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9,771</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1"/>
              <w:spacing w:after="0"/>
              <w:rPr>
                <w:sz w:val="20"/>
                <w:szCs w:val="20"/>
                <w:color w:val="auto"/>
              </w:rPr>
            </w:pPr>
            <w:r>
              <w:rPr>
                <w:rFonts w:ascii="Arial" w:cs="Arial" w:eastAsia="Arial" w:hAnsi="Arial"/>
                <w:sz w:val="18"/>
                <w:szCs w:val="18"/>
                <w:color w:val="auto"/>
              </w:rPr>
              <w:t>26,364</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51,834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413</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Cash Provided by Operating Activities. </w:t>
      </w:r>
      <w:r>
        <w:rPr>
          <w:rFonts w:ascii="Arial" w:cs="Arial" w:eastAsia="Arial" w:hAnsi="Arial"/>
          <w:sz w:val="18"/>
          <w:szCs w:val="18"/>
          <w:color w:val="auto"/>
        </w:rPr>
        <w:t>Net cash provided by operating activities for the six months ended October 29, 2011 increased by $13.8 million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$9.8 million, compared to net cash used in operating activities of $4.0 million for the six months ended October 30, 2010. This increase in net cash provided by operating activities was primarily due to higher income of $10.1 million and lower working capital needs of $4.4 million, partially offset by lower depreciation of $1.4 million.</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Cash Provided by Investing Activities. </w:t>
      </w:r>
      <w:r>
        <w:rPr>
          <w:rFonts w:ascii="Arial" w:cs="Arial" w:eastAsia="Arial" w:hAnsi="Arial"/>
          <w:sz w:val="18"/>
          <w:szCs w:val="18"/>
          <w:color w:val="auto"/>
        </w:rPr>
        <w:t>Net cash provided by investing activities decreased by $25.4 million to $26.4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29, 2011, compared to net cash provided by investing activities of $51.8 million for the six months ended October 30, 2010. The decrease in net cash provided by investing activities was primarily due to lower net sales of investments of $23.5 million and higher acquisitions of property and equipment of $1.9 million.</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 xml:space="preserve">Cash Provided by Financing Activities. </w:t>
      </w:r>
      <w:r>
        <w:rPr>
          <w:rFonts w:ascii="Arial" w:cs="Arial" w:eastAsia="Arial" w:hAnsi="Arial"/>
          <w:sz w:val="18"/>
          <w:szCs w:val="18"/>
          <w:color w:val="auto"/>
        </w:rPr>
        <w:t>Net cash provided by financing activities increased by $0.2 million to $0.4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29, 2011, compared to $0.2 million for the six months ended October 30, 2010. During the six months ended October 29, 2011, we received net proceeds from stock option exercises of $0.3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second quarter, there were no material changes in our off-balance sheet arrangements or contractual obligations and commercial commitments from those disclosed in the Form 10-K for the fiscal year ended April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refer to Note 1 “Organization and Significant Accounting Policies” to our unaudited consolidated financial statements in Part I, Item 1 of this quarterly report for a discussion of new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2" w:name="page13"/>
    <w:bookmarkEnd w:id="12"/>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w:t>
      </w:r>
    </w:p>
    <w:p>
      <w:pPr>
        <w:spacing w:after="0" w:line="12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the end of the period covered by this report, our disclosure controls and procedures were effective and were operating at a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changes in our internal control over financial reporting or in other factors identified in connection with the evaluation required by paragraph</w:t>
      </w:r>
    </w:p>
    <w:p>
      <w:pPr>
        <w:spacing w:after="0" w:line="46" w:lineRule="exact"/>
        <w:rPr>
          <w:sz w:val="20"/>
          <w:szCs w:val="20"/>
          <w:color w:val="auto"/>
        </w:rPr>
      </w:pPr>
    </w:p>
    <w:p>
      <w:pPr>
        <w:ind w:right="22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Exchange Act Rules 13a-15 or 15d-15 that occurred during the quarter ended October 29, 2011, that have materially affected, or are reasonably likely to materially affect, our internal control over financial reporting.</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are not currently a party to any material legal proceedings. We are, however, subject to lawsuits from time to time in the ordinary course of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There have been no material changes to the risk factors disclosed under Part I, Item 1A, “Risk Factors,” in our Annual Report on Form 10-K for the fiscal year ended April 30, 2011. Please refer to that section for disclosures regarding the risks and uncertainties related to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860" w:type="dxa"/>
            <w:vAlign w:val="bottom"/>
          </w:tcPr>
          <w:p>
            <w:pPr>
              <w:jc w:val="right"/>
              <w:ind w:right="5579"/>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78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6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600" w:type="dxa"/>
            <w:vAlign w:val="bottom"/>
            <w:gridSpan w:val="2"/>
          </w:tcPr>
          <w:p>
            <w:pPr>
              <w:jc w:val="center"/>
              <w:ind w:right="2180"/>
              <w:spacing w:after="0"/>
              <w:rPr>
                <w:sz w:val="20"/>
                <w:szCs w:val="20"/>
                <w:color w:val="auto"/>
              </w:rPr>
            </w:pPr>
            <w:r>
              <w:rPr>
                <w:rFonts w:ascii="Arial" w:cs="Arial" w:eastAsia="Arial" w:hAnsi="Arial"/>
                <w:sz w:val="14"/>
                <w:szCs w:val="14"/>
                <w:b w:val="1"/>
                <w:bCs w:val="1"/>
                <w:color w:val="auto"/>
                <w:w w:val="98"/>
              </w:rPr>
              <w:t>Exhibit</w:t>
            </w:r>
          </w:p>
        </w:tc>
        <w:tc>
          <w:tcPr>
            <w:tcW w:w="7860" w:type="dxa"/>
            <w:vAlign w:val="bottom"/>
            <w:vMerge w:val="restart"/>
          </w:tcPr>
          <w:p>
            <w:pPr>
              <w:jc w:val="right"/>
              <w:ind w:right="4479"/>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3600" w:type="dxa"/>
            <w:vAlign w:val="bottom"/>
            <w:gridSpan w:val="2"/>
          </w:tcPr>
          <w:p>
            <w:pPr>
              <w:jc w:val="center"/>
              <w:ind w:right="2160"/>
              <w:spacing w:after="0"/>
              <w:rPr>
                <w:sz w:val="20"/>
                <w:szCs w:val="20"/>
                <w:color w:val="auto"/>
              </w:rPr>
            </w:pPr>
            <w:r>
              <w:rPr>
                <w:rFonts w:ascii="Arial" w:cs="Arial" w:eastAsia="Arial" w:hAnsi="Arial"/>
                <w:sz w:val="14"/>
                <w:szCs w:val="14"/>
                <w:b w:val="1"/>
                <w:bCs w:val="1"/>
                <w:color w:val="auto"/>
                <w:w w:val="98"/>
              </w:rPr>
              <w:t>Number</w:t>
            </w:r>
          </w:p>
        </w:tc>
        <w:tc>
          <w:tcPr>
            <w:tcW w:w="7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-987425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-987425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68" w:right="199" w:bottom="0" w:gutter="0" w:footer="0" w:header="0"/>
        </w:sectPr>
      </w:pPr>
    </w:p>
    <w:tbl>
      <w:tblPr>
        <w:tblLayout w:type="fixed"/>
        <w:tblInd w:w="0" w:type="dxa"/>
        <w:tblCellMar>
          <w:top w:w="0" w:type="dxa"/>
          <w:left w:w="0" w:type="dxa"/>
          <w:bottom w:w="0" w:type="dxa"/>
          <w:right w:w="0" w:type="dxa"/>
        </w:tblCellMar>
      </w:tblPr>
      <w:tr>
        <w:trPr>
          <w:trHeight w:val="210"/>
        </w:trPr>
        <w:tc>
          <w:tcPr>
            <w:tcW w:w="14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10.1 (1)</w:t>
            </w:r>
          </w:p>
        </w:tc>
        <w:tc>
          <w:tcPr>
            <w:tcW w:w="240" w:type="dxa"/>
            <w:vAlign w:val="bottom"/>
            <w:tcBorders>
              <w:top w:val="single" w:sz="8" w:color="CCEEFF"/>
            </w:tcBorders>
            <w:shd w:val="clear" w:color="auto" w:fill="CCEEFF"/>
          </w:tcPr>
          <w:p>
            <w:pPr>
              <w:spacing w:after="0"/>
              <w:rPr>
                <w:sz w:val="18"/>
                <w:szCs w:val="18"/>
                <w:color w:val="auto"/>
              </w:rPr>
            </w:pPr>
          </w:p>
        </w:tc>
        <w:tc>
          <w:tcPr>
            <w:tcW w:w="9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 Amendment and Restatement of AeroVironment’s 2006 Equity Incentive Plan</w:t>
            </w:r>
          </w:p>
        </w:tc>
      </w:tr>
      <w:tr>
        <w:trPr>
          <w:trHeight w:val="202"/>
        </w:trPr>
        <w:tc>
          <w:tcPr>
            <w:tcW w:w="1420" w:type="dxa"/>
            <w:vAlign w:val="bottom"/>
          </w:tcPr>
          <w:p>
            <w:pPr>
              <w:jc w:val="right"/>
              <w:ind w:right="450"/>
              <w:spacing w:after="0" w:line="201"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7"/>
                <w:szCs w:val="17"/>
                <w:color w:val="auto"/>
              </w:rPr>
            </w:pPr>
          </w:p>
        </w:tc>
        <w:tc>
          <w:tcPr>
            <w:tcW w:w="9760" w:type="dxa"/>
            <w:vAlign w:val="bottom"/>
          </w:tcPr>
          <w:p>
            <w:pPr>
              <w:spacing w:after="0" w:line="201" w:lineRule="exact"/>
              <w:rPr>
                <w:sz w:val="20"/>
                <w:szCs w:val="20"/>
                <w:color w:val="auto"/>
              </w:rPr>
            </w:pPr>
            <w:r>
              <w:rPr>
                <w:rFonts w:ascii="Arial" w:cs="Arial" w:eastAsia="Arial" w:hAnsi="Arial"/>
                <w:sz w:val="18"/>
                <w:szCs w:val="18"/>
                <w:color w:val="auto"/>
                <w:w w:val="94"/>
              </w:rPr>
              <w:t>Certification of Chief Executive Officer pursuant to Rule 13a-14(a) and Rule 15d-14(a) of the Securities Exchange Act of 1934, as</w:t>
            </w:r>
          </w:p>
        </w:tc>
      </w:tr>
      <w:tr>
        <w:trPr>
          <w:trHeight w:val="230"/>
        </w:trPr>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amended.</w:t>
            </w:r>
          </w:p>
        </w:tc>
      </w:tr>
      <w:tr>
        <w:trPr>
          <w:trHeight w:val="97"/>
        </w:trPr>
        <w:tc>
          <w:tcPr>
            <w:tcW w:w="14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760" w:type="dxa"/>
            <w:vAlign w:val="bottom"/>
            <w:shd w:val="clear" w:color="auto" w:fill="CCEEFF"/>
          </w:tcPr>
          <w:p>
            <w:pPr>
              <w:spacing w:after="0"/>
              <w:rPr>
                <w:sz w:val="8"/>
                <w:szCs w:val="8"/>
                <w:color w:val="auto"/>
              </w:rPr>
            </w:pPr>
          </w:p>
        </w:tc>
      </w:tr>
    </w:tbl>
    <w:p>
      <w:pPr>
        <w:sectPr>
          <w:pgSz w:w="11900" w:h="16900" w:orient="portrait"/>
          <w:cols w:equalWidth="0" w:num="1">
            <w:col w:w="11460"/>
          </w:cols>
          <w:pgMar w:left="240" w:top="368" w:right="199" w:bottom="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31.2</w:t>
            </w:r>
          </w:p>
        </w:tc>
        <w:tc>
          <w:tcPr>
            <w:tcW w:w="10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Certification of Chief Financial Officer pursuant to Rule 13a-14(a) and Rule 15d-14(a) of the Securities Exchange Act of 1934, as</w:t>
            </w:r>
          </w:p>
        </w:tc>
      </w:tr>
      <w:tr>
        <w:trPr>
          <w:trHeight w:val="230"/>
        </w:trPr>
        <w:tc>
          <w:tcPr>
            <w:tcW w:w="1280" w:type="dxa"/>
            <w:vAlign w:val="bottom"/>
            <w:shd w:val="clear" w:color="auto" w:fill="CCEEFF"/>
          </w:tcPr>
          <w:p>
            <w:pPr>
              <w:spacing w:after="0"/>
              <w:rPr>
                <w:sz w:val="20"/>
                <w:szCs w:val="20"/>
                <w:color w:val="auto"/>
              </w:rPr>
            </w:pPr>
          </w:p>
        </w:tc>
        <w:tc>
          <w:tcPr>
            <w:tcW w:w="10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amended.</w:t>
            </w:r>
          </w:p>
        </w:tc>
      </w:tr>
    </w:tbl>
    <w:p>
      <w:pPr>
        <w:ind w:left="1660" w:right="540" w:hanging="1033"/>
        <w:spacing w:after="0" w:line="261" w:lineRule="auto"/>
        <w:tabs>
          <w:tab w:leader="none" w:pos="1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tbl>
      <w:tblPr>
        <w:tblLayout w:type="fixed"/>
        <w:tblInd w:w="0" w:type="dxa"/>
        <w:tblCellMar>
          <w:top w:w="0" w:type="dxa"/>
          <w:left w:w="0" w:type="dxa"/>
          <w:bottom w:w="0" w:type="dxa"/>
          <w:right w:w="0" w:type="dxa"/>
        </w:tblCellMar>
      </w:tblPr>
      <w:tr>
        <w:trPr>
          <w:trHeight w:val="198"/>
        </w:trPr>
        <w:tc>
          <w:tcPr>
            <w:tcW w:w="138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7"/>
              </w:rPr>
              <w:t>101.INS*</w:t>
            </w:r>
          </w:p>
        </w:tc>
        <w:tc>
          <w:tcPr>
            <w:tcW w:w="10040" w:type="dxa"/>
            <w:vAlign w:val="bottom"/>
            <w:shd w:val="clear" w:color="auto" w:fill="CCEEFF"/>
          </w:tcPr>
          <w:p>
            <w:pPr>
              <w:ind w:left="280"/>
              <w:spacing w:after="0" w:line="198" w:lineRule="exact"/>
              <w:rPr>
                <w:sz w:val="20"/>
                <w:szCs w:val="20"/>
                <w:color w:val="auto"/>
              </w:rPr>
            </w:pPr>
            <w:r>
              <w:rPr>
                <w:rFonts w:ascii="Arial" w:cs="Arial" w:eastAsia="Arial" w:hAnsi="Arial"/>
                <w:sz w:val="18"/>
                <w:szCs w:val="18"/>
                <w:color w:val="auto"/>
              </w:rPr>
              <w:t>XBRL Instance Document.</w:t>
            </w: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1004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101.CAL*</w:t>
            </w:r>
          </w:p>
        </w:tc>
        <w:tc>
          <w:tcPr>
            <w:tcW w:w="10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1004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101.LAB*</w:t>
            </w:r>
          </w:p>
        </w:tc>
        <w:tc>
          <w:tcPr>
            <w:tcW w:w="10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Label Linkbase Document.</w:t>
            </w:r>
          </w:p>
        </w:tc>
      </w:tr>
      <w:tr>
        <w:trPr>
          <w:trHeight w:val="230"/>
        </w:trPr>
        <w:tc>
          <w:tcPr>
            <w:tcW w:w="138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10040" w:type="dxa"/>
            <w:vAlign w:val="bottom"/>
          </w:tcPr>
          <w:p>
            <w:pPr>
              <w:ind w:left="28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 Incorporated by reference herein to Exhibit 10 to the Company’s current report on Form 8-K filed on October 5, 2011 (file no. 001-33261).</w:t>
      </w:r>
    </w:p>
    <w:p>
      <w:pPr>
        <w:spacing w:after="0" w:line="225" w:lineRule="exact"/>
        <w:rPr>
          <w:sz w:val="20"/>
          <w:szCs w:val="20"/>
          <w:color w:val="auto"/>
        </w:rPr>
      </w:pPr>
    </w:p>
    <w:p>
      <w:pPr>
        <w:ind w:left="180" w:right="200" w:hanging="172"/>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 11 or 12 of the Securities Act of 1933, as amended, are deemed not filed for purposes of Section 18 of the Securities Exchange Act of 1934, as amended, and otherwise are not subject to liability under these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220" w:val="left"/>
        </w:tabs>
        <w:rPr>
          <w:sz w:val="20"/>
          <w:szCs w:val="20"/>
          <w:color w:val="auto"/>
        </w:rPr>
      </w:pPr>
      <w:r>
        <w:rPr>
          <w:rFonts w:ascii="Arial" w:cs="Arial" w:eastAsia="Arial" w:hAnsi="Arial"/>
          <w:sz w:val="18"/>
          <w:szCs w:val="18"/>
          <w:color w:val="auto"/>
        </w:rPr>
        <w:t>Date: December 6, 2011</w:t>
      </w:r>
      <w:r>
        <w:rPr>
          <w:sz w:val="20"/>
          <w:szCs w:val="20"/>
          <w:color w:val="auto"/>
        </w:rPr>
        <w:tab/>
      </w:r>
      <w:r>
        <w:rPr>
          <w:rFonts w:ascii="Arial" w:cs="Arial" w:eastAsia="Arial" w:hAnsi="Arial"/>
          <w:sz w:val="17"/>
          <w:szCs w:val="17"/>
          <w:color w:val="auto"/>
        </w:rPr>
        <w:t>AEROVIRONMENT, INC.</w:t>
      </w:r>
    </w:p>
    <w:p>
      <w:pPr>
        <w:spacing w:after="0" w:line="225"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18"/>
          <w:szCs w:val="18"/>
          <w:color w:val="auto"/>
        </w:rPr>
        <w:t>By:</w:t>
        <w:tab/>
        <w:t>/s/ Timothy E. Conver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Chairman, Chief Executive Officer and President</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Timothy E. Conver, certify that:</w:t>
      </w:r>
    </w:p>
    <w:p>
      <w:pPr>
        <w:spacing w:after="0" w:line="225" w:lineRule="exact"/>
        <w:rPr>
          <w:sz w:val="20"/>
          <w:szCs w:val="20"/>
          <w:color w:val="auto"/>
        </w:rPr>
      </w:pPr>
    </w:p>
    <w:p>
      <w:pPr>
        <w:ind w:left="340" w:hanging="329"/>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ind w:left="340" w:right="120" w:hanging="329"/>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29"/>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29"/>
        <w:spacing w:after="0" w:line="264" w:lineRule="auto"/>
        <w:tabs>
          <w:tab w:leader="none" w:pos="35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80" w:hanging="329"/>
        <w:spacing w:after="0" w:line="308" w:lineRule="auto"/>
        <w:tabs>
          <w:tab w:leader="none" w:pos="35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Timothy E. Conver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Jikun Kim, certify that:</w:t>
      </w:r>
    </w:p>
    <w:p>
      <w:pPr>
        <w:spacing w:after="0" w:line="225" w:lineRule="exact"/>
        <w:rPr>
          <w:sz w:val="20"/>
          <w:szCs w:val="20"/>
          <w:color w:val="auto"/>
        </w:rPr>
      </w:pPr>
    </w:p>
    <w:p>
      <w:pPr>
        <w:ind w:left="340" w:hanging="329"/>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ind w:left="340" w:right="120" w:hanging="329"/>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29"/>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29"/>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29"/>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29"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81"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The Quarterly Report on Form 10-Q for the quarter ended October 29, 2011 (the “Periodic Report”) of the Company fully complies with the requirements of Section 13(a) of the Securities Exchange Act of 1934 (15 U.S.C. 78m or 78o(d)) and information contained in the Periodic Report fairly presents, in all material respects, the financial condition and results of operations of the Company.</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Timothy E. Conver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Chief Executive Officer and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2011</w:t>
      </w:r>
    </w:p>
    <w:p>
      <w:pPr>
        <w:spacing w:after="0" w:line="225"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decimal"/>
      <w:start w:val="3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2019-12-11T03:29:43Z</dcterms:created>
  <dcterms:modified xsi:type="dcterms:W3CDTF">2019-12-11T03:29:43Z</dcterms:modified>
</cp:coreProperties>
</file>