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180975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July 27, 2024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8"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58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161925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AEROVIRONMENT,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8" w:lineRule="exact"/>
        <w:rPr>
          <w:sz w:val="24"/>
          <w:szCs w:val="24"/>
          <w:color w:val="auto"/>
        </w:rPr>
      </w:pPr>
    </w:p>
    <w:tbl>
      <w:tblPr>
        <w:tblLayout w:type="fixed"/>
        <w:tblInd w:w="720" w:type="dxa"/>
        <w:tblCellMar>
          <w:top w:w="0" w:type="dxa"/>
          <w:left w:w="0" w:type="dxa"/>
          <w:bottom w:w="0" w:type="dxa"/>
          <w:right w:w="0" w:type="dxa"/>
        </w:tblCellMar>
      </w:tblPr>
      <w:tr>
        <w:trPr>
          <w:trHeight w:val="164"/>
        </w:trPr>
        <w:tc>
          <w:tcPr>
            <w:tcW w:w="458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95-2705790</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2"/>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241 18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Street South, Suite 650</w:t>
            </w:r>
          </w:p>
        </w:tc>
        <w:tc>
          <w:tcPr>
            <w:tcW w:w="3240" w:type="dxa"/>
            <w:vAlign w:val="bottom"/>
          </w:tcPr>
          <w:p>
            <w:pPr>
              <w:spacing w:after="0"/>
              <w:rPr>
                <w:sz w:val="24"/>
                <w:szCs w:val="24"/>
                <w:color w:val="auto"/>
              </w:rPr>
            </w:pPr>
          </w:p>
        </w:tc>
      </w:tr>
      <w:tr>
        <w:trPr>
          <w:trHeight w:val="164"/>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Arlington, Virginia</w:t>
            </w:r>
          </w:p>
        </w:tc>
        <w:tc>
          <w:tcPr>
            <w:tcW w:w="32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22202</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(805) 520-8350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2960" w:type="dxa"/>
            <w:vAlign w:val="bottom"/>
          </w:tcPr>
          <w:p>
            <w:pPr>
              <w:jc w:val="center"/>
              <w:ind w:left="242"/>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560" w:type="dxa"/>
            <w:vAlign w:val="bottom"/>
          </w:tcPr>
          <w:p>
            <w:pPr>
              <w:jc w:val="center"/>
              <w:ind w:left="222"/>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6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85"/>
              </w:rPr>
              <w:t>AVAV</w:t>
            </w:r>
          </w:p>
        </w:tc>
        <w:tc>
          <w:tcPr>
            <w:tcW w:w="35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162" w:lineRule="exact"/>
        <w:rPr>
          <w:sz w:val="24"/>
          <w:szCs w:val="24"/>
          <w:color w:val="auto"/>
        </w:rPr>
      </w:pPr>
    </w:p>
    <w:p>
      <w:pPr>
        <w:jc w:val="both"/>
        <w:ind w:right="22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right="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right="20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ind w:left="17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5" w:lineRule="exact"/>
        <w:rPr>
          <w:sz w:val="24"/>
          <w:szCs w:val="24"/>
          <w:color w:val="auto"/>
        </w:rPr>
      </w:pPr>
    </w:p>
    <w:p>
      <w:pPr>
        <w:sectPr>
          <w:pgSz w:w="11900" w:h="16838" w:orient="portrait"/>
          <w:cols w:equalWidth="0" w:num="2">
            <w:col w:w="6200" w:space="720"/>
            <w:col w:w="3000"/>
          </w:cols>
          <w:pgMar w:left="980" w:top="661" w:right="999" w:bottom="1440" w:gutter="0" w:footer="0" w:header="0"/>
          <w:type w:val="continuous"/>
        </w:sect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900" w:space="720"/>
            <w:col w:w="3300"/>
          </w:cols>
          <w:pgMar w:left="980" w:top="661" w:right="999" w:bottom="1440" w:gutter="0" w:footer="0" w:header="0"/>
          <w:type w:val="continuous"/>
        </w:sectPr>
      </w:pPr>
    </w:p>
    <w:p>
      <w:pPr>
        <w:ind w:left="66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920"/>
          </w:cols>
          <w:pgMar w:left="980" w:top="661" w:right="999" w:bottom="1440" w:gutter="0" w:footer="0" w:header="0"/>
          <w:type w:val="continuous"/>
        </w:sectPr>
      </w:pPr>
    </w:p>
    <w:p>
      <w:pPr>
        <w:spacing w:after="0" w:line="248" w:lineRule="exact"/>
        <w:rPr>
          <w:sz w:val="24"/>
          <w:szCs w:val="24"/>
          <w:color w:val="auto"/>
        </w:rPr>
      </w:pPr>
    </w:p>
    <w:p>
      <w:pPr>
        <w:ind w:right="1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August 28, 2024, the number of shares outstanding of the registrant’s common stock, $0.0001 par value, was 28,206,032.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443865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57785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60" w:type="dxa"/>
            <w:vAlign w:val="bottom"/>
            <w:gridSpan w:val="10"/>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48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60" w:type="dxa"/>
            <w:vAlign w:val="bottom"/>
            <w:gridSpan w:val="10"/>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80" w:type="dxa"/>
            <w:vAlign w:val="bottom"/>
          </w:tcPr>
          <w:p>
            <w:pPr>
              <w:spacing w:after="0"/>
              <w:rPr>
                <w:sz w:val="24"/>
                <w:szCs w:val="24"/>
                <w:color w:val="auto"/>
              </w:rPr>
            </w:pPr>
          </w:p>
        </w:tc>
      </w:tr>
      <w:tr>
        <w:trPr>
          <w:trHeight w:val="405"/>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40" w:type="dxa"/>
            <w:vAlign w:val="bottom"/>
            <w:gridSpan w:val="3"/>
          </w:tcPr>
          <w:p>
            <w:pPr>
              <w:spacing w:after="0"/>
              <w:rPr>
                <w:sz w:val="24"/>
                <w:szCs w:val="24"/>
                <w:color w:val="auto"/>
              </w:rPr>
            </w:pPr>
          </w:p>
        </w:tc>
        <w:tc>
          <w:tcPr>
            <w:tcW w:w="1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592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July 27, 2024 (Unaudited) and April 30, 2024</w:t>
            </w:r>
          </w:p>
        </w:tc>
        <w:tc>
          <w:tcPr>
            <w:tcW w:w="640" w:type="dxa"/>
            <w:vAlign w:val="bottom"/>
            <w:gridSpan w:val="4"/>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July 27,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46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 xml:space="preserve">(Unaudited) </w:t>
            </w:r>
            <w:r>
              <w:rPr>
                <w:rFonts w:ascii="Times New Roman" w:cs="Times New Roman" w:eastAsia="Times New Roman" w:hAnsi="Times New Roman"/>
                <w:sz w:val="18"/>
                <w:szCs w:val="18"/>
                <w:color w:val="000000"/>
              </w:rPr>
              <w:t>and July 29, 2023 (Unaudited)</w:t>
            </w:r>
          </w:p>
        </w:tc>
        <w:tc>
          <w:tcPr>
            <w:tcW w:w="6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for the three ended July 27, 2024</w:t>
            </w: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 xml:space="preserve">(Unaudited) </w:t>
            </w:r>
            <w:r>
              <w:rPr>
                <w:rFonts w:ascii="Times New Roman" w:cs="Times New Roman" w:eastAsia="Times New Roman" w:hAnsi="Times New Roman"/>
                <w:sz w:val="18"/>
                <w:szCs w:val="18"/>
                <w:color w:val="000000"/>
              </w:rPr>
              <w:t>and July 29, 2023 (Unaudited)</w:t>
            </w:r>
          </w:p>
        </w:tc>
        <w:tc>
          <w:tcPr>
            <w:tcW w:w="4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July 27,</w:t>
            </w:r>
          </w:p>
        </w:tc>
        <w:tc>
          <w:tcPr>
            <w:tcW w:w="320" w:type="dxa"/>
            <w:vAlign w:val="bottom"/>
            <w:gridSpan w:val="2"/>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 xml:space="preserve">2024 (Unaudited) </w:t>
            </w:r>
            <w:r>
              <w:rPr>
                <w:rFonts w:ascii="Times New Roman" w:cs="Times New Roman" w:eastAsia="Times New Roman" w:hAnsi="Times New Roman"/>
                <w:sz w:val="18"/>
                <w:szCs w:val="18"/>
                <w:color w:val="000000"/>
              </w:rPr>
              <w:t>and July 29, 2023 (Unaudited)</w:t>
            </w:r>
          </w:p>
        </w:tc>
        <w:tc>
          <w:tcPr>
            <w:tcW w:w="4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July 27,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5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 xml:space="preserve">(Unaudited) </w:t>
            </w:r>
            <w:r>
              <w:rPr>
                <w:rFonts w:ascii="Times New Roman" w:cs="Times New Roman" w:eastAsia="Times New Roman" w:hAnsi="Times New Roman"/>
                <w:sz w:val="18"/>
                <w:szCs w:val="18"/>
                <w:color w:val="000000"/>
              </w:rPr>
              <w:t>and July 29, 2023 (Unaudited)</w:t>
            </w:r>
          </w:p>
        </w:tc>
        <w:tc>
          <w:tcPr>
            <w:tcW w:w="600" w:type="dxa"/>
            <w:vAlign w:val="bottom"/>
            <w:gridSpan w:val="3"/>
          </w:tcPr>
          <w:p>
            <w:pPr>
              <w:spacing w:after="0"/>
              <w:rPr>
                <w:sz w:val="19"/>
                <w:szCs w:val="19"/>
                <w:color w:val="auto"/>
              </w:rPr>
            </w:pPr>
          </w:p>
        </w:tc>
        <w:tc>
          <w:tcPr>
            <w:tcW w:w="4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440" w:type="dxa"/>
            <w:vAlign w:val="bottom"/>
            <w:gridSpan w:val="3"/>
          </w:tcPr>
          <w:p>
            <w:pPr>
              <w:spacing w:after="0"/>
              <w:rPr>
                <w:sz w:val="19"/>
                <w:szCs w:val="19"/>
                <w:color w:val="auto"/>
              </w:rPr>
            </w:pPr>
          </w:p>
        </w:tc>
        <w:tc>
          <w:tcPr>
            <w:tcW w:w="6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020" w:type="dxa"/>
            <w:vAlign w:val="bottom"/>
            <w:gridSpan w:val="6"/>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40" w:type="dxa"/>
            <w:vAlign w:val="bottom"/>
            <w:gridSpan w:val="3"/>
          </w:tcPr>
          <w:p>
            <w:pPr>
              <w:spacing w:after="0"/>
              <w:rPr>
                <w:sz w:val="19"/>
                <w:szCs w:val="19"/>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120" w:type="dxa"/>
            <w:vAlign w:val="bottom"/>
            <w:gridSpan w:val="8"/>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40" w:type="dxa"/>
            <w:vAlign w:val="bottom"/>
            <w:gridSpan w:val="3"/>
          </w:tcPr>
          <w:p>
            <w:pPr>
              <w:spacing w:after="0"/>
              <w:rPr>
                <w:sz w:val="19"/>
                <w:szCs w:val="19"/>
                <w:color w:val="auto"/>
              </w:rPr>
            </w:pPr>
          </w:p>
        </w:tc>
        <w:tc>
          <w:tcPr>
            <w:tcW w:w="7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66"/>
        </w:trPr>
        <w:tc>
          <w:tcPr>
            <w:tcW w:w="2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566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r>
      <w:tr>
        <w:trPr>
          <w:trHeight w:val="46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40" w:type="dxa"/>
            <w:vAlign w:val="bottom"/>
            <w:gridSpan w:val="3"/>
          </w:tcPr>
          <w:p>
            <w:pPr>
              <w:spacing w:after="0"/>
              <w:rPr>
                <w:sz w:val="24"/>
                <w:szCs w:val="24"/>
                <w:color w:val="auto"/>
              </w:rPr>
            </w:pPr>
          </w:p>
        </w:tc>
        <w:tc>
          <w:tcPr>
            <w:tcW w:w="7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7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40" w:type="dxa"/>
            <w:vAlign w:val="bottom"/>
            <w:gridSpan w:val="3"/>
          </w:tcPr>
          <w:p>
            <w:pPr>
              <w:spacing w:after="0"/>
              <w:rPr>
                <w:sz w:val="19"/>
                <w:szCs w:val="19"/>
                <w:color w:val="auto"/>
              </w:rPr>
            </w:pPr>
          </w:p>
        </w:tc>
        <w:tc>
          <w:tcPr>
            <w:tcW w:w="23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tcPr>
          <w:p>
            <w:pPr>
              <w:spacing w:after="0"/>
              <w:rPr>
                <w:sz w:val="19"/>
                <w:szCs w:val="19"/>
                <w:color w:val="auto"/>
              </w:rPr>
            </w:pPr>
          </w:p>
        </w:tc>
        <w:tc>
          <w:tcPr>
            <w:tcW w:w="3140" w:type="dxa"/>
            <w:vAlign w:val="bottom"/>
            <w:gridSpan w:val="9"/>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40" w:type="dxa"/>
            <w:vAlign w:val="bottom"/>
            <w:gridSpan w:val="3"/>
          </w:tcPr>
          <w:p>
            <w:pPr>
              <w:spacing w:after="0"/>
              <w:rPr>
                <w:sz w:val="19"/>
                <w:szCs w:val="19"/>
                <w:color w:val="auto"/>
              </w:rPr>
            </w:pPr>
          </w:p>
        </w:tc>
        <w:tc>
          <w:tcPr>
            <w:tcW w:w="7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440" w:type="dxa"/>
            <w:vAlign w:val="bottom"/>
            <w:gridSpan w:val="3"/>
          </w:tcPr>
          <w:p>
            <w:pPr>
              <w:spacing w:after="0"/>
              <w:rPr>
                <w:sz w:val="19"/>
                <w:szCs w:val="19"/>
                <w:color w:val="auto"/>
              </w:rPr>
            </w:pPr>
          </w:p>
        </w:tc>
        <w:tc>
          <w:tcPr>
            <w:tcW w:w="17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720" w:type="dxa"/>
            <w:vAlign w:val="bottom"/>
            <w:gridSpan w:val="12"/>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440" w:type="dxa"/>
            <w:vAlign w:val="bottom"/>
            <w:gridSpan w:val="3"/>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3"/>
          </w:tcPr>
          <w:p>
            <w:pPr>
              <w:spacing w:after="0"/>
              <w:rPr>
                <w:sz w:val="19"/>
                <w:szCs w:val="19"/>
                <w:color w:val="auto"/>
              </w:rPr>
            </w:pPr>
          </w:p>
        </w:tc>
        <w:tc>
          <w:tcPr>
            <w:tcW w:w="6160" w:type="dxa"/>
            <w:vAlign w:val="bottom"/>
            <w:gridSpan w:val="15"/>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AeroVironment, Inc.</w:t>
      </w:r>
    </w:p>
    <w:p>
      <w:pPr>
        <w:jc w:val="center"/>
        <w:ind w:right="19"/>
        <w:spacing w:after="0" w:line="219" w:lineRule="auto"/>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14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81,162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$58 at July 27, 2024 and $159 at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April 30, 2024</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219,766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143,835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500,346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515,581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21,887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67,521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275,932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15,826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13,505</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999,169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1,015,860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43,596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July 27, 2024 and April 30, 2024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Issued and outstanding shares—28,206,480 shares at July 27, 2024 and 28,134,438 shares at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April 30, 2024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598,735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597,646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(5,054)</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(5,592)</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251,853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230,687</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845,538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999,169</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1,015,860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July 29,</w:t>
            </w:r>
          </w:p>
        </w:tc>
        <w:tc>
          <w:tcPr>
            <w:tcW w:w="280" w:type="dxa"/>
            <w:vAlign w:val="bottom"/>
          </w:tcPr>
          <w:p>
            <w:pPr>
              <w:spacing w:after="0"/>
              <w:rPr>
                <w:sz w:val="10"/>
                <w:szCs w:val="10"/>
                <w:color w:val="auto"/>
              </w:rPr>
            </w:pPr>
          </w:p>
        </w:tc>
      </w:tr>
      <w:tr>
        <w:trPr>
          <w:trHeight w:val="173"/>
        </w:trPr>
        <w:tc>
          <w:tcPr>
            <w:tcW w:w="6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r>
      <w:tr>
        <w:trPr>
          <w:trHeight w:val="19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159,504</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119,471</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32,876</w:t>
            </w:r>
          </w:p>
        </w:tc>
        <w:tc>
          <w:tcPr>
            <w:tcW w:w="280" w:type="dxa"/>
            <w:vAlign w:val="bottom"/>
            <w:shd w:val="clear" w:color="auto" w:fill="CCEEFF"/>
          </w:tcPr>
          <w:p>
            <w:pPr>
              <w:spacing w:after="0"/>
              <w:rPr>
                <w:sz w:val="17"/>
                <w:szCs w:val="17"/>
                <w:color w:val="auto"/>
              </w:rPr>
            </w:pPr>
          </w:p>
        </w:tc>
      </w:tr>
      <w:tr>
        <w:trPr>
          <w:trHeight w:val="196"/>
        </w:trPr>
        <w:tc>
          <w:tcPr>
            <w:tcW w:w="6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189,483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152,347</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85,519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61,608</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25,079</w:t>
            </w:r>
          </w:p>
        </w:tc>
        <w:tc>
          <w:tcPr>
            <w:tcW w:w="280" w:type="dxa"/>
            <w:vAlign w:val="bottom"/>
            <w:shd w:val="clear" w:color="auto" w:fill="CCEEFF"/>
          </w:tcPr>
          <w:p>
            <w:pPr>
              <w:spacing w:after="0"/>
              <w:rPr>
                <w:sz w:val="17"/>
                <w:szCs w:val="17"/>
                <w:color w:val="auto"/>
              </w:rPr>
            </w:pPr>
          </w:p>
        </w:tc>
      </w:tr>
      <w:tr>
        <w:trPr>
          <w:trHeight w:val="196"/>
        </w:trPr>
        <w:tc>
          <w:tcPr>
            <w:tcW w:w="6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108,016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86,687</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57,863</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w:t>
            </w:r>
          </w:p>
        </w:tc>
        <w:tc>
          <w:tcPr>
            <w:tcW w:w="280" w:type="dxa"/>
            <w:vAlign w:val="bottom"/>
            <w:shd w:val="clear" w:color="auto" w:fill="CCEEFF"/>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81,467</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65,660</w:t>
            </w:r>
          </w:p>
        </w:tc>
        <w:tc>
          <w:tcPr>
            <w:tcW w:w="280" w:type="dxa"/>
            <w:vAlign w:val="bottom"/>
            <w:tcBorders>
              <w:bottom w:val="single" w:sz="8" w:color="CCEEFF"/>
            </w:tcBorders>
          </w:tcPr>
          <w:p>
            <w:pPr>
              <w:spacing w:after="0"/>
              <w:rPr>
                <w:sz w:val="17"/>
                <w:szCs w:val="17"/>
                <w:color w:val="auto"/>
              </w:rPr>
            </w:pPr>
          </w:p>
        </w:tc>
      </w:tr>
      <w:tr>
        <w:trPr>
          <w:trHeight w:val="19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23,827</w:t>
            </w: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15,466</w:t>
            </w:r>
          </w:p>
        </w:tc>
        <w:tc>
          <w:tcPr>
            <w:tcW w:w="280" w:type="dxa"/>
            <w:vAlign w:val="bottom"/>
            <w:tcBorders>
              <w:bottom w:val="single" w:sz="8" w:color="CCEEFF"/>
            </w:tcBorders>
          </w:tcPr>
          <w:p>
            <w:pPr>
              <w:spacing w:after="0"/>
              <w:rPr>
                <w:sz w:val="17"/>
                <w:szCs w:val="17"/>
                <w:color w:val="auto"/>
              </w:rPr>
            </w:pPr>
          </w:p>
        </w:tc>
      </w:tr>
      <w:tr>
        <w:trPr>
          <w:trHeight w:val="19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26,367</w:t>
            </w: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Other loss: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2"/>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(2,008)</w:t>
            </w:r>
          </w:p>
        </w:tc>
      </w:tr>
      <w:tr>
        <w:trPr>
          <w:trHeight w:val="20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 net</w:t>
            </w:r>
          </w:p>
        </w:tc>
        <w:tc>
          <w:tcPr>
            <w:tcW w:w="1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(1,129)</w:t>
            </w:r>
          </w:p>
        </w:tc>
      </w:tr>
      <w:tr>
        <w:trPr>
          <w:trHeight w:val="196"/>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23,230</w:t>
            </w:r>
          </w:p>
        </w:tc>
        <w:tc>
          <w:tcPr>
            <w:tcW w:w="280" w:type="dxa"/>
            <w:vAlign w:val="bottom"/>
            <w:tcBorders>
              <w:top w:val="single" w:sz="8" w:color="CCEEFF"/>
            </w:tcBorders>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 income (loss), net of tax</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w:t>
            </w:r>
          </w:p>
        </w:tc>
      </w:tr>
      <w:tr>
        <w:trPr>
          <w:trHeight w:val="23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21,166</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21,895</w:t>
            </w:r>
          </w:p>
        </w:tc>
        <w:tc>
          <w:tcPr>
            <w:tcW w:w="280" w:type="dxa"/>
            <w:vAlign w:val="bottom"/>
            <w:tcBorders>
              <w:bottom w:val="single" w:sz="8" w:color="CCEEFF"/>
            </w:tcBorders>
          </w:tcPr>
          <w:p>
            <w:pPr>
              <w:spacing w:after="0"/>
              <w:rPr>
                <w:sz w:val="20"/>
                <w:szCs w:val="20"/>
                <w:color w:val="auto"/>
              </w:rPr>
            </w:pPr>
          </w:p>
        </w:tc>
      </w:tr>
      <w:tr>
        <w:trPr>
          <w:trHeight w:val="183"/>
        </w:trPr>
        <w:tc>
          <w:tcPr>
            <w:tcW w:w="64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 per share</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03"/>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280" w:type="dxa"/>
            <w:vAlign w:val="bottom"/>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27,959,692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26,088,277</w:t>
            </w:r>
          </w:p>
        </w:tc>
        <w:tc>
          <w:tcPr>
            <w:tcW w:w="280" w:type="dxa"/>
            <w:vAlign w:val="bottom"/>
            <w:shd w:val="clear" w:color="auto" w:fill="CCEEFF"/>
          </w:tcPr>
          <w:p>
            <w:pPr>
              <w:spacing w:after="0"/>
              <w:rPr>
                <w:sz w:val="17"/>
                <w:szCs w:val="17"/>
                <w:color w:val="auto"/>
              </w:rPr>
            </w:pP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28,281,827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26,179,042</w:t>
            </w:r>
          </w:p>
        </w:tc>
        <w:tc>
          <w:tcPr>
            <w:tcW w:w="280" w:type="dxa"/>
            <w:vAlign w:val="bottom"/>
          </w:tcPr>
          <w:p>
            <w:pPr>
              <w:spacing w:after="0"/>
              <w:rPr>
                <w:sz w:val="18"/>
                <w:szCs w:val="18"/>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July 29,</w:t>
            </w:r>
          </w:p>
        </w:tc>
        <w:tc>
          <w:tcPr>
            <w:tcW w:w="140" w:type="dxa"/>
            <w:vAlign w:val="bottom"/>
          </w:tcPr>
          <w:p>
            <w:pPr>
              <w:spacing w:after="0"/>
              <w:rPr>
                <w:sz w:val="10"/>
                <w:szCs w:val="10"/>
                <w:color w:val="auto"/>
              </w:rPr>
            </w:pPr>
          </w:p>
        </w:tc>
      </w:tr>
      <w:tr>
        <w:trPr>
          <w:trHeight w:val="173"/>
        </w:trPr>
        <w:tc>
          <w:tcPr>
            <w:tcW w:w="64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14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three months ended July 27, 2024 and July 29, 2023 (Unaudited)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1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4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9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2024</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28,134,438</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$ 597,646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230,687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822,745</w:t>
            </w:r>
          </w:p>
        </w:tc>
        <w:tc>
          <w:tcPr>
            <w:tcW w:w="0" w:type="dxa"/>
            <w:vAlign w:val="bottom"/>
          </w:tcPr>
          <w:p>
            <w:pPr>
              <w:spacing w:after="0"/>
              <w:rPr>
                <w:sz w:val="1"/>
                <w:szCs w:val="1"/>
                <w:color w:val="auto"/>
              </w:rPr>
            </w:pPr>
          </w:p>
        </w:tc>
      </w:tr>
      <w:tr>
        <w:trPr>
          <w:trHeight w:val="148"/>
        </w:trPr>
        <w:tc>
          <w:tcPr>
            <w:tcW w:w="3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21,166</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48"/>
        </w:trPr>
        <w:tc>
          <w:tcPr>
            <w:tcW w:w="3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69,522</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9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0" w:type="dxa"/>
            <w:vAlign w:val="bottom"/>
          </w:tcPr>
          <w:p>
            <w:pPr>
              <w:spacing w:after="0"/>
              <w:rPr>
                <w:sz w:val="1"/>
                <w:szCs w:val="1"/>
                <w:color w:val="auto"/>
              </w:rPr>
            </w:pPr>
          </w:p>
        </w:tc>
      </w:tr>
      <w:tr>
        <w:trPr>
          <w:trHeight w:val="171"/>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w:t>
            </w:r>
          </w:p>
        </w:tc>
        <w:tc>
          <w:tcPr>
            <w:tcW w:w="0" w:type="dxa"/>
            <w:vAlign w:val="bottom"/>
          </w:tcPr>
          <w:p>
            <w:pPr>
              <w:spacing w:after="0"/>
              <w:rPr>
                <w:sz w:val="1"/>
                <w:szCs w:val="1"/>
                <w:color w:val="auto"/>
              </w:rPr>
            </w:pPr>
          </w:p>
        </w:tc>
      </w:tr>
      <w:tr>
        <w:trPr>
          <w:trHeight w:val="142"/>
        </w:trPr>
        <w:tc>
          <w:tcPr>
            <w:tcW w:w="39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July 27, 2024</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28,206,480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$ 598,735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251,853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(5,054)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845,538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1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4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9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2023</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26,216,897</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$ 384,397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171,021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550,970</w:t>
            </w:r>
          </w:p>
        </w:tc>
        <w:tc>
          <w:tcPr>
            <w:tcW w:w="0" w:type="dxa"/>
            <w:vAlign w:val="bottom"/>
          </w:tcPr>
          <w:p>
            <w:pPr>
              <w:spacing w:after="0"/>
              <w:rPr>
                <w:sz w:val="1"/>
                <w:szCs w:val="1"/>
                <w:color w:val="auto"/>
              </w:rPr>
            </w:pPr>
          </w:p>
        </w:tc>
      </w:tr>
      <w:tr>
        <w:trPr>
          <w:trHeight w:val="148"/>
        </w:trPr>
        <w:tc>
          <w:tcPr>
            <w:tcW w:w="3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21,895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21,895</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8"/>
        </w:trPr>
        <w:tc>
          <w:tcPr>
            <w:tcW w:w="3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91,913</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9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0" w:type="dxa"/>
            <w:vAlign w:val="bottom"/>
          </w:tcPr>
          <w:p>
            <w:pPr>
              <w:spacing w:after="0"/>
              <w:rPr>
                <w:sz w:val="1"/>
                <w:szCs w:val="1"/>
                <w:color w:val="auto"/>
              </w:rPr>
            </w:pPr>
          </w:p>
        </w:tc>
      </w:tr>
      <w:tr>
        <w:trPr>
          <w:trHeight w:val="171"/>
        </w:trPr>
        <w:tc>
          <w:tcPr>
            <w:tcW w:w="3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cost for shares issued</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48"/>
        </w:trPr>
        <w:tc>
          <w:tcPr>
            <w:tcW w:w="3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3,204</w:t>
            </w:r>
          </w:p>
        </w:tc>
        <w:tc>
          <w:tcPr>
            <w:tcW w:w="0" w:type="dxa"/>
            <w:vAlign w:val="bottom"/>
          </w:tcPr>
          <w:p>
            <w:pPr>
              <w:spacing w:after="0"/>
              <w:rPr>
                <w:sz w:val="1"/>
                <w:szCs w:val="1"/>
                <w:color w:val="auto"/>
              </w:rPr>
            </w:pPr>
          </w:p>
        </w:tc>
      </w:tr>
      <w:tr>
        <w:trPr>
          <w:trHeight w:val="142"/>
        </w:trPr>
        <w:tc>
          <w:tcPr>
            <w:tcW w:w="39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July 29, 2023</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26,292,130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$ 386,140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192,916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(4,515)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574,545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9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48"/>
              <w:spacing w:after="0" w:line="118" w:lineRule="exact"/>
              <w:rPr>
                <w:sz w:val="20"/>
                <w:szCs w:val="20"/>
                <w:color w:val="auto"/>
              </w:rPr>
            </w:pPr>
            <w:r>
              <w:rPr>
                <w:rFonts w:ascii="Times New Roman" w:cs="Times New Roman" w:eastAsia="Times New Roman" w:hAnsi="Times New Roman"/>
                <w:sz w:val="13"/>
                <w:szCs w:val="13"/>
                <w:b w:val="1"/>
                <w:bCs w:val="1"/>
                <w:color w:val="auto"/>
              </w:rPr>
              <w:t>July 29,</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21,166</w:t>
            </w:r>
          </w:p>
        </w:tc>
        <w:tc>
          <w:tcPr>
            <w:tcW w:w="80" w:type="dxa"/>
            <w:vAlign w:val="bottom"/>
          </w:tcPr>
          <w:p>
            <w:pPr>
              <w:spacing w:after="0"/>
              <w:rPr>
                <w:sz w:val="12"/>
                <w:szCs w:val="12"/>
                <w:color w:val="auto"/>
              </w:rPr>
            </w:pPr>
          </w:p>
        </w:tc>
        <w:tc>
          <w:tcPr>
            <w:tcW w:w="34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21,895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cash provided by (used in) operating activities: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loss from equity method investments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Reserve for inventory excess and obsolescence</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 net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foreign currency transactions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equity securities, net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8,207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(20,274)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(40,004)</w:t>
            </w:r>
          </w:p>
        </w:tc>
        <w:tc>
          <w:tcPr>
            <w:tcW w:w="0" w:type="dxa"/>
            <w:vAlign w:val="bottom"/>
          </w:tcPr>
          <w:p>
            <w:pPr>
              <w:spacing w:after="0"/>
              <w:rPr>
                <w:sz w:val="1"/>
                <w:szCs w:val="1"/>
                <w:color w:val="auto"/>
              </w:rPr>
            </w:pPr>
          </w:p>
        </w:tc>
      </w:tr>
      <w:tr>
        <w:trPr>
          <w:trHeight w:val="148"/>
        </w:trPr>
        <w:tc>
          <w:tcPr>
            <w:tcW w:w="59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(4,401)</w:t>
            </w:r>
          </w:p>
        </w:tc>
        <w:tc>
          <w:tcPr>
            <w:tcW w:w="0" w:type="dxa"/>
            <w:vAlign w:val="bottom"/>
          </w:tcPr>
          <w:p>
            <w:pPr>
              <w:spacing w:after="0"/>
              <w:rPr>
                <w:sz w:val="1"/>
                <w:szCs w:val="1"/>
                <w:color w:val="auto"/>
              </w:rPr>
            </w:pPr>
          </w:p>
        </w:tc>
      </w:tr>
      <w:tr>
        <w:trPr>
          <w:trHeight w:val="148"/>
        </w:trPr>
        <w:tc>
          <w:tcPr>
            <w:tcW w:w="59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(4,976)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(2,780)</w:t>
            </w: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(25,081)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(15,272)</w:t>
            </w:r>
          </w:p>
        </w:tc>
        <w:tc>
          <w:tcPr>
            <w:tcW w:w="0" w:type="dxa"/>
            <w:vAlign w:val="bottom"/>
          </w:tcPr>
          <w:p>
            <w:pPr>
              <w:spacing w:after="0"/>
              <w:rPr>
                <w:sz w:val="1"/>
                <w:szCs w:val="1"/>
                <w:color w:val="auto"/>
              </w:rPr>
            </w:pPr>
          </w:p>
        </w:tc>
      </w:tr>
      <w:tr>
        <w:trPr>
          <w:trHeight w:val="142"/>
        </w:trPr>
        <w:tc>
          <w:tcPr>
            <w:tcW w:w="5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28,351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(17,062)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(3,632)</w:t>
            </w: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in equity method investments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(3,632)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(10,500)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(3,953)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2"/>
        </w:trPr>
        <w:tc>
          <w:tcPr>
            <w:tcW w:w="59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(13,954)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(6,315)</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(26,988)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132,859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81,162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105,871</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(refunded), net during the period for:</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34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50"/>
        </w:trPr>
        <w:tc>
          <w:tcPr>
            <w:tcW w:w="590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1,208</w:t>
            </w:r>
          </w:p>
        </w:tc>
        <w:tc>
          <w:tcPr>
            <w:tcW w:w="80" w:type="dxa"/>
            <w:vAlign w:val="bottom"/>
          </w:tcPr>
          <w:p>
            <w:pPr>
              <w:spacing w:after="0"/>
              <w:rPr>
                <w:sz w:val="13"/>
                <w:szCs w:val="13"/>
                <w:color w:val="auto"/>
              </w:rPr>
            </w:pPr>
          </w:p>
        </w:tc>
        <w:tc>
          <w:tcPr>
            <w:tcW w:w="340" w:type="dxa"/>
            <w:vAlign w:val="bottom"/>
            <w:gridSpan w:val="2"/>
          </w:tcPr>
          <w:p>
            <w:pPr>
              <w:jc w:val="right"/>
              <w:ind w:right="123"/>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969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40" w:right="579"/>
        <w:spacing w:after="0" w:line="277" w:lineRule="auto"/>
        <w:rPr>
          <w:sz w:val="20"/>
          <w:szCs w:val="20"/>
          <w:color w:val="auto"/>
        </w:rPr>
      </w:pPr>
      <w:r>
        <w:rPr>
          <w:rFonts w:ascii="Times New Roman" w:cs="Times New Roman" w:eastAsia="Times New Roman" w:hAnsi="Times New Roman"/>
          <w:sz w:val="17"/>
          <w:szCs w:val="17"/>
          <w:color w:val="auto"/>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uncrewed aircraft and ground robot systems, loitering munitions systems and related services primarily to organizations within or supplying the U.S. Department of Defense (“D.o.D”), other federal agencies and to international allied governments.</w:t>
      </w:r>
    </w:p>
    <w:p>
      <w:pPr>
        <w:spacing w:after="0" w:line="168" w:lineRule="exact"/>
        <w:rPr>
          <w:sz w:val="20"/>
          <w:szCs w:val="20"/>
          <w:color w:val="auto"/>
        </w:rPr>
      </w:pPr>
    </w:p>
    <w:p>
      <w:pPr>
        <w:ind w:left="40" w:right="299"/>
        <w:spacing w:after="0" w:line="266" w:lineRule="auto"/>
        <w:rPr>
          <w:sz w:val="20"/>
          <w:szCs w:val="20"/>
          <w:color w:val="auto"/>
        </w:rPr>
      </w:pPr>
      <w:r>
        <w:rPr>
          <w:rFonts w:ascii="Times New Roman" w:cs="Times New Roman" w:eastAsia="Times New Roman" w:hAnsi="Times New Roman"/>
          <w:sz w:val="18"/>
          <w:szCs w:val="18"/>
          <w:color w:val="auto"/>
        </w:rPr>
        <w:t>Effective May 1, 2023, the Company reorganized its segments. Due to the Company’s growth as an organization, the reorganization was implemented to drive additional operational improvements, foster synergies and provide leaders with greater autonomy over their product lines. The Company’s reportable segments are as follows:</w:t>
      </w:r>
    </w:p>
    <w:p>
      <w:pPr>
        <w:spacing w:after="0" w:line="174"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i w:val="1"/>
          <w:iCs w:val="1"/>
          <w:color w:val="auto"/>
        </w:rPr>
        <w:t>Uncrewed Systems (“UxS”)</w:t>
      </w:r>
      <w:r>
        <w:rPr>
          <w:rFonts w:ascii="Times New Roman" w:cs="Times New Roman" w:eastAsia="Times New Roman" w:hAnsi="Times New Roman"/>
          <w:sz w:val="18"/>
          <w:szCs w:val="18"/>
          <w:color w:val="auto"/>
        </w:rPr>
        <w:t>—The UxS segment, which consists of the former small uncrewed aircraft systems (“SUAS”),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medium uncrewed aircraft systems (“MUAS”) and uncrewed ground vehicles (“UGV”) segments and the acquired Tomahawk, focuses primarily on small UAS products designed to operate reliably at lower altitudes in a wide range of environmental conditions, providing a vantage point from which to collect and deliver valuable information as well as related support including training, spare and accessory parts, product repair, product replacement, maintenance and upgrades; medium UAS products designed to operate reliably at medium altitudes with longer range while carrying larger payloads including airborne platforms, payloads and payload integration, and ground support equipment and other items and services related generally to uncrewed aircraft systems historically including ISR services; UGV products designed to help responders remove, contain or neutralize these hazards in situations where improvised explosive devices, caustic chemicals, nuclear, radiological or biological hazards or violent individuals represent significant danger to humans; and AI-enabled common control and communication solutions that allow any uncrewed system to be controlled from a common user interface while aggregating data from multiple platforms to provide real time intelligence.</w:t>
      </w:r>
    </w:p>
    <w:p>
      <w:pPr>
        <w:spacing w:after="0" w:line="190"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i w:val="1"/>
          <w:iCs w:val="1"/>
          <w:color w:val="auto"/>
        </w:rPr>
        <w:t>Loitering Munitions Systems (“LMS”)</w:t>
      </w:r>
      <w:r>
        <w:rPr>
          <w:rFonts w:ascii="Times New Roman" w:cs="Times New Roman" w:eastAsia="Times New Roman" w:hAnsi="Times New Roman"/>
          <w:sz w:val="18"/>
          <w:szCs w:val="18"/>
          <w:color w:val="auto"/>
        </w:rPr>
        <w:t>—The LMS segment, which consists of the former Tactical Missile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focuses primarily on tube-launched aircraft that deploy with the push of a button, fly at higher speeds than small UAS products, and perform either effects delivery or reconnaissance missions, and related support services including training, spare parts, product repair, and product replacement. The LMS segment also includes customer-funded research and development programs.</w:t>
      </w:r>
    </w:p>
    <w:p>
      <w:pPr>
        <w:spacing w:after="0" w:line="183"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8"/>
          <w:szCs w:val="18"/>
          <w:i w:val="1"/>
          <w:iCs w:val="1"/>
          <w:color w:val="auto"/>
        </w:rPr>
        <w:t>MacCready Works (“MW”)</w:t>
      </w:r>
      <w:r>
        <w:rPr>
          <w:rFonts w:ascii="Times New Roman" w:cs="Times New Roman" w:eastAsia="Times New Roman" w:hAnsi="Times New Roman"/>
          <w:sz w:val="18"/>
          <w:szCs w:val="18"/>
          <w:color w:val="auto"/>
        </w:rPr>
        <w:t>—The MW segment, which consists of the former MacCready Works and High Altitude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Pseudo-Satellite systems (“HAPS”) segments, focuses on customer-funded research and development in the areas of HAPS, robotics, sensors, software analytics, data intelligence and connectivity. This segment contains the Company’s center of excellence for the development of machine learning, object identification and autonomy solutions and also seeks to identify new products, services and businesses for the Company.</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July 27, 2024 are not necessarily indicative of the results for the full year ending April 30, 2025. For further information, refer to the consolidated financial statements and footnotes thereto for the year ended April 30, 2024, included in the Company’s Annual Report on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spacing w:after="0" w:line="180"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assets, liabilities and operating results of wholly-owned subsidiaries. All intercompany accounts and transactions have been eliminated.</w:t>
      </w:r>
    </w:p>
    <w:p>
      <w:pPr>
        <w:spacing w:after="0" w:line="162"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On September 15, 2023, the Company closed its acquisition of Tomahawk Robotics, Inc. (“Tomahawk”) pursuant to a merger agreement, and post-acquisition, Tomahawk has been incorporated into the UxS segment. The assets, liabilities and operating results of Tomahawk have been included in the Company’s unaudited condensed consolidated financial statements. Refer to Note 16—Business Acquisitions for further details.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did not adopt any accounting standards during the three months ended July 27, 2024.</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fixed fee (“CPFF”), or time and materials (“T&amp;M”). The Company considers all such contracts to be within the scope of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88"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62"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LMS product deliveries, certain Tomahawk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which historically included revenue from intelligence, surveillance, and reconnaissance (“ISR”) services, is recognized over time as services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77" w:lineRule="auto"/>
        <w:rPr>
          <w:sz w:val="20"/>
          <w:szCs w:val="20"/>
          <w:color w:val="auto"/>
        </w:rPr>
      </w:pPr>
      <w:r>
        <w:rPr>
          <w:rFonts w:ascii="Times New Roman" w:cs="Times New Roman" w:eastAsia="Times New Roman" w:hAnsi="Times New Roman"/>
          <w:sz w:val="17"/>
          <w:szCs w:val="17"/>
          <w:color w:val="auto"/>
        </w:rPr>
        <w:t>rendered. In accordance with ASC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In the past, the Company operated its MUAS in overseas locations to support U.S. military operations under ISR services contracts under a contractor-owned, contractor-operated (“COCO”) arrangement.</w:t>
      </w:r>
    </w:p>
    <w:p>
      <w:pPr>
        <w:spacing w:after="0" w:line="168"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80"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The Company’s SUAS, MUAS, UGV product sales revenue is composed of revenue recognized on contracts for the delivery of SUAS, MUAS and UGV systems and spare parts, respectively. Revenue is recognized at the point in time when control transfers to the customer, which generally occurs when title and risk of loss have passed to the customer.</w:t>
      </w:r>
    </w:p>
    <w:p>
      <w:pPr>
        <w:spacing w:after="0" w:line="183"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On July 27, 2024, the Company had approximately $372,904,000 of remaining performance obligations under fully funded contracts with its customers, which the Company also refers to as funded backlog. The Company currently expects to recognize approximately 85% of the remaining performance obligations as revenue in fiscal 2025 and the remaining 15% in fiscal 2026.</w:t>
      </w:r>
    </w:p>
    <w:p>
      <w:pPr>
        <w:spacing w:after="0" w:line="180"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Company collects sales, value added, and other taxes concurrent with revenue producing activities, which are excluded from revenue when they are both imposed on a specific transaction and collected from a customer.</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29" w:lineRule="exact"/>
        <w:rPr>
          <w:sz w:val="20"/>
          <w:szCs w:val="20"/>
          <w:color w:val="auto"/>
        </w:rPr>
      </w:pPr>
    </w:p>
    <w:p>
      <w:pPr>
        <w:ind w:left="40" w:right="199"/>
        <w:spacing w:after="0" w:line="273" w:lineRule="auto"/>
        <w:rPr>
          <w:sz w:val="20"/>
          <w:szCs w:val="20"/>
          <w:color w:val="auto"/>
        </w:rPr>
      </w:pPr>
      <w:r>
        <w:rPr>
          <w:rFonts w:ascii="Times New Roman" w:cs="Times New Roman" w:eastAsia="Times New Roman" w:hAnsi="Times New Roman"/>
          <w:sz w:val="17"/>
          <w:szCs w:val="17"/>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left="40" w:right="219"/>
        <w:spacing w:after="0" w:line="289" w:lineRule="auto"/>
        <w:rPr>
          <w:sz w:val="20"/>
          <w:szCs w:val="20"/>
          <w:color w:val="auto"/>
        </w:rPr>
      </w:pPr>
      <w:r>
        <w:rPr>
          <w:rFonts w:ascii="Times New Roman" w:cs="Times New Roman" w:eastAsia="Times New Roman" w:hAnsi="Times New Roman"/>
          <w:sz w:val="17"/>
          <w:szCs w:val="17"/>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58"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gives rise to several types of variable consideration, including undefinitized contract actions which are within the scope of ASC 606 with final contract values to be negotiated,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92" w:lineRule="exact"/>
        <w:rPr>
          <w:sz w:val="20"/>
          <w:szCs w:val="20"/>
          <w:color w:val="auto"/>
        </w:rPr>
      </w:pPr>
    </w:p>
    <w:p>
      <w:pPr>
        <w:ind w:left="40" w:right="379"/>
        <w:spacing w:after="0" w:line="289" w:lineRule="auto"/>
        <w:rPr>
          <w:sz w:val="20"/>
          <w:szCs w:val="20"/>
          <w:color w:val="auto"/>
        </w:rPr>
      </w:pPr>
      <w:r>
        <w:rPr>
          <w:rFonts w:ascii="Times New Roman" w:cs="Times New Roman" w:eastAsia="Times New Roman" w:hAnsi="Times New Roman"/>
          <w:sz w:val="17"/>
          <w:szCs w:val="17"/>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40"/>
        <w:spacing w:after="0" w:line="258" w:lineRule="auto"/>
        <w:rPr>
          <w:sz w:val="20"/>
          <w:szCs w:val="20"/>
          <w:color w:val="auto"/>
        </w:rPr>
      </w:pPr>
      <w:r>
        <w:rPr>
          <w:rFonts w:ascii="Times New Roman" w:cs="Times New Roman" w:eastAsia="Times New Roman" w:hAnsi="Times New Roman"/>
          <w:sz w:val="18"/>
          <w:szCs w:val="18"/>
          <w:color w:val="auto"/>
        </w:rPr>
        <w:t>period identified for contracts with performance obligations recognized over time. Changes in cumulative revenue estimates due to changes in the estimated transaction price are recorded using a cumulative catch-up adjustment in the period identified for contracts with performance obligations at a point in time, including undefinitized contract actions. In the period undefinitized contract actions become definitized, a cumulative catch-up adjustment is recorded to reflect the final consideration, which could have a material positive or negative impact.</w:t>
      </w:r>
    </w:p>
    <w:p>
      <w:pPr>
        <w:spacing w:after="0" w:line="183" w:lineRule="exact"/>
        <w:rPr>
          <w:sz w:val="20"/>
          <w:szCs w:val="20"/>
          <w:color w:val="auto"/>
        </w:rPr>
      </w:pPr>
    </w:p>
    <w:p>
      <w:pPr>
        <w:ind w:left="40" w:right="100"/>
        <w:spacing w:after="0" w:line="256" w:lineRule="auto"/>
        <w:rPr>
          <w:sz w:val="20"/>
          <w:szCs w:val="20"/>
          <w:color w:val="auto"/>
        </w:rPr>
      </w:pPr>
      <w:r>
        <w:rPr>
          <w:rFonts w:ascii="Times New Roman" w:cs="Times New Roman" w:eastAsia="Times New Roman" w:hAnsi="Times New Roman"/>
          <w:sz w:val="18"/>
          <w:szCs w:val="18"/>
          <w:color w:val="auto"/>
        </w:rPr>
        <w:t>If at any time the estimate of contract profitability indicates an anticipated loss on the contract, the Company recognizes the total loss in the quarter it is identified, and it is recorded in other current liabilities. The balance of forward loss reserves as of July 27, 2024 and April 30, 2024 was $496,000 and $374,000, respectively. The Company recorded the forward loss reserves as the total estimated costs to complete the contracts are in excess of the total remaining consideration of the contracts. No adjustment on the forward loss reserve for any one contract was material to the Company’s unaudited condensed consolidated financial statements for the three months ended July 27, 2024 or July 29, 2023, respectively.</w:t>
      </w:r>
    </w:p>
    <w:p>
      <w:pPr>
        <w:spacing w:after="0" w:line="187"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material for the three month period ended July 27, 2024 or July 29, 2023, respectively. No adjustment on any one contract was material to the Company’s unaudited condensed consolidated financial statements for the three month periods ended July 27, 2024 or July 29, 2023.</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ind w:left="40" w:right="5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segment,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tc>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60" w:type="dxa"/>
            <w:vAlign w:val="bottom"/>
            <w:tcBorders>
              <w:bottom w:val="single" w:sz="8" w:color="CCEEFF"/>
            </w:tcBorders>
            <w:vMerge w:val="continue"/>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UxS</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98,207</w:t>
            </w:r>
          </w:p>
        </w:tc>
        <w:tc>
          <w:tcPr>
            <w:tcW w:w="1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LMS</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MW</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23,223</w:t>
            </w:r>
          </w:p>
        </w:tc>
        <w:tc>
          <w:tcPr>
            <w:tcW w:w="1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37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60" w:type="dxa"/>
            <w:vAlign w:val="bottom"/>
            <w:tcBorders>
              <w:bottom w:val="single" w:sz="8" w:color="CCEEFF"/>
            </w:tcBorders>
            <w:vMerge w:val="continue"/>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37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129,942</w:t>
            </w:r>
          </w:p>
        </w:tc>
        <w:tc>
          <w:tcPr>
            <w:tcW w:w="1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CPFF</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37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7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7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1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3" w:right="1419"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60"/>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4"/>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84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101,348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50,999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152,347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8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July 27,</w:t>
            </w: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122,485</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94,221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152,347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percentage by recognition method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0" w:type="dxa"/>
            <w:vAlign w:val="bottom"/>
          </w:tcPr>
          <w:p>
            <w:pPr>
              <w:spacing w:after="0"/>
              <w:rPr>
                <w:sz w:val="1"/>
                <w:szCs w:val="1"/>
                <w:color w:val="auto"/>
              </w:rPr>
            </w:pPr>
          </w:p>
        </w:tc>
      </w:tr>
      <w:tr>
        <w:trPr>
          <w:trHeight w:val="212"/>
        </w:trPr>
        <w:tc>
          <w:tcPr>
            <w:tcW w:w="684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40" w:right="120"/>
        <w:spacing w:after="0" w:line="25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customer advances and deposits on the condensed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condensed consolidated balance sheet. However, the Company sometimes receives advances or deposits from its customers before revenue is recognized, resulting in contract liabilities recorded in customer advances on the condensed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condensed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three month period ended July 27, 2024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96" w:lineRule="exact"/>
        <w:rPr>
          <w:sz w:val="20"/>
          <w:szCs w:val="20"/>
          <w:color w:val="auto"/>
        </w:rPr>
      </w:pPr>
    </w:p>
    <w:p>
      <w:pPr>
        <w:jc w:val="both"/>
        <w:ind w:left="40" w:right="120"/>
        <w:spacing w:after="0" w:line="266" w:lineRule="auto"/>
        <w:rPr>
          <w:sz w:val="20"/>
          <w:szCs w:val="20"/>
          <w:color w:val="auto"/>
        </w:rPr>
      </w:pPr>
      <w:r>
        <w:rPr>
          <w:rFonts w:ascii="Times New Roman" w:cs="Times New Roman" w:eastAsia="Times New Roman" w:hAnsi="Times New Roman"/>
          <w:sz w:val="18"/>
          <w:szCs w:val="18"/>
          <w:color w:val="auto"/>
        </w:rPr>
        <w:t>Revenue recognized for the three month period ended July 27, 2024 that was included in customer advances balances as of April 30, 2024 was $5,486,000 and revenue recognized for the three month period ended July 29, 2023 that was included in customer advances balances as of April 30, 2023 was $2,538,000.</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Cost to Fulfill a Contract with a Customer</w:t>
      </w:r>
    </w:p>
    <w:p>
      <w:pPr>
        <w:spacing w:after="0" w:line="229" w:lineRule="exact"/>
        <w:rPr>
          <w:sz w:val="20"/>
          <w:szCs w:val="20"/>
          <w:color w:val="auto"/>
        </w:rPr>
      </w:pPr>
    </w:p>
    <w:p>
      <w:pPr>
        <w:ind w:left="40" w:right="340"/>
        <w:spacing w:after="0" w:line="289" w:lineRule="auto"/>
        <w:rPr>
          <w:sz w:val="20"/>
          <w:szCs w:val="20"/>
          <w:color w:val="auto"/>
        </w:rPr>
      </w:pPr>
      <w:r>
        <w:rPr>
          <w:rFonts w:ascii="Times New Roman" w:cs="Times New Roman" w:eastAsia="Times New Roman" w:hAnsi="Times New Roman"/>
          <w:sz w:val="17"/>
          <w:szCs w:val="17"/>
          <w:color w:val="auto"/>
        </w:rPr>
        <w:t>The Company recognizes assets for the costs to fulfill a contract with a customer if the costs are specifically identifiable, generate or enhance resources used to satisfy future performance obligations, and are expected to be recovered in accordance with ASC 340-40 Other Assets and Deferred Costs: Contracts with Customers. The assets related to costs to</w:t>
      </w:r>
    </w:p>
    <w:p>
      <w:pPr>
        <w:sectPr>
          <w:pgSz w:w="11900" w:h="16838" w:orient="portrait"/>
          <w:cols w:equalWidth="0" w:num="1">
            <w:col w:w="9060"/>
          </w:cols>
          <w:pgMar w:left="1440" w:top="513" w:right="1399" w:bottom="1440" w:gutter="0" w:footer="0" w:header="0"/>
        </w:sectPr>
      </w:pP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39"/>
        <w:spacing w:after="0" w:line="266" w:lineRule="auto"/>
        <w:rPr>
          <w:sz w:val="20"/>
          <w:szCs w:val="20"/>
          <w:color w:val="auto"/>
        </w:rPr>
      </w:pPr>
      <w:r>
        <w:rPr>
          <w:rFonts w:ascii="Times New Roman" w:cs="Times New Roman" w:eastAsia="Times New Roman" w:hAnsi="Times New Roman"/>
          <w:sz w:val="18"/>
          <w:szCs w:val="18"/>
          <w:color w:val="auto"/>
        </w:rPr>
        <w:t>fulfill contracts with customers are capitalized and amortized over the period the related performance obligations are satisfied. As of July 27, 2024 the Company’s costs to fulfill were $4,396,000, and as of April 30, 2024, the Company’s costs to fulfill were not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assess performance. As of July 27, 2024, the Company’s CODM, the Chief Executive Officer, makes operating decisions, assesses performance and makes resource allocation decisions, including the allocation for research and development (“R&amp;D”). Accordingly, the Company identifies three reportable segments. Refer to Note 18—Segments for further details.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16"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expense, net. Management determines the appropriate classification of securities at the time of purchase and reevaluates such designation as of each balance sheet date.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16"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and retentions, and accounts payable approximate cost due to the short period of time to maturity.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16"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3" w:lineRule="exact"/>
        <w:rPr>
          <w:sz w:val="20"/>
          <w:szCs w:val="20"/>
          <w:color w:val="auto"/>
        </w:rPr>
      </w:pPr>
    </w:p>
    <w:p>
      <w:pPr>
        <w:ind w:left="40" w:right="399"/>
        <w:spacing w:after="0" w:line="272" w:lineRule="auto"/>
        <w:rPr>
          <w:sz w:val="20"/>
          <w:szCs w:val="20"/>
          <w:color w:val="auto"/>
        </w:rPr>
      </w:pPr>
      <w:r>
        <w:rPr>
          <w:rFonts w:ascii="Times New Roman" w:cs="Times New Roman" w:eastAsia="Times New Roman" w:hAnsi="Times New Roman"/>
          <w:sz w:val="17"/>
          <w:szCs w:val="17"/>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actual rates unless collectability is not reasonably assured. At July 27, 2024 and April 30, 2024, the Company had no reserve for incurred cost claim audits.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excluding shares of unvested restricted stock.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reconciliation of basic to diluted shares is as follows (in thousands except share data):</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27, 2024</w:t>
            </w:r>
          </w:p>
        </w:tc>
        <w:tc>
          <w:tcPr>
            <w:tcW w:w="1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 for basic earnings per share: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27,959,692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26,088,277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employee stock options, restricted stock and restricted stock units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28,281,827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26,179,042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Potentially dilutive shares not included in the computation of diluted weighted-average common shares because their effect would have been anti-dilutive were 72 for the three months ended July 27, 2024. Potentially dilutive shares not included in the computation of diluted weighted-average common shares because their effect would have been anti-dilutive were 738 for the three months ended July 29, 2023.</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ASU 2023-07 improves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disclosures about significant segment expenses reported to the CODM. ASU 2023-07 also requires all segment profit or loss and assets disclosures to be provided on an annual and interim basis. The new standard is effective for fiscal years beginning after December 15, 2023 and interim periods within fiscal years beginning after December 15, 2024, with early adoption permitted. ASU 2023-07 is adopted retrospectively. The Company will include the required enhanced disclosures in its Annual Report on Form 10-K for the fiscal year ending April 30, 2025.</w:t>
      </w:r>
    </w:p>
    <w:p>
      <w:pPr>
        <w:spacing w:after="0" w:line="183"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updates to the rate reconciliation, income taxes paid and other disclosures. The new standard is effective for fiscal years beginning after December 15, 2024 and interim periods within fiscal years beginning after December 15, 2025, with early adoption permitted. ASU 2023-09 is adopted retrospectively. The Company is evaluating the potential impact of this adoption on its consolidated financial statements.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securities and warrants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available-for-sale securities investments</w:t>
            </w:r>
          </w:p>
        </w:tc>
        <w:tc>
          <w:tcPr>
            <w:tcW w:w="1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limited partnership funds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7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Equity securities and warrants are measured at fair value with net unrealized gains and losses from changes in the fair value recognized in other expense, net. Unrealized loss recorded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7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July 27, 2024</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July 29, 2023</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recognized during the period on equity securities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loss recognized during the period on equity securities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sold during the period</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47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loss recognized during the period on equity</w:t>
            </w:r>
          </w:p>
        </w:tc>
        <w:tc>
          <w:tcPr>
            <w:tcW w:w="38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21"/>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still held at the reporting date</w:t>
            </w:r>
          </w:p>
        </w:tc>
        <w:tc>
          <w:tcPr>
            <w:tcW w:w="380" w:type="dxa"/>
            <w:vAlign w:val="bottom"/>
            <w:gridSpan w:val="2"/>
            <w:vMerge w:val="continue"/>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76" w:lineRule="exact"/>
        <w:rPr>
          <w:sz w:val="20"/>
          <w:szCs w:val="20"/>
          <w:color w:val="auto"/>
        </w:rPr>
      </w:pPr>
    </w:p>
    <w:p>
      <w:pPr>
        <w:ind w:left="360" w:right="579" w:hanging="316"/>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360" w:right="239" w:hanging="316"/>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75" w:lineRule="exact"/>
        <w:rPr>
          <w:rFonts w:ascii="Times New Roman" w:cs="Times New Roman" w:eastAsia="Times New Roman" w:hAnsi="Times New Roman"/>
          <w:sz w:val="18"/>
          <w:szCs w:val="18"/>
          <w:color w:val="auto"/>
        </w:rPr>
      </w:pPr>
    </w:p>
    <w:p>
      <w:pPr>
        <w:ind w:left="340" w:hanging="296"/>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Company’s financial assets measured at fair value on a recurring basis at July 27, 2024, were as follows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July 27, 2024.</w:t>
      </w:r>
    </w:p>
    <w:p>
      <w:pPr>
        <w:spacing w:after="0" w:line="225" w:lineRule="exact"/>
        <w:rPr>
          <w:sz w:val="20"/>
          <w:szCs w:val="20"/>
          <w:color w:val="auto"/>
        </w:rPr>
      </w:pPr>
    </w:p>
    <w:p>
      <w:pPr>
        <w:ind w:left="40" w:right="85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2024, were as follows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April 30,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September 12, 2022, the Company invested $5,000,000 and acquired 500,000 shares and 500,000 privately placed,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redeemable warrants of Amprius Technologies, Inc. The privately placed, redeemable warrants have an exercise price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$12.50 and redemption price of $20.00. The Company measures the fair value of the privately placed, redeemable warrants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using the quoted market price of the public warrants which have an exercise price of $11.50 and a redemption price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$18.00 and classifies the warrants as a level 2 fair value measurement.</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r>
      <w:tr>
        <w:trPr>
          <w:trHeight w:val="128"/>
        </w:trPr>
        <w:tc>
          <w:tcPr>
            <w:tcW w:w="6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59,829</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65,618</w:t>
            </w:r>
          </w:p>
        </w:tc>
        <w:tc>
          <w:tcPr>
            <w:tcW w:w="140" w:type="dxa"/>
            <w:vAlign w:val="bottom"/>
            <w:shd w:val="clear" w:color="auto" w:fill="CCEEFF"/>
          </w:tcPr>
          <w:p>
            <w:pPr>
              <w:spacing w:after="0"/>
              <w:rPr>
                <w:sz w:val="18"/>
                <w:szCs w:val="18"/>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176,068</w:t>
            </w: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(25,900)</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143,835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150,168</w:t>
            </w:r>
          </w:p>
        </w:tc>
        <w:tc>
          <w:tcPr>
            <w:tcW w:w="14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Equity Method Investments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in Limited Partnership Funds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technologies and start-up companies serving defense and industrial markets. Under the terms of the limited partnership</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agreement, the Company contributed a total of $10,000,000 during the fiscal years ended April 30, 2021 and 2022,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there were no further contribution commitments to this fund as of April 30, 2022. In March 2022, the Company entered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into a limited partnership agreement with a second limited partnership fund also focusing on highly relevant technologies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start-up companies serving defense and industrial markets. Under the terms of the limited partnership agreement,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Company is committed to contributions totaling $20,000,000 over an expected five year period. During the fiscal year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ended April 30, 2024 and 2023, the Company made total contributions of $3,074,000 and $5,778,000, respectively. During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three months ended July 27, 2024, the Company made a contribution of $1,183,000. Under the terms of the limited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partnership agreement, the Company has committed to make additional capital contributions of $9,965,000 to the fund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expected to be paid over the next three fiscal years. The Company accounts for investments in limited partnerships as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equity method investments as the Company is deemed to have significant influence when it holds more than a minor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interest. For the three months ended July 27, 2024 and July 29, 2023, the Company recorded its ownership percentage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net gains (losses) of the limited partnerships, or $65,000 and $(21,000), respectively, in equity method investment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(loss), net of $0 tax in the unaudited condensed consolidated statements of operations, respectively. At July 27,</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2024 and April 30, 2024, the carrying value of the investments in the limited partnership funds of $21,181,000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$19,933,000, respectively, was recorded in long-term investments on the unaudited condensed consolidated balance sheet.</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 in Altoy</w:t>
      </w:r>
    </w:p>
    <w:p>
      <w:pPr>
        <w:spacing w:after="0" w:line="229"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On September 15, 2021, the Company entered into a Share Sale and Purchase Agreement with Toygun whereby the Company sold 35% of the common shares of Altoy to Toygun. On October 14, 2022, the company sold an additional 35% of the common shares of Altoy to Toygun. As a result of the sales, the Company decreased its interest in Altoy from 85% to 15%. The Company no longer controls Altoy, and therefore, has deconsolidated Altoy in the Company’s unaudited condensed consolidated financial statements. The Company maintains significant influence, accounts for its investment in Altoy as an equity method investment and records its proportion of any gains or losses of Altoy in equity method investment loss, net of tax. For the three months ended July 27, 2024 and July 29, 2023, the Company recorded $0 for its ownership percentage of the net activity of Altoy in equity method investment income (loss), net of tax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unaudited condensed consolidated statements of operations. At July 27, 2024 and April 30, 2024, the carrying value of the investment in Altoy of $152,000 was recorded in other assets on the unaudited condensed consolidated balance sheet.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Warranty Reserves</w:t>
      </w:r>
    </w:p>
    <w:p>
      <w:pPr>
        <w:spacing w:after="0" w:line="162"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8"/>
          <w:szCs w:val="18"/>
          <w:color w:val="auto"/>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months ended July 27, 2024 and July 29, 2023, respectively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July 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Intangibles, net</w:t>
            </w: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intangibles are as follows (in thousands):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55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101,163</w:t>
            </w:r>
          </w:p>
        </w:tc>
        <w:tc>
          <w:tcPr>
            <w:tcW w:w="2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185,097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(117,576)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(112,624)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3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67,521</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72,224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59"/>
        <w:spacing w:after="0" w:line="312" w:lineRule="auto"/>
        <w:rPr>
          <w:sz w:val="20"/>
          <w:szCs w:val="20"/>
          <w:color w:val="auto"/>
        </w:rPr>
      </w:pPr>
      <w:r>
        <w:rPr>
          <w:rFonts w:ascii="Times New Roman" w:cs="Times New Roman" w:eastAsia="Times New Roman" w:hAnsi="Times New Roman"/>
          <w:sz w:val="17"/>
          <w:szCs w:val="17"/>
          <w:color w:val="auto"/>
        </w:rPr>
        <w:t>The weighted average amortization period at each of July 27, 2024 and April 30, 2024 was three years. Amortization expense for the three months ended July 27, 2024 and July 29, 2023 was $4,774,000 and $3,030,000 respectively.</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Estimated amortization expense for the next five years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tcBorders>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w w:val="94"/>
              </w:rPr>
              <w:t>2025</w:t>
            </w:r>
          </w:p>
        </w:tc>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w w:val="94"/>
              </w:rPr>
              <w:t>2026</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w w:val="94"/>
              </w:rPr>
              <w:t>2027</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w w:val="94"/>
              </w:rPr>
              <w:t>2028</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right"/>
              <w:ind w:right="1910"/>
              <w:spacing w:after="0"/>
              <w:rPr>
                <w:sz w:val="20"/>
                <w:szCs w:val="20"/>
                <w:color w:val="auto"/>
              </w:rPr>
            </w:pPr>
            <w:r>
              <w:rPr>
                <w:rFonts w:ascii="Times New Roman" w:cs="Times New Roman" w:eastAsia="Times New Roman" w:hAnsi="Times New Roman"/>
                <w:sz w:val="18"/>
                <w:szCs w:val="18"/>
                <w:color w:val="auto"/>
                <w:w w:val="94"/>
              </w:rPr>
              <w:t>2029</w:t>
            </w:r>
          </w:p>
        </w:tc>
        <w:tc>
          <w:tcPr>
            <w:tcW w:w="5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400" w:type="dxa"/>
            <w:vAlign w:val="bottom"/>
            <w:vMerge w:val="restart"/>
          </w:tcPr>
          <w:p>
            <w:pPr>
              <w:jc w:val="right"/>
              <w:ind w:right="31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36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3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by segment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UxS</w:t>
            </w:r>
          </w:p>
        </w:tc>
        <w:tc>
          <w:tcPr>
            <w:tcW w:w="14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LMS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MW</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2024</w:t>
            </w:r>
          </w:p>
        </w:tc>
        <w:tc>
          <w:tcPr>
            <w:tcW w:w="1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$ 256,398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275,652</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Change to goodwill</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09"/>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27, 2024</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$ 256,678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275,932</w:t>
            </w:r>
          </w:p>
        </w:tc>
      </w:tr>
      <w:tr>
        <w:trPr>
          <w:trHeight w:val="20"/>
        </w:trPr>
        <w:tc>
          <w:tcPr>
            <w:tcW w:w="3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419"/>
        <w:spacing w:after="0" w:line="258" w:lineRule="auto"/>
        <w:rPr>
          <w:sz w:val="20"/>
          <w:szCs w:val="20"/>
          <w:color w:val="auto"/>
        </w:rPr>
      </w:pPr>
      <w:r>
        <w:rPr>
          <w:rFonts w:ascii="Times New Roman" w:cs="Times New Roman" w:eastAsia="Times New Roman" w:hAnsi="Times New Roman"/>
          <w:sz w:val="18"/>
          <w:szCs w:val="18"/>
          <w:color w:val="auto"/>
        </w:rPr>
        <w:t>The UxS segment includes goodwill from the acquisitions of Pulse Aerospace, LLC (“Pulse”), Arcturus UAV, Inc. (“Arcturus”), Telerob, Planck and Tomahawk acquisitions. The goodwill change to UxS is attributable to the Telerob acquisition recorded in Euros and translated to U.S. dollars at each reporting date. The MW segment includes goodwill from the purchase of certain assets of Intelligent Systems Group business segment (“ISG”) of Progeny Systems Corporation.</w:t>
      </w:r>
    </w:p>
    <w:p>
      <w:pPr>
        <w:spacing w:after="0" w:line="183"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The estimated fair value of the MUAS reporting unit, the renamed Arcturus acquisition included in the UxS reportable segment, does not substantially exceed its carrying value due to the impairment recorded during the fourth quarter ended April 30, 2023. The fair value of the MUAS reporting unit exceeded its carrying value by 10% as of January 28, 2024, the date of the most recent annual goodwill impairment test. Fair value determinations utilized in the quantitative goodwill impairment test require considerable judgment and are sensitive to changes in underlying assumptions, estimates, and market factors. Estimating the fair value of individual reporting units requires the Company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the Company’s ability to obtain contracts from the U.S. Department of Defense and foreign allied nations and negotiate the estimated pricing are considered the most significant, sensitive assumptions. If current expectations of future growth rates and margins are not met, if market factors outside of the Company’s control, such as discount rates, income tax rates, or inflation, change, or if management’s expectations or plans otherwise change, including updates to long-term operating plans, then the MUAS reporting unit goodwill may become impaired in the future. Accordingly, the MUAS reporting unit is considered at an increased risk of failing future quantitative goodwill impairment tests. The MUAS reporting unit has a goodwill balance of $135,774,000 as of July 27, 2024. During the most recent annual impairment test during the fourth quarter of fiscal year 2024, the estimated fair value of all reporting units, other than MUAS, substantially exceeded their carrying value.</w:t>
      </w:r>
    </w:p>
    <w:p>
      <w:pPr>
        <w:spacing w:after="0" w:line="193"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As of July 27, 2024, the company has not identified any events or circumstances that could trigger an impairment review prior to the Company’s annual impairment test. The annual impairment test for the fiscal year ending April 30, 2025 will be performed during the fourth quarter. The intangibles included in the MUAS reporting unit of $12,771,000 as of July 27, 2024 will also be evaluated for potential impairment during the fourth quarter.</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9"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In connection with the consummation of the acquisition of Arcturus, a California corporation, pursuant to a Stock Purchase Agreement with Arcturus and each of the shareholders and other equity interest holders of Arcturus, to purchase 100% of the issued and outstanding equity of Arcturus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87"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The Credit Agreement and its associated Security and Pledge Agreement set forth the terms and conditions for (i) a five-year $100,000,000 revolving credit facility, which includes a $25,000,000 sublimit for the issuance of standby and commercial letters of credit (the “Revolving Facility”), and (ii) a five-year amortized $200,000,000 term A loan (the “Term Loan Facility”, and together with the Revolving Facility, the “Credit Facilities”). Certain existing letters of credit issued by JPMorgan Chase Bank were reserved for under the Revolving Facility at closing and remain outstanding under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The Company’s ability to borrow under the Revolving Facility is reduced by outstanding letters of credit of $7,508,000 as of July 27, 2024. As of July 27, 2024, approximately $92,492,000 was available under the Revolving Facility. Borrowings under the Revolving Facility may be used for working capital and other general corporate purposes.</w:t>
      </w:r>
    </w:p>
    <w:p>
      <w:pPr>
        <w:spacing w:after="0" w:line="188" w:lineRule="exact"/>
        <w:rPr>
          <w:sz w:val="20"/>
          <w:szCs w:val="20"/>
          <w:color w:val="auto"/>
        </w:rPr>
      </w:pPr>
    </w:p>
    <w:p>
      <w:pPr>
        <w:ind w:left="40" w:right="239"/>
        <w:spacing w:after="0" w:line="258" w:lineRule="auto"/>
        <w:rPr>
          <w:sz w:val="20"/>
          <w:szCs w:val="20"/>
          <w:color w:val="auto"/>
        </w:rPr>
      </w:pPr>
      <w:r>
        <w:rPr>
          <w:rFonts w:ascii="Times New Roman" w:cs="Times New Roman" w:eastAsia="Times New Roman" w:hAnsi="Times New Roman"/>
          <w:sz w:val="18"/>
          <w:szCs w:val="18"/>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83"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83"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spacing w:after="0" w:line="189"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 On June 6, 2023, the Company entered into a Second Amendment to Credit Agreement relating to its existing credit Agreement which increased the sublimit from $10,000,000 to $25,000,000.</w:t>
      </w:r>
    </w:p>
    <w:p>
      <w:pPr>
        <w:spacing w:after="0" w:line="18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Credit Agreement, as amended by the First Amendment to Credit Agreement and Second Amendment to the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89"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 As of July 27, 2024, the Company is in compliance with all amended covenants.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8"/>
              </w:rPr>
              <w:t>July 27,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26"/>
        </w:trPr>
        <w:tc>
          <w:tcPr>
            <w:tcW w:w="6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8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43"/>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43"/>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43"/>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issuance costs–term loans</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costs–term loans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costs–revolving credit facility</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441</w:t>
            </w:r>
          </w:p>
        </w:tc>
        <w:tc>
          <w:tcPr>
            <w:tcW w:w="200" w:type="dxa"/>
            <w:vAlign w:val="bottom"/>
            <w:vMerge w:val="continue"/>
          </w:tcPr>
          <w:p>
            <w:pPr>
              <w:spacing w:after="0"/>
              <w:rPr>
                <w:sz w:val="17"/>
                <w:szCs w:val="17"/>
                <w:color w:val="auto"/>
              </w:rPr>
            </w:pPr>
          </w:p>
        </w:tc>
        <w:tc>
          <w:tcPr>
            <w:tcW w:w="18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4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43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Future contractual long-term debt principal payments at July 27, 2024 were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 on the unaudited condensed consolidated balance sheet.</w:t>
      </w:r>
    </w:p>
    <w:p>
      <w:pPr>
        <w:spacing w:after="0" w:line="180"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seven years, some of which may include options to extend the lease for up to nine years, and some of which may include options to terminate the lease after three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8"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19"/>
        <w:spacing w:after="0" w:line="282" w:lineRule="auto"/>
        <w:rPr>
          <w:sz w:val="20"/>
          <w:szCs w:val="20"/>
          <w:color w:val="auto"/>
        </w:rPr>
      </w:pPr>
      <w:r>
        <w:rPr>
          <w:rFonts w:ascii="Times New Roman" w:cs="Times New Roman" w:eastAsia="Times New Roman" w:hAnsi="Times New Roman"/>
          <w:sz w:val="18"/>
          <w:szCs w:val="18"/>
          <w:color w:val="auto"/>
        </w:rPr>
        <w:t>as the commencement date, which is generally when the Company is given the right of access to the space and begins to make improvements in preparation for intended use.</w:t>
      </w:r>
    </w:p>
    <w:p>
      <w:pPr>
        <w:spacing w:after="0" w:line="162"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The Company does not have any material restrictions or covenants in its lease agreements, sale-leaseback transactions, land easements or residual value guarantees.</w:t>
      </w:r>
    </w:p>
    <w:p>
      <w:pPr>
        <w:spacing w:after="0" w:line="162"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0"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The components of lease costs recorded in cost of sales and selling, general and administrative (“SG&amp;A”) expense were as follows (in thousands):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354"/>
              <w:spacing w:after="0" w:line="118" w:lineRule="exact"/>
              <w:rPr>
                <w:sz w:val="20"/>
                <w:szCs w:val="20"/>
                <w:color w:val="auto"/>
              </w:rPr>
            </w:pPr>
            <w:r>
              <w:rPr>
                <w:rFonts w:ascii="Times New Roman" w:cs="Times New Roman" w:eastAsia="Times New Roman" w:hAnsi="Times New Roman"/>
                <w:sz w:val="13"/>
                <w:szCs w:val="13"/>
                <w:b w:val="1"/>
                <w:bCs w:val="1"/>
                <w:color w:val="auto"/>
              </w:rPr>
              <w:t>July 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lease information was as follows:</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14"/>
              <w:spacing w:after="0" w:line="118" w:lineRule="exact"/>
              <w:rPr>
                <w:sz w:val="20"/>
                <w:szCs w:val="20"/>
                <w:color w:val="auto"/>
              </w:rPr>
            </w:pPr>
            <w:r>
              <w:rPr>
                <w:rFonts w:ascii="Times New Roman" w:cs="Times New Roman" w:eastAsia="Times New Roman" w:hAnsi="Times New Roman"/>
                <w:sz w:val="13"/>
                <w:szCs w:val="13"/>
                <w:b w:val="1"/>
                <w:bCs w:val="1"/>
                <w:color w:val="auto"/>
              </w:rPr>
              <w:t>July 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months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32"/>
        </w:trPr>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July 27, 2024 were as follows (in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35,949</w:t>
            </w:r>
          </w:p>
        </w:tc>
        <w:tc>
          <w:tcPr>
            <w:tcW w:w="0" w:type="dxa"/>
            <w:vAlign w:val="bottom"/>
          </w:tcPr>
          <w:p>
            <w:pPr>
              <w:spacing w:after="0"/>
              <w:rPr>
                <w:sz w:val="1"/>
                <w:szCs w:val="1"/>
                <w:color w:val="auto"/>
              </w:rPr>
            </w:pP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30,514</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Accumulated Other Comprehensive Loss and Reclassifications Adjustments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and adjustments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right"/>
              <w:ind w:right="338"/>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right"/>
              <w:ind w:right="358"/>
              <w:spacing w:after="0" w:line="118" w:lineRule="exact"/>
              <w:rPr>
                <w:sz w:val="20"/>
                <w:szCs w:val="20"/>
                <w:color w:val="auto"/>
              </w:rPr>
            </w:pPr>
            <w:r>
              <w:rPr>
                <w:rFonts w:ascii="Times New Roman" w:cs="Times New Roman" w:eastAsia="Times New Roman" w:hAnsi="Times New Roman"/>
                <w:sz w:val="13"/>
                <w:szCs w:val="13"/>
                <w:b w:val="1"/>
                <w:bCs w:val="1"/>
                <w:color w:val="auto"/>
              </w:rPr>
              <w:t>July 29,</w:t>
            </w:r>
          </w:p>
        </w:tc>
      </w:tr>
      <w:tr>
        <w:trPr>
          <w:trHeight w:val="173"/>
        </w:trPr>
        <w:tc>
          <w:tcPr>
            <w:tcW w:w="60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April 30, 2024 and April 30, 2023, respectively</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16"/>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July 27, 2024 and July 29, 2023, respectively</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Customer-Funded Research &amp; Development</w:t>
      </w:r>
    </w:p>
    <w:p>
      <w:pPr>
        <w:spacing w:after="0" w:line="216"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$18,559,000 for the three months ended July 27, 2024. Revenue from customer-funded R&amp;D was approximately $24,383,000 for the three months ended July 29, 2023.</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Long-Term Incentive Awards</w:t>
      </w:r>
    </w:p>
    <w:p>
      <w:pPr>
        <w:spacing w:after="0" w:line="229" w:lineRule="exact"/>
        <w:rPr>
          <w:sz w:val="20"/>
          <w:szCs w:val="20"/>
          <w:color w:val="auto"/>
        </w:rPr>
      </w:pPr>
    </w:p>
    <w:p>
      <w:pPr>
        <w:ind w:left="40" w:right="79"/>
        <w:spacing w:after="0" w:line="268" w:lineRule="auto"/>
        <w:rPr>
          <w:sz w:val="20"/>
          <w:szCs w:val="20"/>
          <w:color w:val="auto"/>
        </w:rPr>
      </w:pPr>
      <w:r>
        <w:rPr>
          <w:rFonts w:ascii="Times New Roman" w:cs="Times New Roman" w:eastAsia="Times New Roman" w:hAnsi="Times New Roman"/>
          <w:sz w:val="17"/>
          <w:szCs w:val="17"/>
          <w:color w:val="auto"/>
        </w:rPr>
        <w:t>During the three months ended July 27, 2024, the Company granted awards under its 2021 Equity Incentive Plan (the “2021 Plan”) to key employees (“Fiscal 2025 LTIP”). Awards under the Fiscal 2025 LTIP consist of: (i) time-based restricted stock awards and time-based restricted stock units, which vest in equal tranches in July 2025, July 2026 and July 2027, and (ii) performance-based restricted stock units (“PRSUs”), which vest based on the Company’s achievement of revenue and non-GAAP adjusted earnings before interest, taxes, depreciation and amortization (“adjusted EBITDA”) targets for the three-year period ending April 30, 2027.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months ended July 27, 2024, the Company recorded $306,000 of compensation expense related to the Fiscal 2025 LTIP. The Company recorded no compensation expense related to the Fiscal 2025 LTIP for the three months ended July 29, 2023. At July 27, 2024, the maximum compensation expense that may be recorded for the performance-based portion of the Fiscal 2025 LTIP is $18,207,000.</w:t>
      </w:r>
    </w:p>
    <w:p>
      <w:pPr>
        <w:spacing w:after="0" w:line="400"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During the three months ended July 29, 2023, the Company granted awards under the 2021 Plan to key employees (“Fiscal 2024 LTIP”). Awards under the Fiscal 2024 LTIP consist of: (i) time-based restricted stock awards and time-based restricted stock units, which vest in equal tranches in July 2024, July 2025 and July 2026, and (ii) PRSUs, which vest based on the Company’s achievement of revenue and non-GAAP operating income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months ended July 27, 2024 and July 29, 2023, the Company recorded $1,112,000 and $634,000 of compensation expense related to the Fiscal 2024 LTIP, respectively. At July 27, 2024, the maximum compensation expense that may be recorded for the performance-based portion of the Fiscal 2024 LTIP is $15,836,000.</w:t>
      </w:r>
    </w:p>
    <w:p>
      <w:pPr>
        <w:spacing w:after="0" w:line="187"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30, 2022, the Company granted awards under the 2021 Plan to key employees (“Fiscal 2023 LTIP”). Awards under the Fiscal 2023 LTIP consist of: (i) time-based restricted stock awards and time-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based restricted stock units, which vest in equal tranches in July 2023, July 2024 and July 2025, and (ii) PRSUs, which vest based on the Company’s achievement of revenue and non-GAAP adjusted EBITDA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months ended July 27, 2024 and July 29, 2023, the Company recorded $865,000, and $661,000 of compensation expense related to the Fiscal 2023 LTIP, respectively. At July 27, 2024, the maximum compensation expense that may be recorded for the performance-based portion of the Fiscal 2023 LTIP is $11,611,000.</w:t>
      </w:r>
    </w:p>
    <w:p>
      <w:pPr>
        <w:spacing w:after="0" w:line="192" w:lineRule="exact"/>
        <w:rPr>
          <w:sz w:val="20"/>
          <w:szCs w:val="20"/>
          <w:color w:val="auto"/>
        </w:rPr>
      </w:pPr>
    </w:p>
    <w:p>
      <w:pPr>
        <w:ind w:left="40" w:right="179"/>
        <w:spacing w:after="0" w:line="255" w:lineRule="auto"/>
        <w:rPr>
          <w:sz w:val="20"/>
          <w:szCs w:val="20"/>
          <w:color w:val="auto"/>
        </w:rPr>
      </w:pPr>
      <w:r>
        <w:rPr>
          <w:rFonts w:ascii="Times New Roman" w:cs="Times New Roman" w:eastAsia="Times New Roman" w:hAnsi="Times New Roman"/>
          <w:sz w:val="18"/>
          <w:szCs w:val="18"/>
          <w:color w:val="auto"/>
        </w:rPr>
        <w:t>During the three months ended July 31, 2021, the Company also granted awards under the Restated 2006 Plan to key employees (“Fiscal 2022 LTIP”). Awards under the Fiscal 2021 LTIP consist of: (i) time-based restricted stock awards, which vest in equal tranches in July 2022, July 2023 and July 2024, and (ii) PRSUs, which vest based on the Company’s achievement of revenue and operating income targets for the three-year period ending April 30, 2024. During the three months ended July 27, 2024, the Company issued a total of 15,427 fully-vested shares of the Company’s common stock to settle the PRSUs in the Fiscal 2022 LTIP. For the three months ended July 27, 2024 and July 29, 2023, the Company recorded no compensation expense and $132,000 of compensation expense related to the Fiscal 2021 LTIP, respectively.</w:t>
      </w:r>
    </w:p>
    <w:p>
      <w:pPr>
        <w:spacing w:after="0" w:line="189"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16"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For the three months ended July 27, 2024, the Company recorded a provision for income taxes of $1,485,000, yielding an effective tax rate of 6.6%. For the three months ended July 29, 2023, the Company recorded a provision for income taxes of $1,314,000 yielding an effective tax rate of 5.7%. The variance from statutory rates for the three months ended July 27, 2024 was primarily due to foreign-derived intangible income (“FDII”) deductions, federal R&amp;D credits and excess tax benefits from the exercise of stock options and vesting of equity awards. The variance from statutory rates for the three months ended July 29, 2023 was primarily due to FDII deductions and federal R&amp;D credits.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Share Repurchase Plan and Issuances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September 8, 2022 the Company filed an S-3 shelf registration statement to offer and sell shares of the Company’s</w:t>
      </w:r>
    </w:p>
    <w:p>
      <w:pPr>
        <w:ind w:left="40"/>
        <w:spacing w:after="0" w:line="196" w:lineRule="auto"/>
        <w:rPr>
          <w:sz w:val="20"/>
          <w:szCs w:val="20"/>
          <w:color w:val="auto"/>
        </w:rPr>
      </w:pPr>
      <w:r>
        <w:rPr>
          <w:rFonts w:ascii="Times New Roman" w:cs="Times New Roman" w:eastAsia="Times New Roman" w:hAnsi="Times New Roman"/>
          <w:sz w:val="18"/>
          <w:szCs w:val="18"/>
          <w:color w:val="auto"/>
        </w:rPr>
        <w:t>common stock, including 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 2022, with Jefferies LLC relating to the proposed offer and sale of shares of the Company’s common stock having an</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aggregate offering price of up to $200,000,000 from time to time through Jefferies LLC as the sales agent. There were no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 sold during the three months ended July 29, 2023. During the fiscal year ended April 30, 2024, the Company</w:t>
      </w:r>
    </w:p>
    <w:p>
      <w:pPr>
        <w:ind w:left="40"/>
        <w:spacing w:after="0" w:line="181" w:lineRule="auto"/>
        <w:rPr>
          <w:sz w:val="20"/>
          <w:szCs w:val="20"/>
          <w:color w:val="auto"/>
        </w:rPr>
      </w:pPr>
      <w:r>
        <w:rPr>
          <w:rFonts w:ascii="Times New Roman" w:cs="Times New Roman" w:eastAsia="Times New Roman" w:hAnsi="Times New Roman"/>
          <w:sz w:val="18"/>
          <w:szCs w:val="18"/>
          <w:color w:val="auto"/>
        </w:rPr>
        <w:t>completed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and the Company sold 807,370 shares, for total gross proceeds of</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$91,313,000, total proceeds received of $88,574,000, net of commission expense, and $88,437,000, net of equity issuance</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costs.</w:t>
      </w:r>
    </w:p>
    <w:p>
      <w:pPr>
        <w:spacing w:after="0" w:line="203" w:lineRule="exact"/>
        <w:rPr>
          <w:sz w:val="20"/>
          <w:szCs w:val="20"/>
          <w:color w:val="auto"/>
        </w:rPr>
      </w:pPr>
    </w:p>
    <w:p>
      <w:pPr>
        <w:ind w:left="40" w:right="7059" w:firstLine="4"/>
        <w:spacing w:after="0" w:line="532" w:lineRule="auto"/>
        <w:tabs>
          <w:tab w:leader="none" w:pos="31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Tomahawk Acquisition</w:t>
      </w:r>
    </w:p>
    <w:p>
      <w:pPr>
        <w:spacing w:after="0" w:line="1" w:lineRule="exact"/>
        <w:rPr>
          <w:sz w:val="20"/>
          <w:szCs w:val="20"/>
          <w:color w:val="auto"/>
        </w:rPr>
      </w:pPr>
    </w:p>
    <w:p>
      <w:pPr>
        <w:ind w:left="40" w:right="319"/>
        <w:spacing w:after="0" w:line="281" w:lineRule="auto"/>
        <w:rPr>
          <w:sz w:val="20"/>
          <w:szCs w:val="20"/>
          <w:color w:val="auto"/>
        </w:rPr>
      </w:pPr>
      <w:r>
        <w:rPr>
          <w:rFonts w:ascii="Times New Roman" w:cs="Times New Roman" w:eastAsia="Times New Roman" w:hAnsi="Times New Roman"/>
          <w:sz w:val="17"/>
          <w:szCs w:val="17"/>
          <w:color w:val="auto"/>
        </w:rPr>
        <w:t>On September 15, 2023, the Company closed its acquisition of Tomahawk Robotics, Inc., a leader in AI-enabled robotic control systems. Pursuant to the merger agreement, the Company acquired 100% of Tomahawk equity for an aggregate purchase price of $134,467,000 consisting of 985,999 shares of restricted common stock of the Company valued at $109,820,000 and $27,205,000 cash-on-hand, net of $3,048,000 cash acquired, plus a $490,000 holdback. During the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55" w:lineRule="auto"/>
        <w:rPr>
          <w:sz w:val="20"/>
          <w:szCs w:val="20"/>
          <w:color w:val="auto"/>
        </w:rPr>
      </w:pPr>
      <w:r>
        <w:rPr>
          <w:rFonts w:ascii="Times New Roman" w:cs="Times New Roman" w:eastAsia="Times New Roman" w:hAnsi="Times New Roman"/>
          <w:sz w:val="18"/>
          <w:szCs w:val="18"/>
          <w:color w:val="auto"/>
        </w:rPr>
        <w:t>fiscal year ended April 30, 2024, the holdback was decreased $100,000 as part of the working capital adjustment, and the total purchase price and goodwill, therefore, decreased by $100,000 as well. The fair value of the shares issued was the closing price on September 15, 2023, the close of the Tomahawk purchase agreement. Tomahawk is incorporated into AeroVironment’s UxS segment. The acquisition will enable deeper integration of both companies’ technology, leading to enhanced interoperability and interconnectivity of uncrewed systems through a singular platform with similar control features. The Company accounted for the acquisition under the acquisition method of accounting for business combinations.</w:t>
      </w:r>
    </w:p>
    <w:p>
      <w:pPr>
        <w:spacing w:after="0" w:line="189"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provisional allocation of the purchase price over the estimated fair value of the assets and liabilities assumed in the acquisition of Tomahawk. The purchase price allocation is expected to be finalized as soon as practicable within the measurement period, but not later than one year following the acquisition date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Unbilled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Inventories, net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Customer relationship</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Deferred tax asset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Wages and related accruals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Customer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Current operating lease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Cash consideration, net of cash acquired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Holdback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September 15,</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43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17" w:lineRule="exact"/>
        <w:rPr>
          <w:sz w:val="20"/>
          <w:szCs w:val="20"/>
          <w:color w:val="auto"/>
        </w:rPr>
      </w:pPr>
    </w:p>
    <w:p>
      <w:pPr>
        <w:ind w:left="540" w:hanging="53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2,314</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993</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2,882</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148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1,789</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1,337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39,000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4,800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2,865</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95,414</w:t>
      </w:r>
    </w:p>
    <w:p>
      <w:pPr>
        <w:spacing w:after="0" w:line="9" w:lineRule="exact"/>
        <w:rPr>
          <w:sz w:val="20"/>
          <w:szCs w:val="20"/>
          <w:color w:val="auto"/>
        </w:rPr>
      </w:pPr>
    </w:p>
    <w:p>
      <w:pPr>
        <w:ind w:left="360" w:hanging="354"/>
        <w:spacing w:after="0"/>
        <w:tabs>
          <w:tab w:leader="none" w:pos="360" w:val="left"/>
        </w:tabs>
        <w:numPr>
          <w:ilvl w:val="0"/>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153,213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43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3,788</w:t>
      </w:r>
    </w:p>
    <w:p>
      <w:pPr>
        <w:spacing w:after="0" w:line="2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620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1,648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482</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411</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855</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43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jc w:val="right"/>
        <w:ind w:right="119"/>
        <w:spacing w:after="0"/>
        <w:rPr>
          <w:sz w:val="20"/>
          <w:szCs w:val="20"/>
          <w:color w:val="auto"/>
        </w:rPr>
      </w:pPr>
      <w:r>
        <w:rPr>
          <w:rFonts w:ascii="Times New Roman" w:cs="Times New Roman" w:eastAsia="Times New Roman" w:hAnsi="Times New Roman"/>
          <w:sz w:val="18"/>
          <w:szCs w:val="18"/>
          <w:color w:val="auto"/>
        </w:rPr>
        <w:t>18,846</w:t>
      </w:r>
    </w:p>
    <w:p>
      <w:pPr>
        <w:spacing w:after="0" w:line="23" w:lineRule="exact"/>
        <w:rPr>
          <w:sz w:val="20"/>
          <w:szCs w:val="20"/>
          <w:color w:val="auto"/>
        </w:rPr>
      </w:pPr>
    </w:p>
    <w:p>
      <w:pPr>
        <w:ind w:left="360" w:hanging="354"/>
        <w:spacing w:after="0"/>
        <w:tabs>
          <w:tab w:leader="none" w:pos="36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134,367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43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60" w:hanging="354"/>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109,820</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24,157</w:t>
      </w:r>
    </w:p>
    <w:p>
      <w:pPr>
        <w:spacing w:after="0" w:line="9"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9" w:lineRule="exact"/>
        <w:rPr>
          <w:sz w:val="20"/>
          <w:szCs w:val="20"/>
          <w:color w:val="auto"/>
        </w:rPr>
      </w:pPr>
    </w:p>
    <w:p>
      <w:pPr>
        <w:ind w:left="360" w:hanging="354"/>
        <w:spacing w:after="0"/>
        <w:tabs>
          <w:tab w:leader="none" w:pos="360"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134,367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43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220" w:space="720"/>
            <w:col w:w="1079"/>
          </w:cols>
          <w:pgMar w:left="1440" w:top="513" w:right="1440" w:bottom="1440" w:gutter="0" w:footer="0" w:header="0"/>
          <w:type w:val="continuous"/>
        </w:sectPr>
      </w:pPr>
    </w:p>
    <w:p>
      <w:pPr>
        <w:spacing w:after="0" w:line="52"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Tomahawk and expected future customers in the UxS market. For income tax purposes the acquisition is treated as a stock acquisition, and none of the goodwill is expected to be deductible.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Tomahawk Supplemental Pro Forma Information (unaudited)</w:t>
      </w:r>
    </w:p>
    <w:p>
      <w:pPr>
        <w:spacing w:after="0" w:line="229"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summary presents condensed consolidated information of the Company as if the business acquisition had occurred on May 1, 2022 (in thousands):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r>
      <w:tr>
        <w:trPr>
          <w:trHeight w:val="240"/>
        </w:trPr>
        <w:tc>
          <w:tcPr>
            <w:tcW w:w="36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226"/>
        </w:trPr>
        <w:tc>
          <w:tcPr>
            <w:tcW w:w="360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Borders>
              <w:bottom w:val="single" w:sz="8" w:color="CCEEFF"/>
            </w:tcBorders>
          </w:tcPr>
          <w:p>
            <w:pPr>
              <w:spacing w:after="0"/>
              <w:rPr>
                <w:sz w:val="19"/>
                <w:szCs w:val="19"/>
                <w:color w:val="auto"/>
              </w:rPr>
            </w:pP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155,174</w:t>
            </w:r>
          </w:p>
        </w:tc>
        <w:tc>
          <w:tcPr>
            <w:tcW w:w="300" w:type="dxa"/>
            <w:vAlign w:val="bottom"/>
            <w:shd w:val="clear" w:color="auto" w:fill="CCEEFF"/>
          </w:tcPr>
          <w:p>
            <w:pPr>
              <w:spacing w:after="0"/>
              <w:rPr>
                <w:sz w:val="18"/>
                <w:szCs w:val="18"/>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300" w:type="dxa"/>
            <w:vAlign w:val="bottom"/>
          </w:tcPr>
          <w:p>
            <w:pPr>
              <w:spacing w:after="0"/>
              <w:rPr>
                <w:sz w:val="20"/>
                <w:szCs w:val="20"/>
                <w:color w:val="auto"/>
              </w:rPr>
            </w:pPr>
          </w:p>
        </w:tc>
      </w:tr>
    </w:tbl>
    <w:p>
      <w:pPr>
        <w:spacing w:after="0" w:line="179" w:lineRule="exact"/>
        <w:rPr>
          <w:sz w:val="20"/>
          <w:szCs w:val="20"/>
          <w:color w:val="auto"/>
        </w:rPr>
      </w:pPr>
    </w:p>
    <w:p>
      <w:pPr>
        <w:ind w:left="40" w:right="839"/>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jc w:val="both"/>
        <w:ind w:left="40" w:right="99"/>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30, 2022, reflecting the additional amortization that would have been charged and including the results of Tomahawk prior to acquisition.</w:t>
      </w:r>
    </w:p>
    <w:p>
      <w:pPr>
        <w:spacing w:after="0" w:line="176"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2022, nor are they indicative of results of operations that may occur in the future.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17. Pension</w:t>
      </w:r>
    </w:p>
    <w:p>
      <w:pPr>
        <w:spacing w:after="0" w:line="229"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2024.</w:t>
      </w:r>
    </w:p>
    <w:p>
      <w:pPr>
        <w:spacing w:after="0" w:line="183"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The table below includes the projected benefit obligation and fair value of plan assets as of April 30, 2024. The net fair value of plan assets (in thousands) is recorded in other assets on the unaudited condensed consolidated balance sheet.</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26"/>
        </w:trPr>
        <w:tc>
          <w:tcPr>
            <w:tcW w:w="4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0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of the plan</w:t>
            </w:r>
          </w:p>
        </w:tc>
        <w:tc>
          <w:tcPr>
            <w:tcW w:w="2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4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The projected benefit obligation includes assumptions of a discount rate of 3.9% and pension increase for in-payment benefits of 2.5% for July 27, 2024 and April 30, 2024.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2025. The Company assumed expected return on plan assets of 2.9% for July 27, 2024 and April 30,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benefit payments as of April 30, 2024 (in thousands):</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2030-2034</w:t>
            </w:r>
          </w:p>
        </w:tc>
        <w:tc>
          <w:tcPr>
            <w:tcW w:w="14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benefit payments</w:t>
            </w:r>
          </w:p>
        </w:tc>
        <w:tc>
          <w:tcPr>
            <w:tcW w:w="14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periodic benefit cost (in thousands) is recorded in interest expense, net.</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r>
      <w:tr>
        <w:trPr>
          <w:trHeight w:val="254"/>
        </w:trPr>
        <w:tc>
          <w:tcPr>
            <w:tcW w:w="42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226"/>
        </w:trPr>
        <w:tc>
          <w:tcPr>
            <w:tcW w:w="4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r>
    </w:tbl>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18. Segments</w:t>
      </w:r>
    </w:p>
    <w:p>
      <w:pPr>
        <w:spacing w:after="0" w:line="229"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 “Organization and Significant Accounting Policies.” The operating segments do not make sales to each other. Effective May 1, 2024, segment adjusted gross margin is the measure of profitability used by the CODM for purposes of making decisions about allocating resources to the segments and assessing performance. Segment adjusted gross margin is defined as gross margin before intangible amortization expense including amortization of purchase accounting adjustments. Prior period segment information has been revised to align with the new segment measure of profitability.</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Pr>
          <w:p>
            <w:pPr>
              <w:spacing w:after="0"/>
              <w:rPr>
                <w:sz w:val="13"/>
                <w:szCs w:val="13"/>
                <w:color w:val="auto"/>
              </w:rPr>
            </w:pPr>
          </w:p>
        </w:tc>
        <w:tc>
          <w:tcPr>
            <w:tcW w:w="2540" w:type="dxa"/>
            <w:vAlign w:val="bottom"/>
            <w:gridSpan w:val="5"/>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July 27, 2024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LMS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0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112,301</w:t>
            </w:r>
          </w:p>
        </w:tc>
        <w:tc>
          <w:tcPr>
            <w:tcW w:w="4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119,976</w:t>
            </w:r>
          </w:p>
        </w:tc>
        <w:tc>
          <w:tcPr>
            <w:tcW w:w="200" w:type="dxa"/>
            <w:vAlign w:val="bottom"/>
          </w:tcPr>
          <w:p>
            <w:pPr>
              <w:spacing w:after="0"/>
              <w:rPr>
                <w:sz w:val="19"/>
                <w:szCs w:val="19"/>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51,973</w:t>
            </w:r>
          </w:p>
        </w:tc>
        <w:tc>
          <w:tcPr>
            <w:tcW w:w="2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2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0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67,252</w:t>
            </w:r>
          </w:p>
        </w:tc>
        <w:tc>
          <w:tcPr>
            <w:tcW w:w="4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4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Pr>
          <w:p>
            <w:pPr>
              <w:spacing w:after="0"/>
              <w:rPr>
                <w:sz w:val="13"/>
                <w:szCs w:val="13"/>
                <w:color w:val="auto"/>
              </w:rPr>
            </w:pPr>
          </w:p>
        </w:tc>
        <w:tc>
          <w:tcPr>
            <w:tcW w:w="2540" w:type="dxa"/>
            <w:vAlign w:val="bottom"/>
            <w:gridSpan w:val="5"/>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July 29, 2023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LMS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0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93,231</w:t>
            </w:r>
          </w:p>
        </w:tc>
        <w:tc>
          <w:tcPr>
            <w:tcW w:w="4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7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98,207</w:t>
            </w:r>
          </w:p>
        </w:tc>
        <w:tc>
          <w:tcPr>
            <w:tcW w:w="200" w:type="dxa"/>
            <w:vAlign w:val="bottom"/>
          </w:tcPr>
          <w:p>
            <w:pPr>
              <w:spacing w:after="0"/>
              <w:rPr>
                <w:sz w:val="19"/>
                <w:szCs w:val="19"/>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2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23,223</w:t>
            </w:r>
          </w:p>
        </w:tc>
        <w:tc>
          <w:tcPr>
            <w:tcW w:w="20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0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50,426</w:t>
            </w:r>
          </w:p>
        </w:tc>
        <w:tc>
          <w:tcPr>
            <w:tcW w:w="4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4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159"/>
        <w:spacing w:after="0" w:line="282" w:lineRule="auto"/>
        <w:rPr>
          <w:sz w:val="20"/>
          <w:szCs w:val="20"/>
          <w:color w:val="auto"/>
        </w:rPr>
      </w:pPr>
      <w:r>
        <w:rPr>
          <w:rFonts w:ascii="Times New Roman" w:cs="Times New Roman" w:eastAsia="Times New Roman" w:hAnsi="Times New Roman"/>
          <w:sz w:val="18"/>
          <w:szCs w:val="18"/>
          <w:color w:val="auto"/>
        </w:rPr>
        <w:t>The following table (in thousands) provides a reconciliation from segment adjusted gross margin to income before income taxes: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7"/>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213"/>
        </w:trPr>
        <w:tc>
          <w:tcPr>
            <w:tcW w:w="5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68,057</w:t>
            </w: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in cost of sales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w:t>
            </w: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(15,466)</w:t>
            </w: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30"/>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w:t>
            </w:r>
          </w:p>
        </w:tc>
      </w:tr>
    </w:tbl>
    <w:p>
      <w:pPr>
        <w:spacing w:after="0" w:line="198"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Identifiable 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July 27, 2024</w:t>
            </w:r>
          </w:p>
        </w:tc>
        <w:tc>
          <w:tcPr>
            <w:tcW w:w="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UxS</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LMS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MW</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4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535,001</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197,738</w:t>
            </w:r>
          </w:p>
        </w:tc>
        <w:tc>
          <w:tcPr>
            <w:tcW w:w="1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999,169</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April 30, 2024</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590,619</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165,413</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1,015,860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Capital expenditures are summarized in the table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UxS</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LMS</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MW</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July 27, 2024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July 29, 2023</w:t>
            </w:r>
          </w:p>
        </w:tc>
        <w:tc>
          <w:tcPr>
            <w:tcW w:w="6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9"/>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2024, as updated by our subsequent filings under the Securities and Exchange Act of 1934, as amended (the “Exchange Act”).</w:t>
      </w:r>
    </w:p>
    <w:p>
      <w:pPr>
        <w:spacing w:after="0" w:line="190"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The following should be read in conjunction with the critical accounting estimates presented in our Annual Report on Form 10-K for the fiscal year ended April 30, 2024.</w:t>
      </w:r>
    </w:p>
    <w:p>
      <w:pPr>
        <w:spacing w:after="0" w:line="162"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jc w:val="both"/>
        <w:ind w:left="40" w:right="139"/>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in accordance with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requires revenue to be recognized when promised goods or services are transferred to customers in amounts that reflect the consideration to which we expect to be entitled in exchange for those goods or services.</w:t>
      </w:r>
    </w:p>
    <w:p>
      <w:pPr>
        <w:spacing w:after="0" w:line="175"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Revenue for LMS product deliveries, customization of UGV transport vehicles and customer-funded research and development contracts is recognized over time as costs are incurred. Contract services revenue is for the provision of services, including repairs and maintenance, training, engineering design, development and prototyping activities, and technical support services. Contract services revenue, which historically included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79"/>
        <w:spacing w:after="0" w:line="282" w:lineRule="auto"/>
        <w:rPr>
          <w:sz w:val="20"/>
          <w:szCs w:val="20"/>
          <w:color w:val="auto"/>
        </w:rPr>
      </w:pPr>
      <w:r>
        <w:rPr>
          <w:rFonts w:ascii="Times New Roman" w:cs="Times New Roman" w:eastAsia="Times New Roman" w:hAnsi="Times New Roman"/>
          <w:sz w:val="18"/>
          <w:szCs w:val="18"/>
          <w:color w:val="auto"/>
        </w:rPr>
        <w:t>labor, materials, subcontractors’ costs, other direct costs, and indirect costs applicable on government and commercial contracts.</w:t>
      </w:r>
    </w:p>
    <w:p>
      <w:pPr>
        <w:spacing w:after="0" w:line="162" w:lineRule="exact"/>
        <w:rPr>
          <w:sz w:val="20"/>
          <w:szCs w:val="20"/>
          <w:color w:val="auto"/>
        </w:rPr>
      </w:pPr>
    </w:p>
    <w:p>
      <w:pPr>
        <w:jc w:val="both"/>
        <w:ind w:left="40" w:right="79"/>
        <w:spacing w:after="0" w:line="257"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Our Uncrewed Systems product sales revenue is primarily composed of revenue recognized on contracts for the delivery of UxS systems and spare parts, respectively.</w:t>
      </w:r>
    </w:p>
    <w:p>
      <w:pPr>
        <w:spacing w:after="0" w:line="1" w:lineRule="exact"/>
        <w:rPr>
          <w:sz w:val="20"/>
          <w:szCs w:val="20"/>
          <w:color w:val="auto"/>
        </w:rPr>
      </w:pPr>
    </w:p>
    <w:p>
      <w:pPr>
        <w:ind w:left="40" w:right="319"/>
        <w:spacing w:after="0" w:line="260" w:lineRule="auto"/>
        <w:rPr>
          <w:sz w:val="20"/>
          <w:szCs w:val="20"/>
          <w:color w:val="auto"/>
        </w:rPr>
      </w:pPr>
      <w:r>
        <w:rPr>
          <w:rFonts w:ascii="Times New Roman" w:cs="Times New Roman" w:eastAsia="Times New Roman" w:hAnsi="Times New Roman"/>
          <w:sz w:val="18"/>
          <w:szCs w:val="18"/>
          <w:color w:val="auto"/>
        </w:rPr>
        <w:t>Revenue is recognized at the point in time when control transfers to the customer, which generally occurs when title and risk of loss have passed to the customer.</w:t>
      </w:r>
    </w:p>
    <w:p>
      <w:pPr>
        <w:spacing w:after="0" w:line="181"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We review cost performance, estimates-to-complete and variable consideration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months ended July 27, 2024 and July 29, 2023,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ASC 606. Incentives or penalties and awards applicable to performance on contracts are considered in estimating revenue and profit rates, and are recorded when there is sufficient information to assess anticipated contract performance.</w:t>
      </w:r>
    </w:p>
    <w:p>
      <w:pPr>
        <w:spacing w:after="0" w:line="187" w:lineRule="exact"/>
        <w:rPr>
          <w:sz w:val="20"/>
          <w:szCs w:val="20"/>
          <w:color w:val="auto"/>
        </w:rPr>
      </w:pPr>
    </w:p>
    <w:p>
      <w:pPr>
        <w:ind w:left="40" w:right="279"/>
        <w:spacing w:after="0" w:line="282" w:lineRule="auto"/>
        <w:rPr>
          <w:sz w:val="20"/>
          <w:szCs w:val="20"/>
          <w:color w:val="auto"/>
        </w:rPr>
      </w:pPr>
      <w:r>
        <w:rPr>
          <w:rFonts w:ascii="Times New Roman" w:cs="Times New Roman" w:eastAsia="Times New Roman" w:hAnsi="Times New Roman"/>
          <w:sz w:val="18"/>
          <w:szCs w:val="18"/>
          <w:color w:val="auto"/>
        </w:rPr>
        <w:t>For the three months ended July 27, 2024 and July 29, 2023,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July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2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favorable adjustments</w:t>
            </w:r>
          </w:p>
        </w:tc>
        <w:tc>
          <w:tcPr>
            <w:tcW w:w="2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For the three months ended July 27, 2024, favorable cumulative catch-up adjustments of $0.8 million were primarily due to final cost adjustments on 11 contracts, which individually were not material. For the same period, unfavorable cumulative catch-up adjustments of $0.3 million were primarily related to higher than expected costs on 10 contracts, which individually were not material.</w:t>
      </w:r>
    </w:p>
    <w:p>
      <w:pPr>
        <w:spacing w:after="0" w:line="180"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For the three months ended July 29, 2023, favorable cumulative catch-up adjustments of $2.7 million were primarily due to final cost adjustments on 11 contracts, which individually were not material. For the same period, unfavorable cumulative catch-up adjustments of $1.1 million were primarily related to higher than expected costs on seven contracts, which individually were not material.</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our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w:t>
      </w:r>
    </w:p>
    <w:p>
      <w:pPr>
        <w:spacing w:after="0" w:line="192"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Subsequent to the performance of our annual goodwill impairment test for fiscal year 2023,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profitability growth rate expectations used in the valuation of the MUAS reporting unit. These changes in estimates, resulted in the recognition of a goodwill impairment charge of $156.0 million in the MUAS reporting unit during the fiscal year ended April 30, 2023.</w:t>
      </w:r>
    </w:p>
    <w:p>
      <w:pPr>
        <w:spacing w:after="0" w:line="189"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As of July 27, 2024, our MUAS reporting unit had a goodwill balance of $135.8 million. The estimated fair value of the MUAS reporting unit does not substantially exceed its carrying value due to the impairment recorded during the fourth quarter ended April 30, 2023, resulting in carrying value being equal to estimated fair value. Fair value determinations utilized in the quantitative goodwill impairment test require considerable judgment and are sensitive to changes in underlying assumptions, estimates, and market factors. Estimating the fair value of individual reporting units requires us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our ability to obtain contracts from the U.S. D.o.D. and foreign allied nations and negotiate the estimated pricing are considered the most significant, sensitive assumptions. If current expectations of future growth rates and margins are not met, if market factors outside of our control, such as discount rates, income tax rates, or inflation, change, or if management’s expectations or plans otherwise change, including updates to long-term operating plans, then MUAS may become impaired in the future. Accordingly, the MUAS reporting unit is considered at an increased risk of failing future quantitative goodwill impairment tests. The intangibles included in the MUAS reporting unit of $12.8 million as of July 27, 2024 will also be evaluated for potential impairment during the fourth quarter impairment test. During the most recent annual impairment test during the fourth quarter of fiscal year 2024, the estimated fair value of all reporting units, other than MUAS, substantially exceeded their carrying value. As of July 27, 2024, we have not identified any events or circumstances that could trigger an impairment review prior to the Company’s annual impairment test.</w:t>
      </w:r>
    </w:p>
    <w:p>
      <w:pPr>
        <w:spacing w:after="0" w:line="192"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40" w:right="139"/>
        <w:spacing w:after="0" w:line="289" w:lineRule="auto"/>
        <w:rPr>
          <w:sz w:val="20"/>
          <w:szCs w:val="20"/>
          <w:color w:val="auto"/>
        </w:rPr>
      </w:pPr>
      <w:r>
        <w:rPr>
          <w:rFonts w:ascii="Times New Roman" w:cs="Times New Roman" w:eastAsia="Times New Roman" w:hAnsi="Times New Roman"/>
          <w:sz w:val="17"/>
          <w:szCs w:val="17"/>
          <w:color w:val="auto"/>
        </w:rPr>
        <w:t>Due to our fixed year end date of April 30, our first and fourth quarters each consist of approximately 13 weeks. The second and third quarters each consist of exactly 13 weeks. Our first three quarters end on a Saturday. Our 2025 fiscal year ends on April 30, 2025 and our fiscal quarters end on July 27, 2024, October 26, 2024 and January 25, 2025,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July 27, 2024 Compared to Three Months Ended July 29, 2023</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July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method investment income (loss), net of tax</w:t>
            </w:r>
          </w:p>
        </w:tc>
        <w:tc>
          <w:tcPr>
            <w:tcW w:w="1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spacing w:after="0" w:line="254" w:lineRule="auto"/>
        <w:rPr>
          <w:sz w:val="20"/>
          <w:szCs w:val="20"/>
          <w:color w:val="auto"/>
        </w:rPr>
      </w:pPr>
      <w:r>
        <w:rPr>
          <w:rFonts w:ascii="Times New Roman" w:cs="Times New Roman" w:eastAsia="Times New Roman" w:hAnsi="Times New Roman"/>
          <w:sz w:val="18"/>
          <w:szCs w:val="18"/>
          <w:color w:val="auto"/>
        </w:rPr>
        <w:t>We have identified three reportable segments, Uncrewed Systems (“UxS”), Loitering Munitions Systems (“LMS”) and MacCready Works (“MW”). The UxS segment consists of our SUAS, including our Tomahawk acquisition, MUAS and UGV product lines. The LMS segment consists of our renamed existing tactical missile systems product lines. The MW segment consists of our MacCready Works products and services and the development of High Altitude Pseudo-Satellite systems (“HAPS”). The following tables (in thousands) set forth our segment revenue and segment adjusted gross margin for the periods indicated. Prior period segment information has been revised to align with the new segment measure of profitability. Segment adjusted gross margin is defined as gross margin before intangible amortization expense including amortization of purchase accounting adjustments. All corporate and headquarter expenses are allocated to the reportable segments.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July 27, 2024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LMS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51,973</w:t>
            </w:r>
          </w:p>
        </w:tc>
        <w:tc>
          <w:tcPr>
            <w:tcW w:w="2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July 29, 2023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LMS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Pr>
          <w:p>
            <w:pPr>
              <w:spacing w:after="0"/>
              <w:rPr>
                <w:sz w:val="18"/>
                <w:szCs w:val="18"/>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2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We recorded intangible amortization expense and other purchase accounting adjustments in the following categories on the accompanying unaudited condensed consolidated statements of operations: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173"/>
        </w:trPr>
        <w:tc>
          <w:tcPr>
            <w:tcW w:w="432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0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4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Borders>
              <w:bottom w:val="single" w:sz="8" w:color="CCEEFF"/>
            </w:tcBorders>
          </w:tcPr>
          <w:p>
            <w:pPr>
              <w:spacing w:after="0"/>
              <w:rPr>
                <w:sz w:val="18"/>
                <w:szCs w:val="18"/>
                <w:color w:val="auto"/>
              </w:rPr>
            </w:pPr>
          </w:p>
        </w:tc>
      </w:tr>
      <w:tr>
        <w:trPr>
          <w:trHeight w:val="209"/>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July 27, 2024 was $189.5 million, as compared to $152.3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July 29, 2023, representing an increase of $37.2 million, or 24%. The increase in revenue was due to an increase in product revenue of $40.0 million, partially offset by a decrease in service revenue of $2.9 million. The increase in product revenue was primarily due to an increase of $21.9 million from the production of our Switchblade products and an increase of $19.1 million of product deliveries of our UxS products, including $1.1 million associated with the Tomahawk acquisition. These increases were primarily driven by increased global demand for our LMS and uncrewed systems associated with the current global conflicts as well as U.S. D.o.D. resupply. The decrease in service revenue was primarily due to a decrease of $5.9 million in customer funded R&amp;D and engineering services due to a decrease in development programs in part due to delays in the establishment of the government fiscal year 2024 budget, partially offset by an increase of $3.0 million of training and repairs service revenue driven by the increased product sales. The increase in the LMS product revenues as compared to the prior year period is expected to continue for the remainder of the fiscal year ending April 30, 2025.</w:t>
      </w:r>
    </w:p>
    <w:p>
      <w:pPr>
        <w:spacing w:after="0" w:line="190"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July 27, 2024 was $108.0 million, as compared to $86.7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July 29, 2023, representing an increase of $21.3 million, or 25%. The increase in cost of sales was a result of an increase in product cost of sales of $23.9 million, partially offset by a decrease in service costs of sales of $2.6 million. The increase in product costs of sales was primarily due to an increase of approximately $21 million associated with the increase in product revenue and approximately $3 million due to a mix shift to a higher proportion of lower margin products driven by the increase in Switchblade production. The decrease in service cost of sales was primarily due to a decrease of approximately $3 million associated with the decrease in service revenue. Cost of sales for the three months ended July 27, 2024 included $3.7 million of intangible amortization and other related non-cash purchase accounting expenses as compared to $2.4 million for the three months ended July 29, 2023. As a percentage of revenue, cost of sales remained consistent at 57%, resulting in gross margin of 43% in both quarters.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three months ended July 27, 2024 was $33.8 million, or 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 as compared to SG&amp;A expense of $23.8 million, or 16% of revenue, for the three months ended July 29, 2023. The increase in SG&amp;A expense was primarily due to an increase of $5.8 million of sales and marketing expense primarily driven by an increase in bid and proposal efforts and an increase of $3.3 million in employee related expenses primarily driven by an increase in average headcount to support our growth and expansion of our global business development team. Sales and marketing expense includes commissions on certain direct commercial sales to international customers, and an increase in revenue results in an increase in commission expense.</w:t>
      </w:r>
    </w:p>
    <w:p>
      <w:pPr>
        <w:spacing w:after="0" w:line="183"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July 27, 2024 was $24.6 million, or 13%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$15.5 million, or 10% of revenue, for the three months ended July 29, 2023. The increase was primarily due to an increase in development activities regarding enhanced capabilities for our products, development of new product lines and support for our acquired businesses.</w:t>
      </w:r>
    </w:p>
    <w:p>
      <w:pPr>
        <w:spacing w:after="0" w:line="176"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three months ended July 27, 2024 was $0.2 million compared to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net of $2.0 million for the three months ended July 29, 2023. The decrease in interest expense, net was primarily due to lower average outstanding balances on our debt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three months ended July 27, 2024 was $0.2 million compared to $1.1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July 29, 2023. The decrease was primarily due to lower net unrealized losses associated with the fair market value of our equity security investments.</w:t>
      </w:r>
    </w:p>
    <w:p>
      <w:pPr>
        <w:spacing w:after="0" w:line="171"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Our effective income tax rate was 6.6% for the three months ended July 27, 2024,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5.7% for the three months ended July 29, 2023. The increase in our effective income tax rate was primarily due to a decrease in FDII deductions, partially offset by an increase in excess tax benefits from equity awards. The effective income tax rate for the three months ended July 27, 2024 was primarily impacted by expected federal R&amp;D tax credits and FDII deductions and excess tax benefits from equity awards.</w:t>
      </w:r>
    </w:p>
    <w:p>
      <w:pPr>
        <w:spacing w:after="0" w:line="179" w:lineRule="exact"/>
        <w:rPr>
          <w:sz w:val="20"/>
          <w:szCs w:val="20"/>
          <w:color w:val="auto"/>
        </w:rPr>
      </w:pPr>
    </w:p>
    <w:p>
      <w:pPr>
        <w:ind w:left="4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Income (Loss), net of Tax. </w:t>
      </w:r>
      <w:r>
        <w:rPr>
          <w:rFonts w:ascii="Times New Roman" w:cs="Times New Roman" w:eastAsia="Times New Roman" w:hAnsi="Times New Roman"/>
          <w:sz w:val="18"/>
          <w:szCs w:val="18"/>
          <w:color w:val="auto"/>
        </w:rPr>
        <w:t>Equity method investment income, net of tax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July 27, 2024 was $0.1 million as compared to equity method investment loss, net of tax of $21 thousand for the three months ended July 29, 2023.</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Uncrewed Systems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21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112,301</w:t>
            </w:r>
          </w:p>
        </w:tc>
        <w:tc>
          <w:tcPr>
            <w:tcW w:w="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18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119,976</w:t>
            </w:r>
          </w:p>
        </w:tc>
        <w:tc>
          <w:tcPr>
            <w:tcW w:w="3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1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67,252</w:t>
            </w:r>
          </w:p>
        </w:tc>
        <w:tc>
          <w:tcPr>
            <w:tcW w:w="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UxS revenue for the three months ended July 27, 2024 was $120.0 million, as compared to $98.2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July 29, 2023, representing an increase of $21.8 million, or 22%. The increase in revenue was due to an increase in product revenue of $19.1 million and an increase in service revenue of $2.7 million. The increase in product revenue was primarily due to $19.1 million from increased product shipments of our SUAS family of systems and UGV product systems driven by increased global demand for our uncrewed systems associated with the current global conflicts as well as U.S. D.o.D. resupply including $1.1 million associated with the Tomahawk acquisition. The increase in service revenue was primarily due to an increase of $3.1 million of training and repairs service revenue driven by the increased product sales.</w:t>
      </w:r>
    </w:p>
    <w:p>
      <w:pPr>
        <w:spacing w:after="0" w:line="185"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UxS Segment adjusted gross margin. </w:t>
      </w:r>
      <w:r>
        <w:rPr>
          <w:rFonts w:ascii="Times New Roman" w:cs="Times New Roman" w:eastAsia="Times New Roman" w:hAnsi="Times New Roman"/>
          <w:sz w:val="18"/>
          <w:szCs w:val="18"/>
          <w:color w:val="auto"/>
        </w:rPr>
        <w:t>UxS segment adjusted gross margin for the three months July 27, 2024 was $67.3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$50.4 million for the three months ended July 29, 2023, representing an increase of $16.8 million, or 33%. The increase in UxS segment adjusted gross margin was primarily due to an increase in revenue of $21.8 million, partially offset by an increase of $5.0 million in adjusted cost of sales. The increase in adjusted cost of sales was due to an increase in sales volume of approximately $10 million, partially offset by a favorable sales mix of approximately $5 million primarily due to a higher proportion of international products sales. Adjusted cost of sales is defined as cost of sales before intangible amortization expense including amortization of purchase accounting adjustments.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Loitering Munitions Systems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21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47,180</w:t>
            </w:r>
          </w:p>
        </w:tc>
        <w:tc>
          <w:tcPr>
            <w:tcW w:w="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18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51,973</w:t>
            </w:r>
          </w:p>
        </w:tc>
        <w:tc>
          <w:tcPr>
            <w:tcW w:w="3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1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LMS revenue for the three months ended July 27, 2024 was $52.0 million, as compared to $30.9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July 29, 2023, representing an increase of $21.1 million, or 68%. The increase in revenue was due to an increase in product revenue of $21.9 million, partially offset by a decrease in service revenue of $0.8 million. The increase in product revenue was primarily due to increased production of our LMS systems primarily due to increased global demand for our loitering munitions systems associated with the current global conflicts as well as U.S. D.o.D. resupply. The decrease in service revenue was primarily due to decreases in customer-funded R&amp;D activities primarily associated with the shift from development to production of certain Switchblade products.</w:t>
      </w:r>
    </w:p>
    <w:p>
      <w:pPr>
        <w:spacing w:after="0" w:line="183"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LMS Segment adjusted gross margin. </w:t>
      </w:r>
      <w:r>
        <w:rPr>
          <w:rFonts w:ascii="Times New Roman" w:cs="Times New Roman" w:eastAsia="Times New Roman" w:hAnsi="Times New Roman"/>
          <w:sz w:val="18"/>
          <w:szCs w:val="18"/>
          <w:color w:val="auto"/>
        </w:rPr>
        <w:t>LMS segment adjusted gross margin for the three months July 27, 2024 was $13.3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$12.3 million for the three months ended July 29, 2023, representing an increase of $1.0 million, or 8%. The increase in LMS segment adjusted gross margin was primarily due to an increase in revenue of $21.1 million, partially offset by an increase in adjusted cost of sales of $20.1 million. The increase in adjusted cost of sales was primarily due to an increase in sales volume of approximately $12 million, an unfavorable contract mix primarily due to an increase in revenue earned on undefinitized contracts for the three months ended July 27, 2024 and a decrease in favorable cumulative catch up adjustments. LMS is operating under multiple undefinitized contract actions, or UCA's, which we recognize revenue based upon estimates of the final price negotiations. In the period these contracts are definitized a cumulative catch-up revenue adjustment will be recorded. For the full fiscal year we anticipate LMS adjusted gross margin as a percentage of revenues to trend toward the prior year levels.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MacCready Works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21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18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32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23,223</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1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2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MW revenue for the three months ended July 27, 2024 was $17.5 million, as compared to $23.2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July 29, 2023, representing a decrease of $5.7 million, or 24%. The decrease in revenue was due to a decrease in service revenue of $4.8 million and a decrease in product revenue of $0.9 million. The decrease in service revenue was primarily due to a decrease of $5.2 million in customer funded R&amp;D efforts in part due to delays in the establishment of the government fiscal year 2024 budget.</w:t>
      </w:r>
    </w:p>
    <w:p>
      <w:pPr>
        <w:spacing w:after="0" w:line="179"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MW Segment adjusted gross margin. </w:t>
      </w:r>
      <w:r>
        <w:rPr>
          <w:rFonts w:ascii="Times New Roman" w:cs="Times New Roman" w:eastAsia="Times New Roman" w:hAnsi="Times New Roman"/>
          <w:sz w:val="18"/>
          <w:szCs w:val="18"/>
          <w:color w:val="auto"/>
        </w:rPr>
        <w:t>MW segment adjusted gross margin for the three months July 27, 2024 was $4.7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$5.3 million for the three months ended July 29, 2023, representing a decrease of $0.6 million. The decrease in MW adjusted gross margin was primarily due to a decrease in revenue of $5.7 million, partially offset by a decrease in adjusted cost of sales. The decrease in adjusted cost of sales was primarily due to a decrease in sales volume of approximately $5 million.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8"/>
          <w:szCs w:val="18"/>
          <w:color w:val="auto"/>
        </w:rPr>
        <w:t>Consistent with ASC 606, we define funded backlog as remaining performance obligations under firm orders for which funding is currently appropriated to us under a customer contract. As of July 27, 2024, our funded backlog was approximately $372.9 million, as compared to $400.2 million as of April 30, 2024. Funded backlog does not include $128 million of initial funding under the recently announced indefinite delivery, indefinite quantity (“IDIQ”) contract to deliver LMS systems for the U.S. Army’s Directed Requirement for Lethal Unmanned Systems with a contract ceiling value of $990 million received in August 2024.</w:t>
      </w:r>
    </w:p>
    <w:p>
      <w:pPr>
        <w:spacing w:after="0" w:line="187"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8"/>
          <w:szCs w:val="18"/>
          <w:color w:val="auto"/>
        </w:rPr>
        <w:t>In addition to our funded backlog, we also had unfunded backlog of $141.1 million as of July 27, 2024. Unfunded backlog does not meet the definition of a performance obligation under ASC 606. We define unfunded backlog as the total remaining potential order amounts under cost reimbursable and fixed price contracts with (i) multiple one-year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options and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SUAS because values for each of the other domains within the contract have not been disclosed by the customer, and we cannot be certain that we will secure all task orders issued against the contract. Unfunded backlog does not include the IDIQ contract to deliver LMS systems for the U.S. Army’s Directed Requirement for Lethal Unmanned Systems with a contract ceiling value of $990 million less the initial funding of $128 million awarded in August 2024.</w:t>
      </w:r>
    </w:p>
    <w:p>
      <w:pPr>
        <w:spacing w:after="0" w:line="192"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September 8, 2022, we filed an S-3 shelf registration statement to offer and sell shares of our common stock, including</w:t>
      </w:r>
    </w:p>
    <w:p>
      <w:pPr>
        <w:ind w:left="40"/>
        <w:spacing w:after="0" w:line="196" w:lineRule="auto"/>
        <w:rPr>
          <w:sz w:val="20"/>
          <w:szCs w:val="20"/>
          <w:color w:val="auto"/>
        </w:rPr>
      </w:pPr>
      <w:r>
        <w:rPr>
          <w:rFonts w:ascii="Times New Roman" w:cs="Times New Roman" w:eastAsia="Times New Roman" w:hAnsi="Times New Roman"/>
          <w:sz w:val="18"/>
          <w:szCs w:val="18"/>
          <w:color w:val="auto"/>
        </w:rPr>
        <w:t>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 8, 2022, with Jefferies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LLC relating to the proposed offer and sale of shares of our common stock having an aggregate offering price of up to</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$200.0 million from time to time through Jefferies LLC as our sales agent. As of October 28, 2023, we completed the Open</w:t>
      </w:r>
    </w:p>
    <w:p>
      <w:pPr>
        <w:ind w:left="40"/>
        <w:spacing w:after="0" w:line="181" w:lineRule="auto"/>
        <w:rPr>
          <w:sz w:val="20"/>
          <w:szCs w:val="20"/>
          <w:color w:val="auto"/>
        </w:rPr>
      </w:pPr>
      <w:r>
        <w:rPr>
          <w:rFonts w:ascii="Times New Roman" w:cs="Times New Roman" w:eastAsia="Times New Roman" w:hAnsi="Times New Roman"/>
          <w:sz w:val="18"/>
          <w:szCs w:val="18"/>
          <w:color w:val="auto"/>
        </w:rPr>
        <w:t>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and sold 1,917,100 of our shares for total gross proceeds of $200.0 million and $194.0 million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proceeds received, net of commission expense and $193.1 million net of equity issuance costs.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February 19, 2021, in connection with the consummation of the Arcturus acquisition, we entered into the Credit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Agreement for (i) the Revolving Facility, and (ii) the Term Loan Facility, and together with the Revolving Credit Facility,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“Credit Facilities.” The Term Loan Facility requires payment of 5% of the outstanding obligations in each of the first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four loan years, with the remaining 80.0% payable in loan year five, consisting of three quarterly payments of 1.25% each,</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with the remaining outstanding principal amount of the Term Loan Facility due and payable on the final maturity date.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Proceeds from the Term Loan Facility were used in part to finance a portion of the cash consideration for the Arcturus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acquisition. Our ability to borrow under the Revolving Facility is reduced by outstanding letters of credit of $7.5 million as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of July 27, 2024. As of July 27, 2024, approximately $92.5 million was available under the Revolving Facility. Borrowings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under the Revolving Facility may be used for working capital and other general corporate purposes. Refer to Note 9—Debt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our unaudited condensed consolidated financial statements in Part I, Item 1 of this Quarterly Report on Form 10-Q for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further details. In addition, the Company has a separate letter of credit of $2.1 million and Telerob has a line of credit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€7.0 million ($7.6 million) available for issuing letters of credit of which €0.1 million ($0.1 million) was outstanding as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July 27, 2024.</w:t>
      </w:r>
    </w:p>
    <w:p>
      <w:pPr>
        <w:spacing w:after="0" w:line="207"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8"/>
          <w:szCs w:val="18"/>
          <w:color w:val="auto"/>
        </w:rPr>
        <w:t>We anticipate funding our normal recurring trade payables, accrued expenses, ongoing R&amp;D costs and obligations under the Credit Facilities through our existing working capital and funds provided by operating activities including those provided by our acquisitions.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94" w:lineRule="exact"/>
        <w:rPr>
          <w:sz w:val="20"/>
          <w:szCs w:val="20"/>
          <w:color w:val="auto"/>
        </w:rPr>
      </w:pPr>
    </w:p>
    <w:p>
      <w:pPr>
        <w:ind w:left="40" w:right="419"/>
        <w:spacing w:after="0" w:line="312" w:lineRule="auto"/>
        <w:rPr>
          <w:sz w:val="20"/>
          <w:szCs w:val="20"/>
          <w:color w:val="auto"/>
        </w:rPr>
      </w:pPr>
      <w:r>
        <w:rPr>
          <w:rFonts w:ascii="Times New Roman" w:cs="Times New Roman" w:eastAsia="Times New Roman" w:hAnsi="Times New Roman"/>
          <w:sz w:val="17"/>
          <w:szCs w:val="17"/>
          <w:color w:val="auto"/>
        </w:rPr>
        <w:t>Our primary liquidity needs are for financing working capital, investing in capital expenditures, supporting product development efforts, introducing new products and enhancing existing products, marketing acceptance and adoption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our products and services, and possible acquisition of entities.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Agreement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9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During the fiscal year ended April 30, 2022, we made certain commitments outside of the ordinary course of business,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including capital contribution commitments to a second limited partnership fund. Under the terms of a new limited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partnership agreement, we have committed to make capital contributions to such fund totaling $20.0 million, inclusive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expected reinvestment of distributions from our existing limited partnership fund, of which $10.0 million was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remaining at July 27, 2024. The contributions are anticipated to be paid over the next three fiscal years. The UGV second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year earnout of €2.0 million (approximately $2.1 million) was paid in November 2023. The Tomahawk acquisition closed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September 15, 2023, and we paid a total purchase price of $134.4 million consisting of $109.8 million in stock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$24.2 million from cash on hand, net of cash acquired. Due to the internal revenue service tax capitalization rules, Section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174, which requires R&amp;D expenditures to be capitalized and amortized over a 5 year period for tax purposes, we expect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elevated levels of cash paid for U.S. federal income taxes to continue during the fiscal year ending April 30, 2025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future fiscal years.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provides our cash flow data for the three months ended July 27, 2024 and July 29, 2023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July 29,</w:t>
            </w:r>
          </w:p>
        </w:tc>
        <w:tc>
          <w:tcPr>
            <w:tcW w:w="100" w:type="dxa"/>
            <w:vAlign w:val="bottom"/>
          </w:tcPr>
          <w:p>
            <w:pPr>
              <w:spacing w:after="0"/>
              <w:rPr>
                <w:sz w:val="10"/>
                <w:szCs w:val="10"/>
                <w:color w:val="auto"/>
              </w:rPr>
            </w:pPr>
          </w:p>
        </w:tc>
      </w:tr>
      <w:tr>
        <w:trPr>
          <w:trHeight w:val="173"/>
        </w:trPr>
        <w:tc>
          <w:tcPr>
            <w:tcW w:w="5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29"/>
        </w:trPr>
        <w:tc>
          <w:tcPr>
            <w:tcW w:w="5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4"/>
          </w:tcPr>
          <w:p>
            <w:pPr>
              <w:jc w:val="right"/>
              <w:ind w:right="65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28,351</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(Used in) Operating Activities. </w:t>
      </w:r>
      <w:r>
        <w:rPr>
          <w:rFonts w:ascii="Times New Roman" w:cs="Times New Roman" w:eastAsia="Times New Roman" w:hAnsi="Times New Roman"/>
          <w:sz w:val="18"/>
          <w:szCs w:val="18"/>
          <w:color w:val="auto"/>
        </w:rPr>
        <w:t>Net cash provided by operating activities for the three months ended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27, 2024 increased by $45.4 million to $28.4 million, as compared to net cash used in operating activities of $(17.1) million for the three months ended July 29, 2023. The increase in net cash provided by operating activities was primarily due to an increase in cash as a result of changes in operating assets and liabilities of $43.2 million, largely related to inventories and accounts receivable, partially offset by unbilled receivables and retentions and other liabilities, due to year over year timing differences as well as an increase in non-cash expenses of $2.9 million primarily due to an increase in depreciation and amortization and stock-based compensation.</w:t>
      </w:r>
    </w:p>
    <w:p>
      <w:pPr>
        <w:spacing w:after="0" w:line="183" w:lineRule="exact"/>
        <w:rPr>
          <w:sz w:val="20"/>
          <w:szCs w:val="20"/>
          <w:color w:val="auto"/>
        </w:rPr>
      </w:pPr>
    </w:p>
    <w:p>
      <w:pPr>
        <w:jc w:val="both"/>
        <w:ind w:left="4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increased by $3.0 million to $6.6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July 27, 2024, as compared to $3.6 million for the three months ended July 29, 2023. The increase in net cash used in investing activities was due to an increase in acquisition of property and equipment acquisitions of $1.8 million and an increase in equity securities investments of $1.2 million.</w:t>
      </w:r>
    </w:p>
    <w:p>
      <w:pPr>
        <w:spacing w:after="0" w:line="176" w:lineRule="exact"/>
        <w:rPr>
          <w:sz w:val="20"/>
          <w:szCs w:val="20"/>
          <w:color w:val="auto"/>
        </w:rPr>
      </w:pPr>
    </w:p>
    <w:p>
      <w:pPr>
        <w:ind w:left="4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Financing Activities. </w:t>
      </w:r>
      <w:r>
        <w:rPr>
          <w:rFonts w:ascii="Times New Roman" w:cs="Times New Roman" w:eastAsia="Times New Roman" w:hAnsi="Times New Roman"/>
          <w:sz w:val="18"/>
          <w:szCs w:val="18"/>
          <w:color w:val="auto"/>
        </w:rPr>
        <w:t>Net cash used in financing activities increased by $7.6 million to $14.0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July 27, 2024, as compared to $6.3 million for the three months ended July 29, 2023. The</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increase in net cash used in financing activities was primarily due to an increase in the principal payment of the term loan of $5.5 million and tax withholding payments related to net settlement of equity awards.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ind w:left="40" w:right="299"/>
        <w:spacing w:after="0" w:line="266" w:lineRule="auto"/>
        <w:rPr>
          <w:sz w:val="20"/>
          <w:szCs w:val="20"/>
          <w:color w:val="auto"/>
        </w:rPr>
      </w:pPr>
      <w:r>
        <w:rPr>
          <w:rFonts w:ascii="Times New Roman" w:cs="Times New Roman" w:eastAsia="Times New Roman" w:hAnsi="Times New Roman"/>
          <w:sz w:val="18"/>
          <w:szCs w:val="18"/>
          <w:color w:val="auto"/>
        </w:rPr>
        <w:t>Please refer to Note 1—Organization and Significant Accounting Policies to our unaudited condensed consolidated financial statements in Part I, Item 1 of this Quarterly Report on Form 10-Q for the conclusion that we did not adopt any accounting standards during the three months ended July 27, 2024.</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It is our policy not to enter into interest rate derivative financial instruments. On February 19, 2021 in connection with the consummation of the Arcturus Acquisition, we entered into the Credit Facilities. The current outstanding balance of the Credit Facilities is $17.5 million and bears a variable interest rate. The market interest rate has increased significantly, and if market interest rates continue to increase, interest due on the Credit Facilities would increase.</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16"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Since a significant part of our sales and expenses are denominated in U.S. dollars, we have not experienced significant foreign exchange gains or losses to date. We occasionally engage in forward contracts in foreign currencies to limit our exposure on non-U.S. dollar transactions. With the acquisition of Telerob, a portion of our cash balance is denominated in Euros which is Telerob’s functional currency.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0"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6"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July 27, 2024, the end of the period covered by this Quarterly Report on Form 10-Q.</w:t>
      </w:r>
    </w:p>
    <w:p>
      <w:pPr>
        <w:spacing w:after="0" w:line="166" w:lineRule="exact"/>
        <w:rPr>
          <w:sz w:val="20"/>
          <w:szCs w:val="20"/>
          <w:color w:val="auto"/>
        </w:rPr>
      </w:pPr>
    </w:p>
    <w:p>
      <w:pPr>
        <w:jc w:val="both"/>
        <w:ind w:left="40" w:right="319"/>
        <w:spacing w:after="0" w:line="266" w:lineRule="auto"/>
        <w:rPr>
          <w:sz w:val="20"/>
          <w:szCs w:val="20"/>
          <w:color w:val="auto"/>
        </w:rPr>
      </w:pPr>
      <w:r>
        <w:rPr>
          <w:rFonts w:ascii="Times New Roman" w:cs="Times New Roman" w:eastAsia="Times New Roman" w:hAnsi="Times New Roman"/>
          <w:sz w:val="18"/>
          <w:szCs w:val="18"/>
          <w:color w:val="auto"/>
        </w:rPr>
        <w:t>Based on the foregoing, our Chief Executive Officer and Chief Financial Officer concluded that, as of July 27, 2024, the end of the period covered by this Quarterly Report on Form 10-Q, our disclosure controls and procedures were effective and were operating at a reasonable assurance level.</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ind w:left="40" w:right="239"/>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or in other factors identified in connection with the evaluation required by paragraph (d) of Rules 13a-15 or 15d-15 under the Exchange Act that occurred during the quarter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ended July 27, 2024 that have materially affected, or are reasonably likely to materially affect, our internal control over financial reporting.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 Written and oral discovery are ongoing.</w:t>
      </w:r>
    </w:p>
    <w:p>
      <w:pPr>
        <w:spacing w:after="0" w:line="183"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On March 29, 2024, a former employee filed a complaint against AeroVironment in the Ventura County Superior Court in California, alleging violations of the California Labor Code related to wages, meal breaks, overtime, unreimbursed business expenses and other recordkeeping matters and seeking penalties recoverable under California Labor Code section 2698, et. seq., Private Attorney General Act of 2004 (“PAGA”) and all other remedies available under PAGA. The complaint seeks civil penalties on behalf of the plaintiff and similarly situations persons pursuant to PAGA. We filed our answer on June 20, 2024. We expect discovery will commence shortly.</w:t>
      </w:r>
    </w:p>
    <w:p>
      <w:pPr>
        <w:spacing w:after="0" w:line="187" w:lineRule="exact"/>
        <w:rPr>
          <w:sz w:val="20"/>
          <w:szCs w:val="20"/>
          <w:color w:val="auto"/>
        </w:rPr>
      </w:pPr>
    </w:p>
    <w:p>
      <w:pPr>
        <w:jc w:val="both"/>
        <w:ind w:left="40" w:right="139"/>
        <w:spacing w:after="0" w:line="289" w:lineRule="auto"/>
        <w:rPr>
          <w:sz w:val="20"/>
          <w:szCs w:val="20"/>
          <w:color w:val="auto"/>
        </w:rPr>
      </w:pPr>
      <w:r>
        <w:rPr>
          <w:rFonts w:ascii="Times New Roman" w:cs="Times New Roman" w:eastAsia="Times New Roman" w:hAnsi="Times New Roman"/>
          <w:sz w:val="17"/>
          <w:szCs w:val="17"/>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under Part I, Item 1A, “Risk Factors,” of our Annual Report on Form 10-K for the fiscal year ended April 30, 2024. Please refer to that section for disclosures regarding the risks and uncertainties related to our business.</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0" w:right="99"/>
        <w:spacing w:after="0" w:line="312" w:lineRule="auto"/>
        <w:rPr>
          <w:sz w:val="20"/>
          <w:szCs w:val="20"/>
          <w:color w:val="auto"/>
        </w:rPr>
      </w:pPr>
      <w:r>
        <w:rPr>
          <w:rFonts w:ascii="Times New Roman" w:cs="Times New Roman" w:eastAsia="Times New Roman" w:hAnsi="Times New Roman"/>
          <w:sz w:val="17"/>
          <w:szCs w:val="17"/>
          <w:color w:val="auto"/>
        </w:rPr>
        <w:t>During the three months ended July 27, 2024, none of our directors or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6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540" w:type="dxa"/>
            <w:vAlign w:val="bottom"/>
          </w:tcPr>
          <w:p>
            <w:pPr>
              <w:spacing w:after="0"/>
              <w:rPr>
                <w:sz w:val="22"/>
                <w:szCs w:val="22"/>
                <w:color w:val="auto"/>
              </w:rPr>
            </w:pPr>
          </w:p>
        </w:tc>
        <w:tc>
          <w:tcPr>
            <w:tcW w:w="5480" w:type="dxa"/>
            <w:vAlign w:val="bottom"/>
            <w:gridSpan w:val="7"/>
          </w:tcPr>
          <w:p>
            <w:pPr>
              <w:ind w:left="1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6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6"/>
                <w:szCs w:val="16"/>
                <w:color w:val="auto"/>
              </w:rPr>
            </w:pPr>
          </w:p>
        </w:tc>
        <w:tc>
          <w:tcPr>
            <w:tcW w:w="8020" w:type="dxa"/>
            <w:vAlign w:val="bottom"/>
            <w:tcBorders>
              <w:top w:val="single" w:sz="8" w:color="auto"/>
            </w:tcBorders>
            <w:gridSpan w:val="8"/>
          </w:tcPr>
          <w:p>
            <w:pPr>
              <w:spacing w:after="0" w:line="189"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Amended and Restated Certificate of Incorporation of AeroVironment, Inc.</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9"/>
                <w:szCs w:val="19"/>
                <w:color w:val="auto"/>
              </w:rPr>
            </w:pPr>
          </w:p>
        </w:tc>
        <w:tc>
          <w:tcPr>
            <w:tcW w:w="8020" w:type="dxa"/>
            <w:vAlign w:val="bottom"/>
            <w:gridSpan w:val="8"/>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Fourth Amended and Restated Bylaws of AeroVironment, Inc., amended as of December 1, 2022</w:t>
              </w:r>
            </w:hyperlink>
            <w:r>
              <w:rPr>
                <w:rFonts w:ascii="Times New Roman" w:cs="Times New Roman" w:eastAsia="Times New Roman" w:hAnsi="Times New Roman"/>
                <w:sz w:val="18"/>
                <w:szCs w:val="18"/>
                <w:color w:val="000000"/>
              </w:rPr>
              <w:t>.</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9"/>
                <w:szCs w:val="19"/>
                <w:color w:val="auto"/>
              </w:rPr>
            </w:pPr>
          </w:p>
        </w:tc>
        <w:tc>
          <w:tcPr>
            <w:tcW w:w="7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 15d-14(a) of the Securities</w:t>
            </w:r>
          </w:p>
        </w:tc>
        <w:tc>
          <w:tcPr>
            <w:tcW w:w="500" w:type="dxa"/>
            <w:vAlign w:val="bottom"/>
            <w:gridSpan w:val="2"/>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0"/>
                <w:szCs w:val="20"/>
                <w:color w:val="auto"/>
              </w:rPr>
            </w:pP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 and Rule 15d-14(a) of the Securities</w:t>
            </w:r>
          </w:p>
        </w:tc>
      </w:tr>
      <w:tr>
        <w:trPr>
          <w:trHeight w:val="223"/>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Exchange Act of 1934, as amended</w:t>
            </w:r>
            <w:r>
              <w:rPr>
                <w:rFonts w:ascii="Times New Roman" w:cs="Times New Roman" w:eastAsia="Times New Roman" w:hAnsi="Times New Roman"/>
                <w:sz w:val="18"/>
                <w:szCs w:val="18"/>
                <w:color w:val="000000"/>
              </w:rPr>
              <w:t>.</w:t>
            </w:r>
          </w:p>
        </w:tc>
        <w:tc>
          <w:tcPr>
            <w:tcW w:w="560" w:type="dxa"/>
            <w:vAlign w:val="bottom"/>
            <w:gridSpan w:val="3"/>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220" w:type="dxa"/>
            <w:vAlign w:val="bottom"/>
          </w:tcPr>
          <w:p>
            <w:pPr>
              <w:spacing w:after="0"/>
              <w:rPr>
                <w:sz w:val="20"/>
                <w:szCs w:val="20"/>
                <w:color w:val="auto"/>
              </w:rPr>
            </w:pPr>
          </w:p>
        </w:tc>
        <w:tc>
          <w:tcPr>
            <w:tcW w:w="77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w:t>
            </w:r>
          </w:p>
        </w:tc>
        <w:tc>
          <w:tcPr>
            <w:tcW w:w="280" w:type="dxa"/>
            <w:vAlign w:val="bottom"/>
          </w:tcPr>
          <w:p>
            <w:pPr>
              <w:spacing w:after="0"/>
              <w:rPr>
                <w:sz w:val="20"/>
                <w:szCs w:val="20"/>
                <w:color w:val="auto"/>
              </w:rPr>
            </w:pPr>
          </w:p>
        </w:tc>
      </w:tr>
      <w:tr>
        <w:trPr>
          <w:trHeight w:val="223"/>
        </w:trPr>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900" w:type="dxa"/>
            <w:vAlign w:val="bottom"/>
            <w:gridSpan w:val="2"/>
          </w:tcPr>
          <w:p>
            <w:pPr>
              <w:spacing w:after="0" w:line="20" w:lineRule="exact"/>
              <w:rPr>
                <w:sz w:val="1"/>
                <w:szCs w:val="1"/>
                <w:color w:val="auto"/>
              </w:rPr>
            </w:pPr>
          </w:p>
        </w:tc>
        <w:tc>
          <w:tcPr>
            <w:tcW w:w="4880" w:type="dxa"/>
            <w:vAlign w:val="bottom"/>
            <w:gridSpan w:val="2"/>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r>
      <w:tr>
        <w:trPr>
          <w:trHeight w:val="277"/>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w:t>
            </w:r>
          </w:p>
        </w:tc>
      </w:tr>
      <w:tr>
        <w:trPr>
          <w:trHeight w:val="243"/>
        </w:trPr>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5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 w:lineRule="exact"/>
        <w:rPr>
          <w:sz w:val="20"/>
          <w:szCs w:val="20"/>
          <w:color w:val="auto"/>
        </w:rPr>
      </w:pPr>
    </w:p>
    <w:p>
      <w:pPr>
        <w:ind w:left="940" w:hanging="689"/>
        <w:spacing w:after="0"/>
        <w:tabs>
          <w:tab w:leader="none" w:pos="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rFonts w:ascii="Times New Roman" w:cs="Times New Roman" w:eastAsia="Times New Roman" w:hAnsi="Times New Roman"/>
          <w:sz w:val="18"/>
          <w:szCs w:val="18"/>
          <w:color w:val="auto"/>
        </w:rPr>
      </w:pPr>
    </w:p>
    <w:p>
      <w:pPr>
        <w:ind w:left="360" w:right="139" w:hanging="316"/>
        <w:spacing w:after="0" w:line="235" w:lineRule="exact"/>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March 9, 2007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spacing w:after="0" w:line="1" w:lineRule="exact"/>
        <w:rPr>
          <w:rFonts w:ascii="Times New Roman" w:cs="Times New Roman" w:eastAsia="Times New Roman" w:hAnsi="Times New Roman"/>
          <w:sz w:val="18"/>
          <w:szCs w:val="18"/>
          <w:color w:val="auto"/>
        </w:rPr>
      </w:pPr>
    </w:p>
    <w:p>
      <w:pPr>
        <w:ind w:left="360" w:right="279" w:hanging="316"/>
        <w:spacing w:after="0" w:line="220" w:lineRule="exact"/>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Exhibit 3.2 to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December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spacing w:after="0" w:line="176" w:lineRule="exact"/>
        <w:rPr>
          <w:sz w:val="20"/>
          <w:szCs w:val="20"/>
          <w:color w:val="auto"/>
        </w:rPr>
      </w:pPr>
    </w:p>
    <w:p>
      <w:pPr>
        <w:ind w:left="360" w:right="79" w:hanging="316"/>
        <w:spacing w:after="0" w:line="258" w:lineRule="auto"/>
        <w:tabs>
          <w:tab w:leader="none" w:pos="3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18"/>
          <w:szCs w:val="18"/>
          <w:color w:val="auto"/>
        </w:rPr>
        <w:t>Date: September 4, 2024</w:t>
      </w:r>
      <w:r>
        <w:rPr>
          <w:sz w:val="20"/>
          <w:szCs w:val="20"/>
          <w:color w:val="auto"/>
        </w:rPr>
        <w:tab/>
      </w:r>
      <w:r>
        <w:rPr>
          <w:rFonts w:ascii="Times New Roman" w:cs="Times New Roman" w:eastAsia="Times New Roman" w:hAnsi="Times New Roman"/>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225" w:lineRule="exact"/>
        <w:rPr>
          <w:sz w:val="20"/>
          <w:szCs w:val="20"/>
          <w:color w:val="auto"/>
        </w:rPr>
      </w:pPr>
    </w:p>
    <w:p>
      <w:pPr>
        <w:ind w:left="360" w:hanging="316"/>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1" w:name="page42"/>
    <w:bookmarkEnd w:id="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Kevin P. McDonnell, certify that:</w:t>
      </w:r>
    </w:p>
    <w:p>
      <w:pPr>
        <w:spacing w:after="0" w:line="225" w:lineRule="exact"/>
        <w:rPr>
          <w:sz w:val="20"/>
          <w:szCs w:val="20"/>
          <w:color w:val="auto"/>
        </w:rPr>
      </w:pPr>
    </w:p>
    <w:p>
      <w:pPr>
        <w:ind w:left="360" w:hanging="316"/>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5" w:lineRule="exact"/>
        <w:rPr>
          <w:sz w:val="20"/>
          <w:szCs w:val="20"/>
          <w:color w:val="auto"/>
        </w:rPr>
      </w:pPr>
    </w:p>
    <w:p>
      <w:pPr>
        <w:jc w:val="both"/>
        <w:ind w:left="40" w:right="119" w:firstLine="48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76" w:lineRule="exact"/>
        <w:rPr>
          <w:sz w:val="20"/>
          <w:szCs w:val="20"/>
          <w:color w:val="auto"/>
        </w:rPr>
      </w:pPr>
    </w:p>
    <w:p>
      <w:pPr>
        <w:ind w:left="40" w:right="59" w:firstLine="486"/>
        <w:spacing w:after="0" w:line="255" w:lineRule="auto"/>
        <w:rPr>
          <w:sz w:val="20"/>
          <w:szCs w:val="20"/>
          <w:color w:val="auto"/>
        </w:rPr>
      </w:pPr>
      <w:r>
        <w:rPr>
          <w:rFonts w:ascii="Times New Roman" w:cs="Times New Roman" w:eastAsia="Times New Roman" w:hAnsi="Times New Roman"/>
          <w:sz w:val="18"/>
          <w:szCs w:val="18"/>
          <w:color w:val="auto"/>
        </w:rPr>
        <w:t>The Quarterly Report on Form 10-Q for the quarter ended July 27, 2024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September 4, 2024</w:t>
      </w:r>
    </w:p>
    <w:p>
      <w:pPr>
        <w:spacing w:after="0" w:line="225" w:lineRule="exact"/>
        <w:rPr>
          <w:sz w:val="20"/>
          <w:szCs w:val="20"/>
          <w:color w:val="auto"/>
        </w:rPr>
      </w:pPr>
    </w:p>
    <w:p>
      <w:pPr>
        <w:ind w:left="40" w:right="299" w:firstLine="486"/>
        <w:spacing w:after="0" w:line="25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347345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6"/>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lvl w:ilvl="1">
      <w:lvlJc w:val="left"/>
      <w:lvlText w:val="%2"/>
      <w:numFmt w:val="decimal"/>
      <w:start w:val="104"/>
    </w:lvl>
  </w:abstractNum>
  <w:abstractNum w:abstractNumId="10">
    <w:nsid w:val="140E0F76"/>
    <w:multiLevelType w:val="hybridMultilevel"/>
    <w:lvl w:ilvl="0">
      <w:lvlJc w:val="left"/>
      <w:lvlText w:val="(%1)"/>
      <w:numFmt w:val="decimal"/>
      <w:start w:val="1"/>
    </w:lvl>
    <w:lvl w:ilvl="1">
      <w:lvlJc w:val="left"/>
      <w:lvlText w:val="%2"/>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69" Type="http://schemas.openxmlformats.org/officeDocument/2006/relationships/hyperlink" Target="https://www.sec.gov/Archives/edgar/data/1368622/000095015007000008/a28119exv3w1.htm" TargetMode="External"/><Relationship Id="rId70" Type="http://schemas.openxmlformats.org/officeDocument/2006/relationships/hyperlink" Target="https://www.sec.gov/Archives/edgar/data/1368622/000155837022018418/avav-20221029x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2024-09-05T05:20:32Z</dcterms:created>
  <dcterms:modified xsi:type="dcterms:W3CDTF">2024-09-05T05:20:32Z</dcterms:modified>
</cp:coreProperties>
</file>