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60" w:right="32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29, 2011</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6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95-2705790</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Monrovia, California</w:t>
            </w:r>
          </w:p>
        </w:tc>
        <w:tc>
          <w:tcPr>
            <w:tcW w:w="38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91016</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(626) 357-9983</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2" w:lineRule="exact"/>
        <w:rPr>
          <w:sz w:val="24"/>
          <w:szCs w:val="24"/>
          <w:color w:val="auto"/>
        </w:rPr>
      </w:pPr>
    </w:p>
    <w:p>
      <w:pPr>
        <w:ind w:left="1940"/>
        <w:spacing w:after="0"/>
        <w:tabs>
          <w:tab w:leader="none" w:pos="794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27"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(Do not check if smaller reporting company)</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25, 2011, the number of shares outstanding of the registrant’s common stock, $0.0001 par value, was 21,897,478.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29"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340"/>
          </w:cols>
          <w:pgMar w:left="240" w:top="229" w:right="319" w:bottom="0" w:gutter="0" w:footer="0" w:header="0"/>
          <w:type w:val="continuous"/>
        </w:sectPr>
      </w:pPr>
    </w:p>
    <w:bookmarkStart w:id="1" w:name="page2"/>
    <w:bookmarkEnd w:id="1"/>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AeroVironment, 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4"/>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 FINANCIAL INFORMATION</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Item 1.</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15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Financial Statements:</w:t>
              </w:r>
            </w:hyperlink>
          </w:p>
        </w:tc>
        <w:tc>
          <w:tcPr>
            <w:tcW w:w="5240" w:type="dxa"/>
            <w:vAlign w:val="bottom"/>
            <w:tcBorders>
              <w:bottom w:val="single" w:sz="8" w:color="CCEEFF"/>
            </w:tcBorders>
            <w:gridSpan w:val="9"/>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20" w:type="dxa"/>
            <w:vAlign w:val="bottom"/>
            <w:gridSpan w:val="18"/>
          </w:tcPr>
          <w:p>
            <w:pPr>
              <w:spacing w:after="0" w:line="17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Consolidated Balance Sheets as of January 29, 2011 (Unaudited) and April 30, 2010</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6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Income for the three and nine months ended January 29, 2011 (Unaudited) and January 30, 2010</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44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w:t>
              </w:r>
            </w:hyperlink>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40" w:type="dxa"/>
            <w:vAlign w:val="bottom"/>
            <w:gridSpan w:val="24"/>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Cash Flows for the nine months ended January 29, 2011 (Unaudited) and January 30, 2010</w:t>
              </w:r>
            </w:hyperlink>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Notes to Consolidated Financial Statements (Unaudited)</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4"/>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Item 2.</w:t>
              </w:r>
            </w:hyperlink>
          </w:p>
        </w:tc>
        <w:tc>
          <w:tcPr>
            <w:tcW w:w="6800" w:type="dxa"/>
            <w:vAlign w:val="bottom"/>
            <w:gridSpan w:val="20"/>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2">
              <w:r>
                <w:rPr>
                  <w:rFonts w:ascii="Times New Roman" w:cs="Times New Roman" w:eastAsia="Times New Roman" w:hAnsi="Times New Roman"/>
                  <w:sz w:val="18"/>
                  <w:szCs w:val="18"/>
                  <w:color w:val="0000EE"/>
                  <w:w w:val="94"/>
                </w:rPr>
                <w:t>Item 3.</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Quantitative and Qualitative Disclosures About Market Risk</w:t>
              </w:r>
            </w:hyperlink>
          </w:p>
        </w:tc>
        <w:tc>
          <w:tcPr>
            <w:tcW w:w="244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4"/>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4.</w:t>
              </w:r>
            </w:hyperlink>
          </w:p>
        </w:tc>
        <w:tc>
          <w:tcPr>
            <w:tcW w:w="6800" w:type="dxa"/>
            <w:vAlign w:val="bottom"/>
            <w:gridSpan w:val="20"/>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Controls and Procedures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4"/>
          </w:tcPr>
          <w:p>
            <w:pPr>
              <w:spacing w:after="0" w:line="176" w:lineRule="exact"/>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PART II. OTHER INFORMATION</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4"/>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w:t>
              </w:r>
            </w:hyperlink>
          </w:p>
        </w:tc>
        <w:tc>
          <w:tcPr>
            <w:tcW w:w="6800" w:type="dxa"/>
            <w:vAlign w:val="bottom"/>
            <w:gridSpan w:val="20"/>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Legal Proceedings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1A.</w:t>
              </w:r>
            </w:hyperlink>
          </w:p>
        </w:tc>
        <w:tc>
          <w:tcPr>
            <w:tcW w:w="68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2.</w:t>
              </w:r>
            </w:hyperlink>
          </w:p>
        </w:tc>
        <w:tc>
          <w:tcPr>
            <w:tcW w:w="640" w:type="dxa"/>
            <w:vAlign w:val="bottom"/>
            <w:gridSpan w:val="2"/>
          </w:tcPr>
          <w:p>
            <w:pPr>
              <w:spacing w:after="0"/>
              <w:rPr>
                <w:sz w:val="15"/>
                <w:szCs w:val="15"/>
                <w:color w:val="auto"/>
              </w:rPr>
            </w:pPr>
          </w:p>
        </w:tc>
        <w:tc>
          <w:tcPr>
            <w:tcW w:w="6800" w:type="dxa"/>
            <w:vAlign w:val="bottom"/>
            <w:gridSpan w:val="20"/>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Unregistered Sales of Equity Securities and Use of Proceeds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3.</w:t>
              </w:r>
            </w:hyperlink>
          </w:p>
        </w:tc>
        <w:tc>
          <w:tcPr>
            <w:tcW w:w="760" w:type="dxa"/>
            <w:vAlign w:val="bottom"/>
            <w:gridSpan w:val="3"/>
            <w:shd w:val="clear" w:color="auto" w:fill="CCEEFF"/>
          </w:tcPr>
          <w:p>
            <w:pPr>
              <w:spacing w:after="0"/>
              <w:rPr>
                <w:sz w:val="17"/>
                <w:szCs w:val="17"/>
                <w:color w:val="auto"/>
              </w:rPr>
            </w:pPr>
          </w:p>
        </w:tc>
        <w:tc>
          <w:tcPr>
            <w:tcW w:w="68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Defaults Upon Senior Securities</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4.</w:t>
              </w:r>
            </w:hyperlink>
          </w:p>
        </w:tc>
        <w:tc>
          <w:tcPr>
            <w:tcW w:w="760" w:type="dxa"/>
            <w:vAlign w:val="bottom"/>
            <w:tcBorders>
              <w:top w:val="single" w:sz="8" w:color="CCEEFF"/>
            </w:tcBorders>
            <w:gridSpan w:val="3"/>
          </w:tcPr>
          <w:p>
            <w:pPr>
              <w:spacing w:after="0"/>
              <w:rPr>
                <w:sz w:val="15"/>
                <w:szCs w:val="15"/>
                <w:color w:val="auto"/>
              </w:rPr>
            </w:pPr>
          </w:p>
        </w:tc>
        <w:tc>
          <w:tcPr>
            <w:tcW w:w="23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Reserved</w:t>
              </w:r>
            </w:hyperlink>
          </w:p>
        </w:tc>
        <w:tc>
          <w:tcPr>
            <w:tcW w:w="4480" w:type="dxa"/>
            <w:vAlign w:val="bottom"/>
            <w:tcBorders>
              <w:top w:val="single" w:sz="8" w:color="CCEEFF"/>
            </w:tcBorders>
            <w:gridSpan w:val="6"/>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5.</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132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3">
              <w:r>
                <w:rPr>
                  <w:rFonts w:ascii="Times New Roman" w:cs="Times New Roman" w:eastAsia="Times New Roman" w:hAnsi="Times New Roman"/>
                  <w:sz w:val="18"/>
                  <w:szCs w:val="18"/>
                  <w:color w:val="0000EE"/>
                  <w:w w:val="98"/>
                </w:rPr>
                <w:t>Other Information</w:t>
              </w:r>
            </w:hyperlink>
          </w:p>
        </w:tc>
        <w:tc>
          <w:tcPr>
            <w:tcW w:w="5480" w:type="dxa"/>
            <w:vAlign w:val="bottom"/>
            <w:tcBorders>
              <w:bottom w:val="single" w:sz="8" w:color="CCEEFF"/>
            </w:tcBorders>
            <w:gridSpan w:val="1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4"/>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6.</w:t>
              </w:r>
            </w:hyperlink>
          </w:p>
        </w:tc>
        <w:tc>
          <w:tcPr>
            <w:tcW w:w="6800" w:type="dxa"/>
            <w:vAlign w:val="bottom"/>
            <w:gridSpan w:val="20"/>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Exhibits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Signatures</w:t>
              </w:r>
            </w:hyperlink>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40" w:type="dxa"/>
            <w:vAlign w:val="bottom"/>
            <w:gridSpan w:val="18"/>
          </w:tcPr>
          <w:p>
            <w:pPr>
              <w:jc w:val="center"/>
              <w:ind w:left="25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AeroVironment,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39,099</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122,784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gridSpan w:val="24"/>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$804 at January 29, 2011 and $745 at April</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30, 2010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44,452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259,258</w:t>
            </w: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245,595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60" w:type="dxa"/>
            <w:vAlign w:val="bottom"/>
            <w:gridSpan w:val="24"/>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23,167</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Preferred stock, $0.0001 par 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gridSpan w:val="24"/>
          </w:tcPr>
          <w:p>
            <w:pPr>
              <w:ind w:left="340"/>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-6213475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-6213475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9" w:orient="portrait"/>
          <w:cols w:equalWidth="0" w:num="1">
            <w:col w:w="11460"/>
          </w:cols>
          <w:pgMar w:left="240" w:top="333" w:right="199" w:bottom="0" w:gutter="0" w:footer="0" w:header="0"/>
        </w:sectPr>
      </w:pPr>
    </w:p>
    <w:bookmarkStart w:id="2" w:name="page3"/>
    <w:bookmarkEnd w:id="2"/>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shares — 100,000,000</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shares — 21,894,413 at January 29, 2011 and 21,732,413 at April 30, 2010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118,064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115,602</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126,849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118,576</w:t>
            </w:r>
          </w:p>
        </w:tc>
        <w:tc>
          <w:tcPr>
            <w:tcW w:w="80" w:type="dxa"/>
            <w:vAlign w:val="bottom"/>
          </w:tcPr>
          <w:p>
            <w:pPr>
              <w:spacing w:after="0"/>
              <w:rPr>
                <w:sz w:val="18"/>
                <w:szCs w:val="18"/>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292,893</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45,996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25,353</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38,438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95,733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2"/>
              </w:rPr>
              <w:t>84,434</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25,869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55,201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24,436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63,302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2"/>
              </w:rPr>
              <w:t>50,305</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34,129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10,578</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2"/>
              </w:rPr>
              <w:t>15,679</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15,728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11,454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data:</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21,594,032</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21,394,204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21,568,541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22,096,989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21,991,067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22,046,479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21,952,140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7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r>
      <w:tr>
        <w:trPr>
          <w:trHeight w:val="173"/>
        </w:trPr>
        <w:tc>
          <w:tcPr>
            <w:tcW w:w="78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r>
      <w:tr>
        <w:trPr>
          <w:trHeight w:val="198"/>
        </w:trPr>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and cash equivalents provided by (used in) operating</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8,105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from exercise of stock options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(7,952)</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(18,111)</w:t>
            </w:r>
          </w:p>
        </w:tc>
      </w:tr>
    </w:tbl>
    <w:p>
      <w:pPr>
        <w:sectPr>
          <w:pgSz w:w="11900" w:h="16929"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2,962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(purchases) of held-to-maturity investments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12,986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sales of available-for-sale investments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28,665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116,501</w:t>
            </w:r>
          </w:p>
        </w:tc>
        <w:tc>
          <w:tcPr>
            <w:tcW w:w="0" w:type="dxa"/>
            <w:vAlign w:val="bottom"/>
          </w:tcPr>
          <w:p>
            <w:pPr>
              <w:spacing w:after="0"/>
              <w:rPr>
                <w:sz w:val="1"/>
                <w:szCs w:val="1"/>
                <w:color w:val="auto"/>
              </w:rPr>
            </w:pPr>
          </w:p>
        </w:tc>
      </w:tr>
      <w:tr>
        <w:trPr>
          <w:trHeight w:val="250"/>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39,099</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losses on long-term investments recorded in other comprehensive loss, net of deferred taxes of $43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$140, respectively</w:t>
            </w:r>
          </w:p>
        </w:tc>
        <w:tc>
          <w:tcPr>
            <w:tcW w:w="6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and support of unmanned aircraft systems and efficient energy systems for various industries and governmental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29, 2011 are not necessarily indicative of the results for the full year ending April 30, 2011. For further information, refer to the consolidated financial statements and footnotes thereto for the year ended April 30, 2010, included in AeroVironment, Inc.’s Annual Report on Form 10-K.</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7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accounted for as held-to-maturity and available-for-sale and reported at amortized cost and fair value,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retentions and accounts payable approximate cost due to the short period of time to maturity.</w:t>
      </w:r>
    </w:p>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diluted to basic shares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3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3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38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gridSpan w:val="2"/>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earnings per share: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5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excluding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21,594,032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21,394,204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21,568,541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21,352,838</w:t>
            </w:r>
          </w:p>
        </w:tc>
        <w:tc>
          <w:tcPr>
            <w:tcW w:w="80" w:type="dxa"/>
            <w:vAlign w:val="bottom"/>
          </w:tcPr>
          <w:p>
            <w:pPr>
              <w:spacing w:after="0"/>
              <w:rPr>
                <w:sz w:val="20"/>
                <w:szCs w:val="20"/>
                <w:color w:val="auto"/>
              </w:rPr>
            </w:pPr>
          </w:p>
        </w:tc>
      </w:tr>
      <w:tr>
        <w:trPr>
          <w:trHeight w:val="198"/>
        </w:trPr>
        <w:tc>
          <w:tcPr>
            <w:tcW w:w="5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and unvested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502,957</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596,863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477,938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599,302</w:t>
            </w:r>
          </w:p>
        </w:tc>
        <w:tc>
          <w:tcPr>
            <w:tcW w:w="80" w:type="dxa"/>
            <w:vAlign w:val="bottom"/>
            <w:shd w:val="clear" w:color="auto" w:fill="CCEEFF"/>
          </w:tcPr>
          <w:p>
            <w:pPr>
              <w:spacing w:after="0"/>
              <w:rPr>
                <w:sz w:val="20"/>
                <w:szCs w:val="20"/>
                <w:color w:val="auto"/>
              </w:rPr>
            </w:pPr>
          </w:p>
        </w:tc>
      </w:tr>
      <w:tr>
        <w:trPr>
          <w:trHeight w:val="21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22,096,989</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21,991,067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22,046,479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21,952,140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January 29, 2011 and January 30, 2010, certain options and shares of unvested restricted stock were not included in the computation of diluted earnings per share because their inclusion would have been anti-dilutive. The number of options and shares of unvested restricted stock which met this anti-dilutive criterion was approximately 24,000 and 49,000 for the three and nine months ended January 29, 2011, respectively. The number of options and shares of unvested restricted stock which met this anti-dilutive criterion was approximately 11,000 and 14,000 for the three and nine months ended January 30, 2010,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2009, the Financial Accounting Standards Board issued an accounting standards update that requires an entity to allocate arrangement consideration at the inception of an arrangement to all of its deliverables based on their relative selling prices, eliminates the use of the residual method of allocation, and requires the relative-selling-price method in all circumstances in which an entity recognizes revenue of an arrangement with multiple deliverables. This guidance will be effective for the Company beginning on May 1, 2011, however, early adoption is permitted. The Company does not expect that this new guidance will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4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5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3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122,784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135,770</w:t>
            </w:r>
          </w:p>
        </w:tc>
        <w:tc>
          <w:tcPr>
            <w:tcW w:w="80" w:type="dxa"/>
            <w:vAlign w:val="bottom"/>
            <w:shd w:val="clear" w:color="auto" w:fill="CCEEFF"/>
          </w:tcPr>
          <w:p>
            <w:pPr>
              <w:spacing w:after="0"/>
              <w:rPr>
                <w:sz w:val="18"/>
                <w:szCs w:val="18"/>
                <w:color w:val="auto"/>
              </w:rPr>
            </w:pPr>
          </w:p>
        </w:tc>
      </w:tr>
      <w:tr>
        <w:trPr>
          <w:trHeight w:val="250"/>
        </w:trPr>
        <w:tc>
          <w:tcPr>
            <w:tcW w:w="5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8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5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Long-term investments:</w:t>
            </w:r>
          </w:p>
        </w:tc>
        <w:tc>
          <w:tcPr>
            <w:tcW w:w="2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Auction rate securities</w:t>
            </w:r>
          </w:p>
        </w:tc>
        <w:tc>
          <w:tcPr>
            <w:tcW w:w="3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shd w:val="clear" w:color="auto" w:fill="CCEEFF"/>
          </w:tcPr>
          <w:p>
            <w:pPr>
              <w:spacing w:after="0"/>
              <w:rPr>
                <w:sz w:val="18"/>
                <w:szCs w:val="18"/>
                <w:color w:val="auto"/>
              </w:rPr>
            </w:pPr>
          </w:p>
        </w:tc>
      </w:tr>
      <w:tr>
        <w:trPr>
          <w:trHeight w:val="210"/>
        </w:trPr>
        <w:tc>
          <w:tcPr>
            <w:tcW w:w="5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8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ectPr>
          <w:pgSz w:w="11900" w:h="16839" w:orient="portrait"/>
          <w:cols w:equalWidth="0" w:num="1">
            <w:col w:w="11420"/>
          </w:cols>
          <w:pgMar w:left="240" w:top="117" w:right="239" w:bottom="0" w:gutter="0" w:footer="0" w:header="0"/>
        </w:sectPr>
      </w:pPr>
    </w:p>
    <w:bookmarkStart w:id="5" w:name="page6"/>
    <w:bookmarkEnd w:id="5"/>
    <w:p>
      <w:pPr>
        <w:ind w:right="140"/>
        <w:spacing w:after="0" w:line="282" w:lineRule="auto"/>
        <w:rPr>
          <w:sz w:val="20"/>
          <w:szCs w:val="20"/>
          <w:color w:val="auto"/>
        </w:rPr>
      </w:pPr>
      <w:r>
        <w:rPr>
          <w:rFonts w:ascii="Times New Roman" w:cs="Times New Roman" w:eastAsia="Times New Roman" w:hAnsi="Times New Roman"/>
          <w:sz w:val="18"/>
          <w:szCs w:val="18"/>
          <w:color w:val="auto"/>
        </w:rPr>
        <w:t>At January 29, 2011, the balance of held-to-maturity securities consisted of U.S. Treasury bills. Interest earned from these investments is recorded in interest income.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 investments as of January 29, 2011,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1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 investments as of April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6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Company’s held-to-maturity securities by contractual maturity at January 29, 2011,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January 29, 2011, the entire balance of available-for-sale securities consisted of four investment grade auction rate municipal bonds with maturities ranging from 9 to 24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January 29, 2011, until a future auction of these securities is successful or a buyer is found outside of the auction process.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failed auctions, the fair values of these securities are estimated utilizing a discounted cash flow analysis as of January 29, 2011.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January 29, 2011, it did not consider these investments to be other-than-temporarily impaired.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available-for-sale investments as of January 29, 2011,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available-for-sale investments as of April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6" w:name="page7"/>
    <w:bookmarkEnd w:id="6"/>
    <w:p>
      <w:pPr>
        <w:spacing w:after="0"/>
        <w:tabs>
          <w:tab w:leader="none" w:pos="4980" w:val="left"/>
          <w:tab w:leader="none" w:pos="5940" w:val="left"/>
          <w:tab w:leader="none" w:pos="6640" w:val="left"/>
          <w:tab w:leader="none" w:pos="7840" w:val="left"/>
          <w:tab w:leader="none" w:pos="8300" w:val="left"/>
          <w:tab w:leader="none" w:pos="9200" w:val="left"/>
          <w:tab w:leader="none" w:pos="9940" w:val="left"/>
          <w:tab w:leader="none" w:pos="10880" w:val="left"/>
        </w:tabs>
        <w:rPr>
          <w:sz w:val="20"/>
          <w:szCs w:val="20"/>
          <w:color w:val="auto"/>
        </w:rPr>
      </w:pPr>
      <w:r>
        <w:rPr>
          <w:rFonts w:ascii="Times New Roman" w:cs="Times New Roman" w:eastAsia="Times New Roman" w:hAnsi="Times New Roman"/>
          <w:sz w:val="18"/>
          <w:szCs w:val="18"/>
          <w:color w:val="auto"/>
        </w:rPr>
        <w:t>Total available-for-sale investments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(1,260)</w:t>
        <w:tab/>
        <w:t>$</w:t>
      </w:r>
      <w:r>
        <w:rPr>
          <w:sz w:val="20"/>
          <w:szCs w:val="20"/>
          <w:color w:val="auto"/>
        </w:rPr>
        <w:tab/>
      </w:r>
      <w:r>
        <w:rPr>
          <w:rFonts w:ascii="Times New Roman" w:cs="Times New Roman" w:eastAsia="Times New Roman" w:hAnsi="Times New Roman"/>
          <w:sz w:val="18"/>
          <w:szCs w:val="18"/>
          <w:color w:val="auto"/>
        </w:rPr>
        <w:t>6,515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34290</wp:posOffset>
            </wp:positionV>
            <wp:extent cx="401320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3200" cy="260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Company’s auction rate securities by contractual maturity at January 29, 2011,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through 10 years</w:t>
            </w:r>
          </w:p>
        </w:tc>
        <w:tc>
          <w:tcPr>
            <w:tcW w:w="2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 net</w:t>
            </w: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7,189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12,343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62" w:lineRule="exact"/>
        <w:rPr>
          <w:sz w:val="20"/>
          <w:szCs w:val="20"/>
          <w:color w:val="auto"/>
        </w:rPr>
      </w:pPr>
    </w:p>
    <w:p>
      <w:pPr>
        <w:ind w:left="1080" w:right="320" w:hanging="1072"/>
        <w:spacing w:after="0" w:line="261"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based upon quoted prices (unadjusted) for identical assets or liabilities in active markets that are accessible as of the measurement date.</w:t>
      </w:r>
    </w:p>
    <w:p>
      <w:pPr>
        <w:ind w:left="1080" w:right="340" w:hanging="1072"/>
        <w:spacing w:after="0" w:line="250"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that are unobservable inputs for the asset or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January 29, 2011,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0"/>
                <w:szCs w:val="10"/>
                <w:color w:val="auto"/>
              </w:rPr>
            </w:pPr>
          </w:p>
        </w:tc>
        <w:tc>
          <w:tcPr>
            <w:tcW w:w="1320" w:type="dxa"/>
            <w:vAlign w:val="bottom"/>
          </w:tcPr>
          <w:p>
            <w:pPr>
              <w:jc w:val="center"/>
              <w:ind w:right="20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13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Due to the auction failures of the Company’s auction rate securities that began in the fourth quarter of fiscal 2008, there are still no quoted prices in active markets for identical assets as of January 29, 2011.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(realized or unrealized)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or (losses) for the period included in earnings (or change in net assets) attributable to the change</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unrealized gains or losses relating to assets still held at January 29, 2011</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ectPr>
          <w:pgSz w:w="11900" w:h="16838" w:orient="portrait"/>
          <w:cols w:equalWidth="0" w:num="1">
            <w:col w:w="11420"/>
          </w:cols>
          <w:pgMar w:left="240" w:top="121" w:right="239" w:bottom="68" w:gutter="0" w:footer="0" w:header="0"/>
        </w:sectPr>
      </w:pPr>
    </w:p>
    <w:bookmarkStart w:id="7" w:name="page8"/>
    <w:bookmarkEnd w:id="7"/>
    <w:p>
      <w:pPr>
        <w:ind w:right="140"/>
        <w:spacing w:after="0" w:line="258" w:lineRule="auto"/>
        <w:rPr>
          <w:sz w:val="20"/>
          <w:szCs w:val="20"/>
          <w:color w:val="auto"/>
        </w:rPr>
      </w:pPr>
      <w:r>
        <w:rPr>
          <w:rFonts w:ascii="Times New Roman" w:cs="Times New Roman" w:eastAsia="Times New Roman" w:hAnsi="Times New Roman"/>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$7.6 million. The Company will continue to monitor the value of its auction rate securities at each reporting period for a possible other-than-temporary impairment.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comprehensive income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11,454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6,515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losses on long-term investments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2"/>
              </w:rPr>
              <w:t>11,404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29, 2011 and January 30, 2010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Customer-Funded Research &amp; Development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$8.7 million and $30.3 million for the three and nine months ended January 29, 2011, respectively. Revenue from customer-funded R&amp;D was approximately $16.3 million and $64.1 million for the three and nine months ended January 30, 2010,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January 29, 2011, the Company recorded a provision for income taxes of $4.3 million and $0.7 million, respectively, yielding an effective tax rate of 27.2% and 8.0%, respectively. The variance from statutory rates for the three and nine months ended January 29, 2011 was primarily driven by two factors: first, a reduction in the liability for uncertain tax positions of $1.7 million related to the conclusion of the examination of the Company’s fiscal 2003 and 2004 tax returns in May of 2010; and second, the reinstatement of federal R&amp;D tax credits in December of 2010.</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January 30, 2010, the Company recorded a provision for income taxes of $2.0 million and $1.4 million, respectively, yielding an effective tax rate of 23.5% and 21.4%, respectively. The variance from statutory rates is primarily due to R&amp;D tax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 segments are as follows:</w:t>
      </w:r>
    </w:p>
    <w:p>
      <w:pPr>
        <w:spacing w:after="0" w:line="225" w:lineRule="exact"/>
        <w:rPr>
          <w:sz w:val="20"/>
          <w:szCs w:val="20"/>
          <w:color w:val="auto"/>
        </w:rPr>
      </w:pPr>
    </w:p>
    <w:p>
      <w:pPr>
        <w:ind w:left="980" w:right="100" w:hanging="648"/>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Aircraft Systems (“UAS”) — The UAS segment consists primarily of the design, development, production and support of unmanned aircraft systems solutions.</w:t>
      </w:r>
    </w:p>
    <w:p>
      <w:pPr>
        <w:spacing w:after="0" w:line="161" w:lineRule="exact"/>
        <w:rPr>
          <w:rFonts w:ascii="Times New Roman" w:cs="Times New Roman" w:eastAsia="Times New Roman" w:hAnsi="Times New Roman"/>
          <w:sz w:val="18"/>
          <w:szCs w:val="18"/>
          <w:color w:val="auto"/>
        </w:rPr>
      </w:pPr>
    </w:p>
    <w:p>
      <w:pPr>
        <w:ind w:left="980" w:right="660" w:hanging="648"/>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Energy Systems (“EES”) — The EES segment consists primarily of the design, development, production and support of system solutions for the electric transportation markets.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ectPr>
          <w:pgSz w:w="11900" w:h="16838" w:orient="portrait"/>
          <w:cols w:equalWidth="0" w:num="1">
            <w:col w:w="11460"/>
          </w:cols>
          <w:pgMar w:left="240" w:top="121" w:right="199" w:bottom="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60"/>
          </w:cols>
          <w:pgMar w:left="240" w:top="121" w:right="199" w:bottom="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results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5"/>
                <w:szCs w:val="15"/>
                <w:color w:val="auto"/>
              </w:rPr>
            </w:pPr>
          </w:p>
        </w:tc>
      </w:tr>
      <w:tr>
        <w:trPr>
          <w:trHeight w:val="117"/>
        </w:trPr>
        <w:tc>
          <w:tcPr>
            <w:tcW w:w="3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71,733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55,089</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158,796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132,089</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12,701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18,079</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29,003</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56,807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45,926</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7,919</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24,533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16,616</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made to the critical accounting estimates during the periods presented in the consolidated financial statements from those disclosed in the Form 10-K for the fiscal year ended April 30, 2010.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2011 fiscal year ends on April 30, 2011 and our fiscal quarters end on July 31, 2010, October 30, 2010 and January 29, 2011.</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ectPr>
          <w:pgSz w:w="11900" w:h="16838" w:orient="portrait"/>
          <w:cols w:equalWidth="0" w:num="1">
            <w:col w:w="11460"/>
          </w:cols>
          <w:pgMar w:left="240" w:top="513" w:right="19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sets forth our revenue and gross margin generated by each operating segment for the periods indicated (in thousands):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29, 2011 Compared to Three Months Ended January 30, 2010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3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55,089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12,701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5,772</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60,861</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29,003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21,125</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7,872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January 29, 2011 was $84.4 million, as compared to $60.9 million for the three months ended January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2010, representing an increase of $23.6 million, or 39%. UAS revenue increased by $16.6 million to $71.7 million for the three months ended January 29, 2011, primarily due to an increase in UAS product deliveries of $15.8 million and service revenue of $8.6 million, partially offset by a decrease in customer-funded R&amp;D work of $7.7 million. The increase in UAS product deliveries and service revenue was primarily due to increased deliveries of digital Puma® All Environment unmanned aircraft systems, or Puma AE systems, and retrofits of Raven B systems with our Digital Data Link, or DDL, technology. The decrease in customer-funded R&amp;D work was primarily due to decreased activity on the Global Observer program. EES revenue increased by $6.9 million, or 120%, to $12.7 million for the three months ended January 29, 2011. The increase in EES revenue was primarily due to increased product deliveries of electric vehicle test systems and the initial rollout of electric charging docks to automobile dealerships and consumers.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January 29, 2011 was $50.3 million, as compared to $37.4 million for the three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2010, representing an increase of $12.9 million, or 35%. The increase in cost of sales was caused primarily by increases in UAS cost of sales of $8.8 million and EES cost of sales of $4.1 million due to increased revenues.</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January 29, 2011 was $34.1 million, as compared to $23.5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30, 2010, representing an increase of $10.6 million, or 45%. UAS gross margin increased $7.9 million, or 37%, to $29.0 million for the three months ended January 29, 2011. As a percentage of revenue, gross margin for UAS increased from 38% to 40%. EES gross margin increased $2.8 million, or 118%, to $5.1 million for the three months ended January 29, 2011. As a percentage of revenue, EES gross margin decreased from 41% to 40%.</w:t>
      </w:r>
    </w:p>
    <w:p>
      <w:pPr>
        <w:spacing w:after="0" w:line="17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January 29, 2011 was $10.6 million, or 13% of revenue,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of $9.8 million, or 16% of revenue, for the three months ended January 30, 2010. SG&amp;A expense increased $0.8 million primarily due to higher marketing and business development costs and higher administrative infrastructure costs.</w:t>
      </w:r>
    </w:p>
    <w:p>
      <w:pPr>
        <w:spacing w:after="0" w:line="17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January 29, 2011 was $7.9 million, or 9% of revenue, compared to R&amp;D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million, or 8% of revenue, for the three months ended January 30, 2010. R&amp;D expense increased $2.7 million primarily due to increased investment in various UAS and EES technology development initiatives.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for the three months ended January 29, 2011 and January 30, 2010 remained unchanged at $0.1 million.</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Our effective income tax rate was 27.2% for the three months ended January 29, 2011, as compared to 23.5%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January 30, 2010. The increase was primarily due to higher taxable income.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January 29, 2011 Compared to Nine Months Ended January 30, 2010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3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158,796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132,089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18,079</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56,807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45,926</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7,919</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24,533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16,616</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22" w:gutter="0" w:footer="0" w:header="0"/>
        </w:sectPr>
      </w:pPr>
    </w:p>
    <w:bookmarkStart w:id="10" w:name="page11"/>
    <w:bookmarkEnd w:id="10"/>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nine months ended January 29, 2011 was $186.4 million, as compared to $150.2 million for the nine months ended January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2010, representing an increase of $36.3 million, or 24%. UAS revenue increased $26.7 million, or 20%, to $158.8 million for the nine months ended January 29, 2011, primarily due to increased UAS product deliveries of $31.2 million and service revenue of $28.8 million, partially offset by lower customer-funded R&amp;D work of $33.2 million. The increase in product deliveries was primarily due to increased deliveries of Raven B and Puma AE systems with our DDL technology. The increase in UAS service revenue was primarily due to increased retrofits of Raven B systems with our DDL technology. The decrease in UAS customer-funded R&amp;D revenue was primarily due to decreased activity on the Global Observer program. EES revenue increased by $9.6 million, or 53%, to $27.6 million for the nine months ended January 29, 2011. The increase in EES revenue was primarily due to increased product deliveries of industrial electric vehicle charging and electrical vehicle test systems, as well as the initial rollout of electric charging docks to automobile dealerships and consumers.</w:t>
      </w:r>
    </w:p>
    <w:p>
      <w:pPr>
        <w:spacing w:after="0" w:line="18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nine months ended January 29, 2011 was $118.5 million, as compared to $96.3 million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2010, representing an increase of $22.2 million, or 23%. The increase in cost of sales was caused by higher UAS cost of sales of $15.8 million and EES cost of sales of $6.4 million due to increased revenues.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nine months ended January 29, 2011 was $67.9 million, as compared to $53.8 million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2010, representing an increase of $14.1million, or 26%. UAS gross margin increased $10.9 million, or 24%, to $56.8 million for the nine months ended January 29, 2011. As a percentage of revenue, gross margin for UAS increased from 35% to 36%. EES gross margin increased $3.2 million, or 41%, to $11.1 million for the nine months ended January 29, 2011. As a percentage of revenue, EES gross margin decreased from 44% to 40%, due to higher manufacturing overhead support costs to increase production capability and capacity.</w:t>
      </w:r>
    </w:p>
    <w:p>
      <w:pPr>
        <w:spacing w:after="0" w:line="1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nine months ended January 29, 2011 was $34.6 million, or 19% of revenue,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of $30.8 million, or 21% of revenue, for the nine months ended January 30, 2010. SG&amp;A expense increased $3.8 million primarily due to higher marketing and business development costs and higher administrative infrastructure costs.</w:t>
      </w:r>
    </w:p>
    <w:p>
      <w:pPr>
        <w:spacing w:after="0" w:line="17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nine months ended January 29, 2011 was $24.5 million, or 13% of revenue, compared to R&amp;D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$16.6 million, or 11% of revenue, for the nine months ended January 30, 2010. The increase in R&amp;D expense of $7.9 million was primarily due to increased investment in various UAS and EES technology development initiatives.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for the nine months ended January 29, 2011 was $0.2 million, compared to $0.1 million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30, 2010.</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Our effective income tax rate was 8.0% for the nine months ended January 29, 2011, as compared to 21.4%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30, 2010. The decrease in the effective tax rate was primarily due to higher federal R&amp;D tax credits.</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define funded backlog as unfilled firm orders for products and services for which funding currently is appropriated to us under the contract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customer. As of January 29, 2011 and April 30, 2010, our funded backlog was approximately $103.8 million and $72.3 million, respectively.</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$170.5 million and $269.4 million as of January 29, 2011 and April 30, 2010,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ectPr>
          <w:pgSz w:w="11900" w:h="16838" w:orient="portrait"/>
          <w:cols w:equalWidth="0" w:num="1">
            <w:col w:w="11420"/>
          </w:cols>
          <w:pgMar w:left="240" w:top="117" w:right="239" w:bottom="0" w:gutter="0" w:footer="0" w:header="0"/>
        </w:sectPr>
      </w:pPr>
    </w:p>
    <w:bookmarkStart w:id="11" w:name="page12"/>
    <w:bookmarkEnd w:id="11"/>
    <w:p>
      <w:pPr>
        <w:spacing w:after="0" w:line="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cash flow data for the nine months ended January 29, 2011 and January 30, 2010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81"/>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r>
      <w:tr>
        <w:trPr>
          <w:trHeight w:val="173"/>
        </w:trPr>
        <w:tc>
          <w:tcPr>
            <w:tcW w:w="5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7,087</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bl>
    <w:p>
      <w:pPr>
        <w:spacing w:after="0" w:line="1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Operating Activities. </w:t>
      </w:r>
      <w:r>
        <w:rPr>
          <w:rFonts w:ascii="Times New Roman" w:cs="Times New Roman" w:eastAsia="Times New Roman" w:hAnsi="Times New Roman"/>
          <w:sz w:val="18"/>
          <w:szCs w:val="18"/>
          <w:color w:val="auto"/>
        </w:rPr>
        <w:t>Net cash provided by operating activities for the nine months ended January 29, 2011 increased by $14.6 million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million, compared to net cash used in operating activities of $11.6 million for the nine months ended January 30, 2010. This increase in net cash provided by operating activities was primarily due to lower working capital needs of $10.5 million, higher income of $3.1million, and higher depreciation of $1.6 million.</w:t>
      </w:r>
    </w:p>
    <w:p>
      <w:pPr>
        <w:spacing w:after="0" w:line="1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Investing Activities. </w:t>
      </w:r>
      <w:r>
        <w:rPr>
          <w:rFonts w:ascii="Times New Roman" w:cs="Times New Roman" w:eastAsia="Times New Roman" w:hAnsi="Times New Roman"/>
          <w:sz w:val="18"/>
          <w:szCs w:val="18"/>
          <w:color w:val="auto"/>
        </w:rPr>
        <w:t>Net cash provided by investing activities increased by $60.0 million to $7.1 million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2011, compared to net cash used in investing activities of $52.9 million for the nine months ended January 30, 2010. The increase in net cash provided by investing activities was primarily due to net sales of investments of $58.5 million and lower acquisitions of property and equipment of $1.3 million.</w:t>
      </w:r>
    </w:p>
    <w:p>
      <w:pPr>
        <w:spacing w:after="0" w:line="171"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Financing Activities. </w:t>
      </w:r>
      <w:r>
        <w:rPr>
          <w:rFonts w:ascii="Times New Roman" w:cs="Times New Roman" w:eastAsia="Times New Roman" w:hAnsi="Times New Roman"/>
          <w:sz w:val="18"/>
          <w:szCs w:val="18"/>
          <w:color w:val="auto"/>
        </w:rPr>
        <w:t>Net cash provided by financing activities decreased by $0.5 million to $0.3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29, 2011, compared to $0.8 million for the nine months ended January 30, 2010. During the three months ended January 29, 2011, we received proceeds from stock option exercises of $0.3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third quarter, there were no material changes in our off-balance sheet arrangements or contractual obligations and commercial commitments from those disclosed in the Form 10-K for the fiscal year ended April 30, 2010.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We do not currently have any significant interest rate exposure.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w:t>
      </w:r>
    </w:p>
    <w:p>
      <w:pPr>
        <w:sectPr>
          <w:pgSz w:w="11900" w:h="16930" w:orient="portrait"/>
          <w:cols w:equalWidth="0" w:num="1">
            <w:col w:w="11420"/>
          </w:cols>
          <w:pgMar w:left="240" w:top="121" w:right="2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to limit our exposure on non-U.S. dollar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6"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w:t>
      </w:r>
    </w:p>
    <w:p>
      <w:pPr>
        <w:spacing w:after="0" w:line="27" w:lineRule="exact"/>
        <w:rPr>
          <w:sz w:val="20"/>
          <w:szCs w:val="20"/>
          <w:color w:val="auto"/>
        </w:rPr>
      </w:pPr>
    </w:p>
    <w:p>
      <w:pPr>
        <w:ind w:right="2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January 29, 2011,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 We are, however, subject to lawsuits from time to time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I, Item 1A, “Risk Factors,” in our Annual Report on Form 10-K for the fiscal year ended April 30, 2010. Please refer to that section for disclosures regarding the risks and uncertainties related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60" w:type="dxa"/>
            <w:vAlign w:val="bottom"/>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Borders>
              <w:top w:val="single" w:sz="8" w:color="CCEEFF"/>
            </w:tcBorders>
            <w:shd w:val="clear" w:color="auto" w:fill="CCEEFF"/>
          </w:tcPr>
          <w:p>
            <w:pPr>
              <w:spacing w:after="0"/>
              <w:rPr>
                <w:sz w:val="16"/>
                <w:szCs w:val="16"/>
                <w:color w:val="auto"/>
              </w:rPr>
            </w:pPr>
          </w:p>
        </w:tc>
        <w:tc>
          <w:tcPr>
            <w:tcW w:w="10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198"/>
        </w:trPr>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10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bl>
    <w:p>
      <w:pPr>
        <w:ind w:left="1360" w:right="860" w:hanging="895"/>
        <w:spacing w:after="0" w:line="261"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420"/>
          </w:cols>
          <w:pgMar w:left="240" w:top="121" w:right="239" w:bottom="162"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18"/>
          <w:szCs w:val="18"/>
          <w:color w:val="auto"/>
        </w:rPr>
        <w:t>Date: March 8, 2011</w:t>
      </w:r>
      <w:r>
        <w:rPr>
          <w:sz w:val="20"/>
          <w:szCs w:val="20"/>
          <w:color w:val="auto"/>
        </w:rPr>
        <w:tab/>
      </w:r>
      <w:r>
        <w:rPr>
          <w:rFonts w:ascii="Times New Roman" w:cs="Times New Roman" w:eastAsia="Times New Roman" w:hAnsi="Times New Roman"/>
          <w:sz w:val="17"/>
          <w:szCs w:val="17"/>
          <w:color w:val="auto"/>
        </w:rPr>
        <w:t>AEROVIRONMENT, INC.</w:t>
      </w:r>
    </w:p>
    <w:p>
      <w:pPr>
        <w:spacing w:after="0" w:line="225" w:lineRule="exact"/>
        <w:rPr>
          <w:sz w:val="20"/>
          <w:szCs w:val="20"/>
          <w:color w:val="auto"/>
        </w:rPr>
      </w:pPr>
    </w:p>
    <w:p>
      <w:pPr>
        <w:ind w:left="578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Timothy E. Conver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Jikun Kim</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ind w:left="340" w:right="120" w:hanging="329"/>
        <w:spacing w:after="0" w:line="313"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29"/>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40" w:hanging="329"/>
        <w:spacing w:after="0" w:line="266"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480" w:hanging="329"/>
        <w:spacing w:after="0" w:line="282"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2011</w:t>
      </w:r>
    </w:p>
    <w:p>
      <w:pPr>
        <w:spacing w:after="0" w:line="22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Timothy E. Conver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ind w:left="340" w:right="120" w:hanging="329"/>
        <w:spacing w:after="0" w:line="313"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29"/>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29"/>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29"/>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2011</w:t>
      </w:r>
    </w:p>
    <w:p>
      <w:pPr>
        <w:spacing w:after="0" w:line="22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Jikun Kim</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January 29, 2011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Timothy E. Conver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Jikun Kim</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8, 2011</w:t>
      </w:r>
    </w:p>
    <w:p>
      <w:pPr>
        <w:spacing w:after="0" w:line="225"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decimal"/>
      <w:start w:val="32"/>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2019-12-15T14:15:40Z</dcterms:created>
  <dcterms:modified xsi:type="dcterms:W3CDTF">2019-12-15T14:15:40Z</dcterms:modified>
</cp:coreProperties>
</file>