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159385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186055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800" w:hanging="477"/>
        <w:spacing w:after="0"/>
        <w:tabs>
          <w:tab w:leader="none" w:pos="8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July 29, 2017</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800" w:hanging="477"/>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169545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3"/>
              </w:rPr>
              <w:t>800 Royal Oaks Drive, Suite 210</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6"/>
              </w:rPr>
              <w:t>Monrovia,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91016</w:t>
            </w:r>
          </w:p>
        </w:tc>
      </w:tr>
      <w:tr>
        <w:trPr>
          <w:trHeight w:val="182"/>
        </w:trPr>
        <w:tc>
          <w:tcPr>
            <w:tcW w:w="4620" w:type="dxa"/>
            <w:vAlign w:val="bottom"/>
          </w:tcPr>
          <w:p>
            <w:pPr>
              <w:jc w:val="center"/>
              <w:ind w:right="112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(626) 357-9983</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30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300" w:firstLine="324"/>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180" w:type="dxa"/>
        <w:tblCellMar>
          <w:top w:w="0" w:type="dxa"/>
          <w:left w:w="0" w:type="dxa"/>
          <w:bottom w:w="0" w:type="dxa"/>
          <w:right w:w="0" w:type="dxa"/>
        </w:tblCellMar>
      </w:tblPr>
      <w:tr>
        <w:trPr>
          <w:trHeight w:val="226"/>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6"/>
              </w:rPr>
              <w:t xml:space="preserve">Accelerated filer </w:t>
            </w:r>
            <w:r>
              <w:rPr>
                <w:rFonts w:ascii="MS PGothic" w:cs="MS PGothic" w:eastAsia="MS PGothic" w:hAnsi="MS PGothic"/>
                <w:sz w:val="14"/>
                <w:szCs w:val="14"/>
                <w:color w:val="auto"/>
                <w:w w:val="96"/>
              </w:rPr>
              <w:t>☒</w:t>
            </w:r>
          </w:p>
        </w:tc>
        <w:tc>
          <w:tcPr>
            <w:tcW w:w="0" w:type="dxa"/>
            <w:vAlign w:val="bottom"/>
          </w:tcPr>
          <w:p>
            <w:pPr>
              <w:spacing w:after="0"/>
              <w:rPr>
                <w:sz w:val="1"/>
                <w:szCs w:val="1"/>
                <w:color w:val="auto"/>
              </w:rPr>
            </w:pPr>
          </w:p>
        </w:tc>
      </w:tr>
      <w:tr>
        <w:trPr>
          <w:trHeight w:val="254"/>
        </w:trPr>
        <w:tc>
          <w:tcPr>
            <w:tcW w:w="4060" w:type="dxa"/>
            <w:vAlign w:val="bottom"/>
          </w:tcPr>
          <w:p>
            <w:pPr>
              <w:jc w:val="center"/>
              <w:ind w:right="1408"/>
              <w:spacing w:after="0" w:line="161" w:lineRule="exact"/>
              <w:rPr>
                <w:sz w:val="20"/>
                <w:szCs w:val="20"/>
                <w:color w:val="auto"/>
              </w:rPr>
            </w:pPr>
            <w:r>
              <w:rPr>
                <w:rFonts w:ascii="Arial" w:cs="Arial" w:eastAsia="Arial" w:hAnsi="Arial"/>
                <w:sz w:val="14"/>
                <w:szCs w:val="14"/>
                <w:color w:val="auto"/>
                <w:w w:val="93"/>
              </w:rPr>
              <w:t xml:space="preserve">Non-accelerated filer </w:t>
            </w:r>
            <w:r>
              <w:rPr>
                <w:rFonts w:ascii="MS PGothic" w:cs="MS PGothic" w:eastAsia="MS PGothic" w:hAnsi="MS PGothic"/>
                <w:sz w:val="14"/>
                <w:szCs w:val="14"/>
                <w:color w:val="auto"/>
                <w:w w:val="93"/>
              </w:rPr>
              <w:t>☐</w:t>
            </w:r>
          </w:p>
        </w:tc>
        <w:tc>
          <w:tcPr>
            <w:tcW w:w="3220" w:type="dxa"/>
            <w:vAlign w:val="bottom"/>
          </w:tcPr>
          <w:p>
            <w:pPr>
              <w:jc w:val="center"/>
              <w:ind w:left="140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r>
        <w:trPr>
          <w:trHeight w:val="182"/>
        </w:trPr>
        <w:tc>
          <w:tcPr>
            <w:tcW w:w="4060" w:type="dxa"/>
            <w:vAlign w:val="bottom"/>
          </w:tcPr>
          <w:p>
            <w:pPr>
              <w:jc w:val="center"/>
              <w:ind w:right="1408"/>
              <w:spacing w:after="0"/>
              <w:rPr>
                <w:sz w:val="20"/>
                <w:szCs w:val="20"/>
                <w:color w:val="auto"/>
              </w:rPr>
            </w:pPr>
            <w:r>
              <w:rPr>
                <w:rFonts w:ascii="Arial" w:cs="Arial" w:eastAsia="Arial" w:hAnsi="Arial"/>
                <w:sz w:val="14"/>
                <w:szCs w:val="14"/>
                <w:color w:val="auto"/>
                <w:w w:val="95"/>
              </w:rPr>
              <w:t>(Do not check if smaller reporting company)</w:t>
            </w:r>
          </w:p>
        </w:tc>
        <w:tc>
          <w:tcPr>
            <w:tcW w:w="3220" w:type="dxa"/>
            <w:vAlign w:val="bottom"/>
            <w:vMerge w:val="restart"/>
          </w:tcPr>
          <w:p>
            <w:pPr>
              <w:jc w:val="center"/>
              <w:ind w:left="140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August 22, 2017, the number of shares outstanding of the registrant’s common stock, $0.0001 par value, was 23,840,300.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388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158115</wp:posOffset>
            </wp:positionV>
            <wp:extent cx="638873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535940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233"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36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gridSpan w:val="10"/>
          </w:tcPr>
          <w:p>
            <w:pPr>
              <w:jc w:val="center"/>
              <w:ind w:right="2740"/>
              <w:spacing w:after="0"/>
              <w:rPr>
                <w:sz w:val="20"/>
                <w:szCs w:val="20"/>
                <w:color w:val="auto"/>
              </w:rPr>
            </w:pPr>
            <w:r>
              <w:rPr>
                <w:rFonts w:ascii="Arial" w:cs="Arial" w:eastAsia="Arial" w:hAnsi="Arial"/>
                <w:sz w:val="18"/>
                <w:szCs w:val="18"/>
                <w:b w:val="1"/>
                <w:bCs w:val="1"/>
                <w:color w:val="auto"/>
                <w:w w:val="92"/>
              </w:rPr>
              <w:t>AeroVironment, Inc.</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gridSpan w:val="10"/>
          </w:tcPr>
          <w:p>
            <w:pPr>
              <w:jc w:val="center"/>
              <w:ind w:right="2720"/>
              <w:spacing w:after="0"/>
              <w:rPr>
                <w:sz w:val="20"/>
                <w:szCs w:val="20"/>
                <w:color w:val="auto"/>
              </w:rPr>
            </w:pPr>
            <w:r>
              <w:rPr>
                <w:rFonts w:ascii="Arial" w:cs="Arial" w:eastAsia="Arial" w:hAnsi="Arial"/>
                <w:sz w:val="18"/>
                <w:szCs w:val="18"/>
                <w:b w:val="1"/>
                <w:bCs w:val="1"/>
                <w:color w:val="auto"/>
                <w:w w:val="89"/>
              </w:rPr>
              <w:t>Table of Contents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20" w:type="dxa"/>
            <w:vAlign w:val="bottom"/>
          </w:tcPr>
          <w:p>
            <w:pPr>
              <w:spacing w:after="0"/>
              <w:rPr>
                <w:sz w:val="24"/>
                <w:szCs w:val="24"/>
                <w:color w:val="auto"/>
              </w:rPr>
            </w:pPr>
          </w:p>
        </w:tc>
        <w:tc>
          <w:tcPr>
            <w:tcW w:w="180" w:type="dxa"/>
            <w:vAlign w:val="bottom"/>
            <w:vMerge w:val="restart"/>
          </w:tcPr>
          <w:p>
            <w:pPr>
              <w:spacing w:after="0"/>
              <w:rPr>
                <w:sz w:val="24"/>
                <w:szCs w:val="24"/>
                <w:color w:val="auto"/>
              </w:rPr>
            </w:pPr>
          </w:p>
        </w:tc>
        <w:tc>
          <w:tcPr>
            <w:tcW w:w="5820" w:type="dxa"/>
            <w:vAlign w:val="bottom"/>
            <w:gridSpan w:val="15"/>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Balance Sheets as of July 29, 2017 (Unaudited) and April 30, 2017</w:t>
              </w:r>
            </w:hyperlink>
          </w:p>
        </w:tc>
        <w:tc>
          <w:tcPr>
            <w:tcW w:w="1480" w:type="dxa"/>
            <w:vAlign w:val="bottom"/>
            <w:gridSpan w:val="5"/>
            <w:vMerge w:val="restart"/>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8"/>
        </w:trPr>
        <w:tc>
          <w:tcPr>
            <w:tcW w:w="52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5820" w:type="dxa"/>
            <w:vAlign w:val="bottom"/>
            <w:tcBorders>
              <w:bottom w:val="single" w:sz="8" w:color="0000EE"/>
            </w:tcBorders>
            <w:gridSpan w:val="15"/>
            <w:vMerge w:val="continue"/>
          </w:tcPr>
          <w:p>
            <w:pPr>
              <w:spacing w:after="0"/>
              <w:rPr>
                <w:sz w:val="15"/>
                <w:szCs w:val="15"/>
                <w:color w:val="auto"/>
              </w:rPr>
            </w:pPr>
          </w:p>
        </w:tc>
        <w:tc>
          <w:tcPr>
            <w:tcW w:w="148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1"/>
          </w:tcPr>
          <w:p>
            <w:pPr>
              <w:ind w:left="180"/>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for the three months ended July 29, 2017 (Unaudited)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July 30, 2016 (Unaudited)</w:t>
              </w:r>
            </w:hyperlink>
          </w:p>
        </w:tc>
        <w:tc>
          <w:tcPr>
            <w:tcW w:w="434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7120" w:type="dxa"/>
            <w:vAlign w:val="bottom"/>
            <w:gridSpan w:val="1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Loss for the three months ended July 29,</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5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2017 (Unaudited) and July 30, 2016 (Unaudited)</w:t>
              </w:r>
            </w:hyperlink>
          </w:p>
        </w:tc>
        <w:tc>
          <w:tcPr>
            <w:tcW w:w="2420" w:type="dxa"/>
            <w:vAlign w:val="bottom"/>
            <w:tcBorders>
              <w:top w:val="single" w:sz="8" w:color="0000EE"/>
            </w:tcBorders>
            <w:gridSpan w:val="5"/>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7120" w:type="dxa"/>
            <w:vAlign w:val="bottom"/>
            <w:gridSpan w:val="19"/>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three months ended July 29, 2017 (Unaudited)</w:t>
              </w:r>
            </w:hyperlink>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and July 30, 2016 (Unaudited)</w:t>
              </w:r>
            </w:hyperlink>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spacing w:after="0" w:line="182" w:lineRule="exact"/>
              <w:rPr>
                <w:rFonts w:ascii="Arial" w:cs="Arial" w:eastAsia="Arial" w:hAnsi="Arial"/>
                <w:sz w:val="18"/>
                <w:szCs w:val="18"/>
                <w:color w:val="0000EE"/>
                <w:w w:val="72"/>
              </w:rPr>
            </w:pPr>
            <w:hyperlink w:anchor="page7">
              <w:r>
                <w:rPr>
                  <w:rFonts w:ascii="Arial" w:cs="Arial" w:eastAsia="Arial" w:hAnsi="Arial"/>
                  <w:sz w:val="18"/>
                  <w:szCs w:val="18"/>
                  <w:color w:val="0000EE"/>
                  <w:w w:val="72"/>
                </w:rPr>
                <w:t>Notes</w:t>
              </w:r>
            </w:hyperlink>
          </w:p>
        </w:tc>
        <w:tc>
          <w:tcPr>
            <w:tcW w:w="2200" w:type="dxa"/>
            <w:vAlign w:val="bottom"/>
            <w:tcBorders>
              <w:top w:val="single" w:sz="8" w:color="0000EE"/>
            </w:tcBorders>
            <w:gridSpan w:val="9"/>
          </w:tcPr>
          <w:p>
            <w:pPr>
              <w:ind w:left="10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to Consolidated Financial</w:t>
              </w:r>
            </w:hyperlink>
          </w:p>
        </w:tc>
        <w:tc>
          <w:tcPr>
            <w:tcW w:w="4920" w:type="dxa"/>
            <w:vAlign w:val="bottom"/>
            <w:gridSpan w:val="1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Statements (Unaudited)</w:t>
              </w:r>
            </w:hyperlink>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02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312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570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9"/>
        </w:trPr>
        <w:tc>
          <w:tcPr>
            <w:tcW w:w="8360" w:type="dxa"/>
            <w:vAlign w:val="bottom"/>
            <w:gridSpan w:val="2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2"/>
          </w:tcPr>
          <w:p>
            <w:pPr>
              <w:spacing w:after="0"/>
              <w:rPr>
                <w:sz w:val="24"/>
                <w:szCs w:val="24"/>
                <w:color w:val="auto"/>
              </w:rPr>
            </w:pPr>
          </w:p>
        </w:tc>
        <w:tc>
          <w:tcPr>
            <w:tcW w:w="560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7600" w:type="dxa"/>
            <w:vAlign w:val="bottom"/>
            <w:gridSpan w:val="22"/>
          </w:tcPr>
          <w:p>
            <w:pPr>
              <w:ind w:left="1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314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516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616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2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Signatures</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48"/>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July 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April 30,</w:t>
            </w:r>
          </w:p>
        </w:tc>
      </w:tr>
      <w:tr>
        <w:trPr>
          <w:trHeight w:val="17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117,473</w:t>
            </w:r>
          </w:p>
        </w:tc>
        <w:tc>
          <w:tcPr>
            <w:tcW w:w="2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79,904</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107,831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119,971</w:t>
            </w:r>
          </w:p>
        </w:tc>
        <w:tc>
          <w:tcPr>
            <w:tcW w:w="140" w:type="dxa"/>
            <w:vAlign w:val="bottom"/>
          </w:tcPr>
          <w:p>
            <w:pPr>
              <w:spacing w:after="0"/>
              <w:rPr>
                <w:sz w:val="17"/>
                <w:szCs w:val="17"/>
                <w:color w:val="auto"/>
              </w:rPr>
            </w:pPr>
          </w:p>
        </w:tc>
      </w:tr>
      <w:tr>
        <w:trPr>
          <w:trHeight w:val="19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$469 at July 29, 2017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$291 at April 30, 2017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74,361</w:t>
            </w:r>
          </w:p>
        </w:tc>
        <w:tc>
          <w:tcPr>
            <w:tcW w:w="140" w:type="dxa"/>
            <w:vAlign w:val="bottom"/>
            <w:shd w:val="clear" w:color="auto" w:fill="CCEEFF"/>
          </w:tcPr>
          <w:p>
            <w:pPr>
              <w:spacing w:after="0"/>
              <w:rPr>
                <w:sz w:val="18"/>
                <w:szCs w:val="18"/>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6"/>
                <w:szCs w:val="16"/>
                <w:color w:val="auto"/>
              </w:rPr>
              <w:t>Unbilled receivables and retentions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10,753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14,120</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60,076</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6"/>
                <w:szCs w:val="16"/>
                <w:color w:val="auto"/>
              </w:rPr>
              <w:t>Income tax receivable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2,969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140" w:type="dxa"/>
            <w:vAlign w:val="bottom"/>
            <w:shd w:val="clear" w:color="auto" w:fill="CCEEFF"/>
          </w:tcPr>
          <w:p>
            <w:pPr>
              <w:spacing w:after="0"/>
              <w:rPr>
                <w:sz w:val="17"/>
                <w:szCs w:val="17"/>
                <w:color w:val="auto"/>
              </w:rPr>
            </w:pPr>
          </w:p>
        </w:tc>
      </w:tr>
      <w:tr>
        <w:trPr>
          <w:trHeight w:val="196"/>
        </w:trPr>
        <w:tc>
          <w:tcPr>
            <w:tcW w:w="6740" w:type="dxa"/>
            <w:vAlign w:val="bottom"/>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346,994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354,085</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42,096</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19,220</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15,089</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140" w:type="dxa"/>
            <w:vAlign w:val="bottom"/>
            <w:tcBorders>
              <w:bottom w:val="single" w:sz="8" w:color="CCEEFF"/>
            </w:tcBorders>
          </w:tcPr>
          <w:p>
            <w:pPr>
              <w:spacing w:after="0"/>
              <w:rPr>
                <w:sz w:val="17"/>
                <w:szCs w:val="17"/>
                <w:color w:val="auto"/>
              </w:rPr>
            </w:pPr>
          </w:p>
        </w:tc>
      </w:tr>
      <w:tr>
        <w:trPr>
          <w:trHeight w:val="21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420,739</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432,500</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84"/>
        </w:trPr>
        <w:tc>
          <w:tcPr>
            <w:tcW w:w="67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8"/>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13,966</w:t>
            </w:r>
          </w:p>
        </w:tc>
        <w:tc>
          <w:tcPr>
            <w:tcW w:w="2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20,283</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12,966</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1,418</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3,317</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10,079</w:t>
            </w:r>
          </w:p>
        </w:tc>
        <w:tc>
          <w:tcPr>
            <w:tcW w:w="14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48,063</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1,719</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Capital lease obligations - net of current portion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ind w:left="320"/>
              <w:spacing w:after="0"/>
              <w:rPr>
                <w:sz w:val="20"/>
                <w:szCs w:val="20"/>
                <w:color w:val="auto"/>
              </w:rPr>
            </w:pPr>
            <w:r>
              <w:rPr>
                <w:rFonts w:ascii="Arial" w:cs="Arial" w:eastAsia="Arial" w:hAnsi="Arial"/>
                <w:sz w:val="16"/>
                <w:szCs w:val="16"/>
                <w:color w:val="auto"/>
                <w:w w:val="94"/>
              </w:rPr>
              <w:t>Authorized shares—10,000,000; none issued or outstanding at July 29, 2017 and April 30, 2017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Issued and outstanding shares—23,840,300 shares at July 29, 2017 and 23,630,419 at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6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r>
      <w:tr>
        <w:trPr>
          <w:trHeight w:val="203"/>
        </w:trPr>
        <w:tc>
          <w:tcPr>
            <w:tcW w:w="67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165,359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162,150</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215,486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219,929</w:t>
            </w:r>
          </w:p>
        </w:tc>
        <w:tc>
          <w:tcPr>
            <w:tcW w:w="14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381,954</w:t>
            </w:r>
          </w:p>
        </w:tc>
        <w:tc>
          <w:tcPr>
            <w:tcW w:w="140" w:type="dxa"/>
            <w:vAlign w:val="bottom"/>
            <w:shd w:val="clear" w:color="auto" w:fill="CCEEFF"/>
          </w:tcPr>
          <w:p>
            <w:pPr>
              <w:spacing w:after="0"/>
              <w:rPr>
                <w:sz w:val="17"/>
                <w:szCs w:val="17"/>
                <w:color w:val="auto"/>
              </w:rPr>
            </w:pPr>
          </w:p>
        </w:tc>
      </w:tr>
      <w:tr>
        <w:trPr>
          <w:trHeight w:val="196"/>
        </w:trPr>
        <w:tc>
          <w:tcPr>
            <w:tcW w:w="674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Pr>
          <w:p>
            <w:pPr>
              <w:spacing w:after="0"/>
              <w:rPr>
                <w:sz w:val="17"/>
                <w:szCs w:val="17"/>
                <w:color w:val="auto"/>
              </w:rPr>
            </w:pPr>
          </w:p>
        </w:tc>
      </w:tr>
      <w:tr>
        <w:trPr>
          <w:trHeight w:val="203"/>
        </w:trPr>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380,938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382,193</w:t>
            </w:r>
          </w:p>
        </w:tc>
        <w:tc>
          <w:tcPr>
            <w:tcW w:w="14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420,739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432,500</w:t>
            </w:r>
          </w:p>
        </w:tc>
        <w:tc>
          <w:tcPr>
            <w:tcW w:w="14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0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July 29,</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July 30,</w:t>
            </w:r>
          </w:p>
        </w:tc>
        <w:tc>
          <w:tcPr>
            <w:tcW w:w="8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15,737</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20,481</w:t>
            </w:r>
          </w:p>
        </w:tc>
        <w:tc>
          <w:tcPr>
            <w:tcW w:w="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36,218</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15,222</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29,535</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8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6,683</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8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AeroVironment</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5000" w:type="dxa"/>
            <w:vAlign w:val="bottom"/>
          </w:tcPr>
          <w:p>
            <w:pPr>
              <w:spacing w:after="0" w:line="203" w:lineRule="exact"/>
              <w:rPr>
                <w:sz w:val="20"/>
                <w:szCs w:val="20"/>
                <w:color w:val="auto"/>
              </w:rPr>
            </w:pPr>
            <w:r>
              <w:rPr>
                <w:rFonts w:ascii="Arial" w:cs="Arial" w:eastAsia="Arial" w:hAnsi="Arial"/>
                <w:sz w:val="18"/>
                <w:szCs w:val="18"/>
                <w:color w:val="auto"/>
              </w:rPr>
              <w:t>Loss per share attributable to AeroVironment:</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ind w:left="32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23,336,305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22,956,607</w:t>
            </w:r>
          </w:p>
        </w:tc>
        <w:tc>
          <w:tcPr>
            <w:tcW w:w="80" w:type="dxa"/>
            <w:vAlign w:val="bottom"/>
          </w:tcPr>
          <w:p>
            <w:pPr>
              <w:spacing w:after="0"/>
              <w:rPr>
                <w:sz w:val="18"/>
                <w:szCs w:val="18"/>
                <w:color w:val="auto"/>
              </w:rPr>
            </w:pPr>
          </w:p>
        </w:tc>
      </w:tr>
      <w:tr>
        <w:trPr>
          <w:trHeight w:val="216"/>
        </w:trPr>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23,336,305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22,956,607</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July 30,</w:t>
            </w:r>
          </w:p>
        </w:tc>
        <w:tc>
          <w:tcPr>
            <w:tcW w:w="120" w:type="dxa"/>
            <w:vAlign w:val="bottom"/>
          </w:tcPr>
          <w:p>
            <w:pPr>
              <w:spacing w:after="0"/>
              <w:rPr>
                <w:sz w:val="10"/>
                <w:szCs w:val="10"/>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(11,642)</w:t>
            </w: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Unrealized gain on investments, net of deferred tax expense of $4 and $12, respectively</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(11,624)</w:t>
            </w: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7"/>
        </w:trPr>
        <w:tc>
          <w:tcPr>
            <w:tcW w:w="6820" w:type="dxa"/>
            <w:vAlign w:val="bottom"/>
          </w:tcPr>
          <w:p>
            <w:pPr>
              <w:spacing w:after="0"/>
              <w:rPr>
                <w:sz w:val="20"/>
                <w:szCs w:val="20"/>
                <w:color w:val="auto"/>
              </w:rPr>
            </w:pPr>
            <w:r>
              <w:rPr>
                <w:rFonts w:ascii="Arial" w:cs="Arial" w:eastAsia="Arial" w:hAnsi="Arial"/>
                <w:sz w:val="18"/>
                <w:szCs w:val="18"/>
                <w:color w:val="auto"/>
              </w:rPr>
              <w:t>Comprehensive loss attributable to AeroVironment</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(11,624)</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Three Months Ended</w:t>
            </w:r>
          </w:p>
        </w:tc>
      </w:tr>
      <w:tr>
        <w:trPr>
          <w:trHeight w:val="110"/>
        </w:trPr>
        <w:tc>
          <w:tcPr>
            <w:tcW w:w="5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209"/>
              <w:spacing w:after="0" w:line="110" w:lineRule="exact"/>
              <w:rPr>
                <w:sz w:val="20"/>
                <w:szCs w:val="20"/>
                <w:color w:val="auto"/>
              </w:rPr>
            </w:pPr>
            <w:r>
              <w:rPr>
                <w:rFonts w:ascii="Arial" w:cs="Arial" w:eastAsia="Arial" w:hAnsi="Arial"/>
                <w:sz w:val="12"/>
                <w:szCs w:val="12"/>
                <w:b w:val="1"/>
                <w:bCs w:val="1"/>
                <w:color w:val="auto"/>
              </w:rPr>
              <w:t>July 29,</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189"/>
              <w:spacing w:after="0" w:line="110" w:lineRule="exact"/>
              <w:rPr>
                <w:sz w:val="20"/>
                <w:szCs w:val="20"/>
                <w:color w:val="auto"/>
              </w:rPr>
            </w:pPr>
            <w:r>
              <w:rPr>
                <w:rFonts w:ascii="Arial" w:cs="Arial" w:eastAsia="Arial" w:hAnsi="Arial"/>
                <w:sz w:val="12"/>
                <w:szCs w:val="12"/>
                <w:b w:val="1"/>
                <w:bCs w:val="1"/>
                <w:color w:val="auto"/>
              </w:rPr>
              <w:t>July 30,</w:t>
            </w:r>
          </w:p>
        </w:tc>
        <w:tc>
          <w:tcPr>
            <w:tcW w:w="140" w:type="dxa"/>
            <w:vAlign w:val="bottom"/>
          </w:tcPr>
          <w:p>
            <w:pPr>
              <w:spacing w:after="0"/>
              <w:rPr>
                <w:sz w:val="9"/>
                <w:szCs w:val="9"/>
                <w:color w:val="auto"/>
              </w:rPr>
            </w:pPr>
          </w:p>
        </w:tc>
      </w:tr>
      <w:tr>
        <w:trPr>
          <w:trHeight w:val="153"/>
        </w:trPr>
        <w:tc>
          <w:tcPr>
            <w:tcW w:w="596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2016</w:t>
            </w:r>
          </w:p>
        </w:tc>
        <w:tc>
          <w:tcPr>
            <w:tcW w:w="140" w:type="dxa"/>
            <w:vAlign w:val="bottom"/>
            <w:tcBorders>
              <w:bottom w:val="single" w:sz="8" w:color="CCEEFF"/>
            </w:tcBorders>
          </w:tcPr>
          <w:p>
            <w:pPr>
              <w:spacing w:after="0"/>
              <w:rPr>
                <w:sz w:val="13"/>
                <w:szCs w:val="13"/>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(4,466)</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(11,642)</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provided by (used in) operating activities: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1,653</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from equity method investments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(Gains) losses on foreign currency transactions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992</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Gain on disposition of property and equipment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43,577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23,019</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4,406</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(6,619)</w:t>
            </w: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(4,250)</w:t>
            </w: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(6,336)</w:t>
            </w:r>
          </w:p>
        </w:tc>
      </w:tr>
      <w:tr>
        <w:trPr>
          <w:trHeight w:val="149"/>
        </w:trPr>
        <w:tc>
          <w:tcPr>
            <w:tcW w:w="5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(3,594)</w:t>
            </w:r>
          </w:p>
        </w:tc>
      </w:tr>
      <w:tr>
        <w:trPr>
          <w:trHeight w:val="142"/>
        </w:trPr>
        <w:tc>
          <w:tcPr>
            <w:tcW w:w="5960" w:type="dxa"/>
            <w:vAlign w:val="bottom"/>
          </w:tcPr>
          <w:p>
            <w:pPr>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21,282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(1,243)</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(2,973)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(2,634)</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59,280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28,820</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(41,806)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(27,487)</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Sales and redemptions of available-for-sale investments</w:t>
            </w: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w:t>
            </w:r>
          </w:p>
        </w:tc>
        <w:tc>
          <w:tcPr>
            <w:tcW w:w="140" w:type="dxa"/>
            <w:vAlign w:val="bottom"/>
            <w:tcBorders>
              <w:bottom w:val="single" w:sz="8" w:color="CCEEFF"/>
            </w:tcBorders>
          </w:tcPr>
          <w:p>
            <w:pPr>
              <w:spacing w:after="0"/>
              <w:rPr>
                <w:sz w:val="12"/>
                <w:szCs w:val="12"/>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14,951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(894)</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140" w:type="dxa"/>
            <w:vAlign w:val="bottom"/>
            <w:shd w:val="clear" w:color="auto" w:fill="CCEEFF"/>
          </w:tcPr>
          <w:p>
            <w:pPr>
              <w:spacing w:after="0"/>
              <w:rPr>
                <w:sz w:val="12"/>
                <w:szCs w:val="12"/>
                <w:color w:val="auto"/>
              </w:rPr>
            </w:pPr>
          </w:p>
        </w:tc>
      </w:tr>
      <w:tr>
        <w:trPr>
          <w:trHeight w:val="142"/>
        </w:trPr>
        <w:tc>
          <w:tcPr>
            <w:tcW w:w="59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w:t>
            </w:r>
          </w:p>
        </w:tc>
        <w:tc>
          <w:tcPr>
            <w:tcW w:w="140" w:type="dxa"/>
            <w:vAlign w:val="bottom"/>
            <w:tcBorders>
              <w:bottom w:val="single" w:sz="8" w:color="CCEEFF"/>
            </w:tcBorders>
          </w:tcPr>
          <w:p>
            <w:pPr>
              <w:spacing w:after="0"/>
              <w:rPr>
                <w:sz w:val="12"/>
                <w:szCs w:val="12"/>
                <w:color w:val="auto"/>
              </w:rPr>
            </w:pPr>
          </w:p>
        </w:tc>
      </w:tr>
      <w:tr>
        <w:trPr>
          <w:trHeight w:val="142"/>
        </w:trPr>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37,569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(1,974)</w:t>
            </w: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79,904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124,287</w:t>
            </w:r>
          </w:p>
        </w:tc>
        <w:tc>
          <w:tcPr>
            <w:tcW w:w="140" w:type="dxa"/>
            <w:vAlign w:val="bottom"/>
            <w:tcBorders>
              <w:bottom w:val="single" w:sz="8" w:color="CCEEFF"/>
            </w:tcBorders>
          </w:tcPr>
          <w:p>
            <w:pPr>
              <w:spacing w:after="0"/>
              <w:rPr>
                <w:sz w:val="12"/>
                <w:szCs w:val="12"/>
                <w:color w:val="auto"/>
              </w:rPr>
            </w:pPr>
          </w:p>
        </w:tc>
      </w:tr>
      <w:tr>
        <w:trPr>
          <w:trHeight w:val="162"/>
        </w:trPr>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117,473</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122,313</w:t>
            </w:r>
          </w:p>
        </w:tc>
        <w:tc>
          <w:tcPr>
            <w:tcW w:w="140" w:type="dxa"/>
            <w:vAlign w:val="bottom"/>
            <w:tcBorders>
              <w:bottom w:val="single" w:sz="8" w:color="CCEEFF"/>
            </w:tcBorders>
            <w:shd w:val="clear" w:color="auto" w:fill="CCEEFF"/>
          </w:tcPr>
          <w:p>
            <w:pPr>
              <w:spacing w:after="0"/>
              <w:rPr>
                <w:sz w:val="14"/>
                <w:szCs w:val="14"/>
                <w:color w:val="auto"/>
              </w:rPr>
            </w:pPr>
          </w:p>
        </w:tc>
      </w:tr>
      <w:tr>
        <w:trPr>
          <w:trHeight w:val="136"/>
        </w:trPr>
        <w:tc>
          <w:tcPr>
            <w:tcW w:w="5960" w:type="dxa"/>
            <w:vAlign w:val="bottom"/>
          </w:tcPr>
          <w:p>
            <w:pPr>
              <w:spacing w:after="0" w:line="13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period for:</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1,803</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1,786</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$4 and $12, respectively</w:t>
            </w:r>
          </w:p>
        </w:tc>
        <w:tc>
          <w:tcPr>
            <w:tcW w:w="10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from share-based liability compensation to equity</w:t>
            </w:r>
          </w:p>
        </w:tc>
        <w:tc>
          <w:tcPr>
            <w:tcW w:w="10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w:t>
            </w:r>
          </w:p>
        </w:tc>
        <w:tc>
          <w:tcPr>
            <w:tcW w:w="140" w:type="dxa"/>
            <w:vAlign w:val="bottom"/>
            <w:shd w:val="clear" w:color="auto" w:fill="CCEEFF"/>
          </w:tcPr>
          <w:p>
            <w:pPr>
              <w:spacing w:after="0"/>
              <w:rPr>
                <w:sz w:val="12"/>
                <w:szCs w:val="12"/>
                <w:color w:val="auto"/>
              </w:rPr>
            </w:pPr>
          </w:p>
        </w:tc>
      </w:tr>
      <w:tr>
        <w:trPr>
          <w:trHeight w:val="182"/>
        </w:trPr>
        <w:tc>
          <w:tcPr>
            <w:tcW w:w="596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10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644</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321</w:t>
            </w:r>
          </w:p>
        </w:tc>
        <w:tc>
          <w:tcPr>
            <w:tcW w:w="140" w:type="dxa"/>
            <w:vAlign w:val="bottom"/>
          </w:tcPr>
          <w:p>
            <w:pPr>
              <w:spacing w:after="0"/>
              <w:rPr>
                <w:sz w:val="15"/>
                <w:szCs w:val="15"/>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AeroVironment, Inc., a Delaware corporation (the “Company”), is engaged in the design, development, production, support and operation of unmanned aircraft systems (“UAS”) and efficient energy systems (“EES”) for various industries and governmental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July 29, 2017 are not necessarily indicative of the results for the full year ending April 30, 2018. For further information, refer to the consolidated financial statements and footnotes thereto for the year ended April 30, 2017, included in the Company’s Annual Report on Form 10-K.</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accompanying consolidated financial statements include the balance sheet and results of operations of Altoy Savunma Sanayi ve Havacilik Anonim Sirketi (“Altoy”), in which the Company increased its ownership to a controlling interest of 85% during the fourth quarter of the fiscal year ended April 30, 2017. Prior to the increase in ownership, the Company's investment in Altoy was accounted for under the equity method.</w:t>
      </w:r>
    </w:p>
    <w:p>
      <w:pPr>
        <w:spacing w:after="0" w:line="187"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July 2016, the Company dissolved Charger Bicycles, LLC, the results of which were not material to the consolidated financial statements. During the three months ended October 29, 2016, the Company dissolved Skytower, LLC and Regenerative Fuel Cell Systems, LLC, the results of which were not material to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July 2015, the Financial Accounting Standards Board (“FASB”) issued ASU No. 2015-11, Inventory (Topic 330): Simplifying the Measurement of Inventory. This ASU does not apply to inventory that is measured 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 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The Company’s adoption of ASU No. 2015-11 effective May 1, 2017 did not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products are sold and divided among two reportable segments to reflect the Company’s strategic goals. Operating segments are defined as components of an enterprise from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(“R&amp;D”) activities and performance assessment. The Company’s reportable segments are business units that offer different products and services and are managed separately.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investments are accounted for as held-to-maturity and available-for-sale and reported at amortized cost and fair value,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At July 29, 2017 and April 30, 2017, the Company did not have any remaining reserves for incurred cost claim audits.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Basic loss per share is computed using the weighted-average number of common shares outstanding, excluding shares of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6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July 29, 2017</w:t>
            </w: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July 30,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loss per share: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excluding unvested restricted stock</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23,336,305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22,956,607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employee stock options and unvested restricted stock</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Denominator for diluted loss per share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23,336,305</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22,956,607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Due to the net loss for the three months ended July 29, 2017 and July 30, 2016,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 average common shares because their effect would have been anti-dilutive were 256,011 and 302,332 for the three months ended July 29, 2017 and July 30,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 Clarifying the definition of a business</w:t>
      </w:r>
      <w:r>
        <w:rPr>
          <w:rFonts w:ascii="Arial" w:cs="Arial" w:eastAsia="Arial" w:hAnsi="Arial"/>
          <w:sz w:val="18"/>
          <w:szCs w:val="18"/>
          <w:color w:val="auto"/>
        </w:rPr>
        <w:t xml:space="preserve">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(Topic 230). This ASU adds and clarifies guidance on the classification of certain cash receipts and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cash flows. The guidance is effective for fiscal years beginning after December 15, 2017 and interim periods therein, with early adoption permitted. The Company is evaluating the potential impact of this adoption on its consolidated financial statements.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ASU requires the lessee to recognize the assets and liabilities for the rights and obligations created by leases with terms of 12 months or more. The guidance is effective for fiscal years beginning after December 15, 2018 and interim periods therein, with early adoption permitted. The Company is evaluating the potential impact of this adoption on its consolidated financial statements. The Company currently does not hold a large number of leases that are classified as operating leases under the existing lease standard, with the only significant leases being the Company’s various property leases.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new standard was originally effective for reporting periods beginning after December 15, 2016 and early adoption was not permitted. In August 2015, the FASB issued ASU No. 2015-14,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606)-Deferral of the Effective Date. This update approved a one-year delay of the effective date to reporting periods beginning after December 15, 2017, while permitting companies to voluntarily adopt the new standard as of the original effective date. Since the issuance of ASU 2014-09, the FASB has issued several amendments to provide additional supplemental guidance on certain aspects of the original pronouncement. The core principle of ASU 2014-09 is to recognize revenue 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footnote disclosures.</w:t>
      </w:r>
    </w:p>
    <w:p>
      <w:pPr>
        <w:spacing w:after="0" w:line="22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Company currently expects to adopt ASU 2014-09 on May 1, 2018 using the retrospective transition method. The Company is continuing to assess the potential impact of this guidance, including the impact on those areas currently subject to industry-specific guidance such as government contract accounting. As part of its assessment, the Company is reviewing representative samples of customer contracts to determine the impact on revenue recognition under the new guidance. The Company’s contracts with the U.S. government contain provisions that, among other things, allow the government to unilaterally terminate the contract for convenience (in whole or in part), pay the Company for costs incurred plus a reasonable profit and take control of any work in process. The Company is currently evaluating its contracts with the U.S. government to determine whether: (i) the Company’s performance creates or enhances an asset that the customer controls as the asset is created or enhanced, or (ii) the Company’s performance does not create an asset with an alternative use to</w:t>
      </w:r>
    </w:p>
    <w:p>
      <w:pPr>
        <w:spacing w:after="0" w:line="7"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the Company and the Company has an enforceable right to payment for performance completed to date. Revenues for contracts meeting either of these criteria will be recognized over the performance period using an acceptable measure of progress under the new standard.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5540" w:type="dxa"/>
            <w:vAlign w:val="bottom"/>
            <w:vMerge w:val="restart"/>
          </w:tcPr>
          <w:p>
            <w:pPr>
              <w:spacing w:after="0"/>
              <w:rPr>
                <w:sz w:val="20"/>
                <w:szCs w:val="20"/>
                <w:color w:val="auto"/>
              </w:rPr>
            </w:pPr>
            <w:r>
              <w:rPr>
                <w:rFonts w:ascii="Arial" w:cs="Arial" w:eastAsia="Arial" w:hAnsi="Arial"/>
                <w:sz w:val="18"/>
                <w:szCs w:val="18"/>
                <w:color w:val="auto"/>
              </w:rPr>
              <w:t>Short-term investments:</w:t>
            </w: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Held-to-maturity securities: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20"/>
              <w:spacing w:after="0"/>
              <w:rPr>
                <w:sz w:val="20"/>
                <w:szCs w:val="20"/>
                <w:color w:val="auto"/>
              </w:rPr>
            </w:pPr>
            <w:r>
              <w:rPr>
                <w:rFonts w:ascii="Arial" w:cs="Arial" w:eastAsia="Arial" w:hAnsi="Arial"/>
                <w:sz w:val="18"/>
                <w:szCs w:val="18"/>
                <w:color w:val="auto"/>
              </w:rPr>
              <w:t>Municipal securities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37,164</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securities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Certificates of deposit</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held-to-maturity and short-term investments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107,831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119,971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440"/>
              <w:spacing w:after="0"/>
              <w:rPr>
                <w:sz w:val="20"/>
                <w:szCs w:val="20"/>
                <w:color w:val="auto"/>
              </w:rPr>
            </w:pPr>
            <w:r>
              <w:rPr>
                <w:rFonts w:ascii="Arial" w:cs="Arial" w:eastAsia="Arial" w:hAnsi="Arial"/>
                <w:sz w:val="18"/>
                <w:szCs w:val="18"/>
                <w:color w:val="auto"/>
              </w:rPr>
              <w:t>Total held-to-maturity investments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Auction rate securities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available-for-sale investments</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tcPr>
          <w:p>
            <w:pPr>
              <w:ind w:left="440"/>
              <w:spacing w:after="0"/>
              <w:rPr>
                <w:sz w:val="20"/>
                <w:szCs w:val="20"/>
                <w:color w:val="auto"/>
              </w:rPr>
            </w:pPr>
            <w:r>
              <w:rPr>
                <w:rFonts w:ascii="Arial" w:cs="Arial" w:eastAsia="Arial" w:hAnsi="Arial"/>
                <w:sz w:val="18"/>
                <w:szCs w:val="18"/>
                <w:color w:val="auto"/>
              </w:rPr>
              <w:t>Total long-term investments</w:t>
            </w:r>
          </w:p>
        </w:tc>
        <w:tc>
          <w:tcPr>
            <w:tcW w:w="1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As of July 29, 2017 and April 30, 2017, the balance of held-to-maturity securities consisted of state and local government municipal securities, U.S. treasury securities, U.S. government-guaranteed agency securities, U.S. government-sponsored agency debt securities, certificates of deposit and highly rated corporate bonds. Interest earned from these investments is recorded in interest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July 29,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July 29,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b w:val="1"/>
                <w:bCs w:val="1"/>
                <w:color w:val="auto"/>
              </w:rPr>
              <w:t>Cost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b w:val="1"/>
                <w:bCs w:val="1"/>
                <w:color w:val="auto"/>
                <w:w w:val="97"/>
              </w:rPr>
              <w:t>Gains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Losses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Municipal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41,915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Total held-to-maturity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141,622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141,541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2017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Certificates of deposit</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159,570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159,465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July 29,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107,831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33,773</w:t>
            </w:r>
          </w:p>
        </w:tc>
        <w:tc>
          <w:tcPr>
            <w:tcW w:w="100" w:type="dxa"/>
            <w:vAlign w:val="bottom"/>
            <w:tcBorders>
              <w:bottom w:val="single" w:sz="8" w:color="CCEEFF"/>
            </w:tcBorders>
          </w:tcPr>
          <w:p>
            <w:pPr>
              <w:spacing w:after="0"/>
              <w:rPr>
                <w:sz w:val="18"/>
                <w:szCs w:val="18"/>
                <w:color w:val="auto"/>
              </w:rPr>
            </w:pPr>
          </w:p>
        </w:tc>
      </w:tr>
      <w:tr>
        <w:trPr>
          <w:trHeight w:val="21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141,622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141,541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July 29, 2017 and April 30, 2017, the entire balance of available-for-sale auction rate securities, consisted of two investment grade auction rate municipal bonds, with maturities of approximately 2 and 17 years, respectively.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July 29, 2017, until a future auction of these securities is successful or a buyer is found outside of the auction process.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a result of the failed auctions, the fair values of these securities are estimated utilizing a discounted cash flow analysis as of July 29, 2017. The analysis considers, among other items, the collateralization underlying the security investments, the creditworthiness of the counterparty, the timing of expected future cash flows, and the estimated date upon which the security is expected to have a successful auction. Based on the Company’s ability to access its cash and cash equivalents, expected operating cash flows, and other sources of cash, the Company does not anticipate that the current lack of liquidity of these investments will affect its ability to operate its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at maturity. As of July 29, 2017, the Company did not consider these investments to be other-than-temporarily impaired.</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auction rate securities as of July 29,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2,250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auction rate securities as of April 30,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2,700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2,700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amortized cost and fair value of the auction rate securities by contractual maturity at July 29, 2017,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one through five years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10 years</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tcPr>
          <w:p>
            <w:pPr>
              <w:spacing w:after="0"/>
              <w:rPr>
                <w:sz w:val="18"/>
                <w:szCs w:val="18"/>
                <w:color w:val="auto"/>
              </w:rPr>
            </w:pPr>
          </w:p>
        </w:tc>
      </w:tr>
      <w:tr>
        <w:trPr>
          <w:trHeight w:val="21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540" w:hanging="317"/>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jc w:val="both"/>
        <w:ind w:left="320" w:right="320" w:hanging="317"/>
        <w:spacing w:after="0" w:line="26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that are unobservable inputs for the asset or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measured at fair value on a recurring basis at July 29, 2017, were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ind w:left="840"/>
              <w:spacing w:after="0"/>
              <w:rPr>
                <w:sz w:val="20"/>
                <w:szCs w:val="20"/>
                <w:color w:val="auto"/>
              </w:rPr>
            </w:pPr>
            <w:r>
              <w:rPr>
                <w:rFonts w:ascii="Arial" w:cs="Arial" w:eastAsia="Arial" w:hAnsi="Arial"/>
                <w:sz w:val="14"/>
                <w:szCs w:val="14"/>
                <w:b w:val="1"/>
                <w:bCs w:val="1"/>
                <w:color w:val="auto"/>
              </w:rPr>
              <w:t>Fair Value Measurement Using</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0"/>
                <w:szCs w:val="10"/>
                <w:color w:val="auto"/>
              </w:rPr>
            </w:pPr>
          </w:p>
        </w:tc>
        <w:tc>
          <w:tcPr>
            <w:tcW w:w="7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Significant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000" w:type="dxa"/>
            <w:vAlign w:val="bottom"/>
          </w:tcPr>
          <w:p>
            <w:pPr>
              <w:ind w:left="7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provides a reconciliation between the beginning and ending balances of items measured at fair value on a recurring basis in the table above that used significant unobservable inputs (Level 3)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Measurements Using</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Unobservable Inputs</w:t>
            </w:r>
          </w:p>
        </w:tc>
      </w:tr>
      <w:tr>
        <w:trPr>
          <w:trHeight w:val="185"/>
        </w:trPr>
        <w:tc>
          <w:tcPr>
            <w:tcW w:w="730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Transfers to Level 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30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issuances and settlements, net</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60" w:type="dxa"/>
            <w:vAlign w:val="bottom"/>
            <w:tcBorders>
              <w:bottom w:val="single" w:sz="8" w:color="CCEEFF"/>
            </w:tcBorders>
          </w:tcPr>
          <w:p>
            <w:pPr>
              <w:spacing w:after="0"/>
              <w:rPr>
                <w:sz w:val="18"/>
                <w:szCs w:val="18"/>
                <w:color w:val="auto"/>
              </w:rPr>
            </w:pPr>
          </w:p>
        </w:tc>
      </w:tr>
      <w:tr>
        <w:trPr>
          <w:trHeight w:val="23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29, 2017</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75"/>
        </w:trPr>
        <w:tc>
          <w:tcPr>
            <w:tcW w:w="7300" w:type="dxa"/>
            <w:vAlign w:val="bottom"/>
          </w:tcPr>
          <w:p>
            <w:pPr>
              <w:spacing w:after="0" w:line="176"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unrealized gains or losses relating to assets still held at July 29, 2017</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July 29, 2017, the inputs used in the Company’s discounted cash flow analysis included current coupon rates of 1.59% and 1.59%, estimated redemption periods of 2 and 17 years and discount rates of 2.15% and 12.36%. The discount rates were based on market rates for municipal bond securities, as adjusted for a risk premium to reflect the lack of liquidity of these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Work in process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Inventories, gross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77,985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17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Reserves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accrues an estimate of its exposure to warranty claims based upon both current and historical product sales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data and warranty costs incurred. The warranty reserve is included in other current liabilities. The related expense is included in cost of sales. Warranty reserve activity is summarized as follows for the three months ended July 29, 2017 and July 30, 2016, respectively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July 30,</w:t>
            </w:r>
          </w:p>
        </w:tc>
        <w:tc>
          <w:tcPr>
            <w:tcW w:w="200" w:type="dxa"/>
            <w:vAlign w:val="bottom"/>
          </w:tcPr>
          <w:p>
            <w:pPr>
              <w:spacing w:after="0"/>
              <w:rPr>
                <w:sz w:val="10"/>
                <w:szCs w:val="10"/>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Warranty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Warranty costs settled</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r>
      <w:tr>
        <w:trPr>
          <w:trHeight w:val="217"/>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months ended July 30, 2016, the Company revised its estimates based on the results of additional engineering studies and recorded incremental warranty reserve charges totaling $1,407,000 related to the estimated costs to repair a component of certain small UAS that were delivered in prior periods. At July 29, 2017, the total remaining warranty reserve related to the estimated costs to repair the impacted UAS was $5,000. As of July 29, 2017, a total of $2,198,000 of costs related to this warranty have been incurred.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Intangibles are included in other assets on the balance sheet. The components of intangibles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5"/>
          </w:tcPr>
          <w:p>
            <w:pPr>
              <w:jc w:val="right"/>
              <w:ind w:right="41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CEEFF"/>
          </w:tcPr>
          <w:p>
            <w:pPr>
              <w:spacing w:after="0"/>
              <w:rPr>
                <w:sz w:val="18"/>
                <w:szCs w:val="18"/>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8"/>
                <w:szCs w:val="18"/>
                <w:color w:val="auto"/>
              </w:rPr>
              <w:t>Intangibles, net</w:t>
            </w:r>
          </w:p>
        </w:tc>
        <w:tc>
          <w:tcPr>
            <w:tcW w:w="24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customer relationships, trademarks and tradenames, and other intangible assets were recognized in conjunction with the Company’s acquisition of a controlling interest in Altoy on February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2017</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goodwill</w:t>
            </w:r>
          </w:p>
        </w:tc>
        <w:tc>
          <w:tcPr>
            <w:tcW w:w="2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29, 2017</w:t>
            </w:r>
          </w:p>
        </w:tc>
        <w:tc>
          <w:tcPr>
            <w:tcW w:w="2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Goodwill is attributable to the acquisition of a controlling interest in Altoy on February 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and adjustments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Available-for-Sale</w:t>
            </w:r>
          </w:p>
        </w:tc>
        <w:tc>
          <w:tcPr>
            <w:tcW w:w="2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r>
      <w:tr>
        <w:trPr>
          <w:trHeight w:val="17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Comprehensive Loss</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$76 of taxes, as of April 30,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w w:val="97"/>
              </w:rPr>
              <w:t>Reclassifications out of accumulated other comprehensive loss, net of taxes</w:t>
            </w: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net of $4 of taxes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7"/>
        </w:trPr>
        <w:tc>
          <w:tcPr>
            <w:tcW w:w="6140" w:type="dxa"/>
            <w:vAlign w:val="bottom"/>
          </w:tcPr>
          <w:p>
            <w:pPr>
              <w:spacing w:after="0"/>
              <w:rPr>
                <w:sz w:val="20"/>
                <w:szCs w:val="20"/>
                <w:color w:val="auto"/>
              </w:rPr>
            </w:pPr>
            <w:r>
              <w:rPr>
                <w:rFonts w:ascii="Arial" w:cs="Arial" w:eastAsia="Arial" w:hAnsi="Arial"/>
                <w:sz w:val="18"/>
                <w:szCs w:val="18"/>
                <w:color w:val="auto"/>
              </w:rPr>
              <w:t>Balance, net of $72 of taxes, as of July 29,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Customer-Funded Research &amp; Development</w:t>
      </w:r>
    </w:p>
    <w:p>
      <w:pPr>
        <w:spacing w:after="0" w:line="21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Customer-funded R&amp;D costs are incurred pursuant to contracts (revenue arrangements) to perform R&amp;D activities according to customer specifications. These costs are direct contract costs and are expensed to cost of sales when the corresponding revenue is recognized, which is generally as the R&amp;D services are performed. Revenue from customer-funded R&amp;D was approximately $6,235,000 and $14,737,000 for the three months ended July 29, 2017 and July 30, 2016,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Awards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three months ended July 29, 2017, the Company granted awards under its amended and restated 2006 Equity Incentive Plan (the “Restated 2006 Plan”) to key employees (“Fiscal 2018 LTIP”). Awards under the Fiscal 2018 LTIP consist of: (i) time-based restricted stock awards which vest in equal tranches in July 2018, July 2019 and July 2020, and (ii) performance-based restricted stock units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July 29, 2017, no compensation cost has been recognized for the performance-based portion of the Fiscal 2018 LTIP, as the Company concluded that it was not probable that the performance conditions will be achieved. At July 29, 2017, the maximum compensation expense that may be recorded for the performance-based portion of the Fiscal 2018 LTIP is $2,850,000.</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As of July 29, 2017, no compensation cost has been recognized for the performance-based portion of the Fiscal 2017 LTIP, as the Company concluded that it was not probable that the performance conditions will be achieved. At July 29, 2017, the maximum compensation expense that may be recorded for the performance-based portion of the Fiscal 2017 LTIP is $2,630,000.</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year ended April 30, 2016, the Company granted a three-year performance award under the Restated 2006 Plan to key employees (“Fiscal 2016 LTIP”). The performance period for each three-year award is the three-year period ending April 30, 2018. A target payout was established at the award date. The actual payout at the end of the performance period will be calculated based upon the Company’s achievement of revenue and gross margin for the performance period. Payouts will be made in cash and restricted stock units. Upon vesting of the restricted stock units, the Company has the discretion to settle the restricted stock units in cash or stock. As of July 29, 2017, no compensation cost has been recognized for this award as the Company has concluded that it was not probable that the performance conditions will be achieved. At July 29, 2017, the maximum compensation expense that may be recorded for the Fiscal 2016 LTIP is $2,690,000.</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For the three months ended July 29, 2017, the Company recorded a (benefit) for income taxes of $(3,180,000), yielding an effective tax rate of 41.6%. For the three months ended July 30, 2016, the Company recorded a (benefit) for income taxes of $(3,863,000), yielding an effective tax rate of 24.9%. The variance from statutory rates for the three months ended July 29, 2017 was primarily due to federal R&amp;D credits and the recording of discrete excess tax benefits of $1,025,000 resulting from the vesting of restricted stock awards and exercises of stock options. The variance from</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statutory rates for the three months ended July 30, 2016 was primarily due to federal R&amp;D credits and the reversal of a</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$968,000 reserve, including the related interest, for uncertain tax positions due to the settlement of prior fiscal year audits recorded during the first quarter of fiscal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w:t>
      </w:r>
    </w:p>
    <w:p>
      <w:pPr>
        <w:spacing w:after="0" w:line="20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September 2015, the Company’s Board of Directors authorized a program to repurchase up to $25,000,000 of the Company’s common stock with no specified termination date for the program. No shares were repurchased under the program during the three months ended July 29, 2017. As of July 29, 2017 and April 30, 2017, approximately $21.2 million remained authorized for future repurchases under this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Data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product segments are as follows:</w:t>
      </w:r>
    </w:p>
    <w:p>
      <w:pPr>
        <w:spacing w:after="0" w:line="212" w:lineRule="exact"/>
        <w:rPr>
          <w:sz w:val="20"/>
          <w:szCs w:val="20"/>
          <w:color w:val="auto"/>
        </w:rPr>
      </w:pPr>
    </w:p>
    <w:p>
      <w:pPr>
        <w:ind w:left="660" w:hanging="333"/>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Aircraft Systems — The UAS segment focuses primarily on the design, development, production, support and operation of innovative UAS and tactical missile systems that provide situational awareness, multi-band communications, force protection and other mission effects to increase the security and effectiveness of the operations of the Company’s customers.</w:t>
      </w:r>
    </w:p>
    <w:p>
      <w:pPr>
        <w:spacing w:after="0" w:line="186" w:lineRule="exact"/>
        <w:rPr>
          <w:rFonts w:ascii="Arial" w:cs="Arial" w:eastAsia="Arial" w:hAnsi="Arial"/>
          <w:sz w:val="18"/>
          <w:szCs w:val="18"/>
          <w:color w:val="auto"/>
        </w:rPr>
      </w:pPr>
    </w:p>
    <w:p>
      <w:pPr>
        <w:ind w:left="660" w:right="220"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Efficient Energy Systems — The EES segment focuses primarily on the design, development, production, marketing, support and operation of innovative efficient electric energy systems that address the growing demand for electric transportation solutions.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limited financial statement information by segment. The segment results are as follows (in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July 29,</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July 30,</w:t>
            </w:r>
          </w:p>
        </w:tc>
        <w:tc>
          <w:tcPr>
            <w:tcW w:w="140" w:type="dxa"/>
            <w:vAlign w:val="bottom"/>
          </w:tcPr>
          <w:p>
            <w:pPr>
              <w:spacing w:after="0"/>
              <w:rPr>
                <w:sz w:val="10"/>
                <w:szCs w:val="10"/>
                <w:color w:val="auto"/>
              </w:rPr>
            </w:pPr>
          </w:p>
        </w:tc>
      </w:tr>
      <w:tr>
        <w:trPr>
          <w:trHeight w:val="171"/>
        </w:trPr>
        <w:tc>
          <w:tcPr>
            <w:tcW w:w="348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UAS</w:t>
            </w:r>
          </w:p>
        </w:tc>
        <w:tc>
          <w:tcPr>
            <w:tcW w:w="36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36,250</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30,497</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40" w:type="dxa"/>
            <w:vAlign w:val="bottom"/>
            <w:shd w:val="clear" w:color="auto" w:fill="CCEEFF"/>
          </w:tcPr>
          <w:p>
            <w:pPr>
              <w:spacing w:after="0"/>
              <w:rPr>
                <w:sz w:val="18"/>
                <w:szCs w:val="18"/>
                <w:color w:val="auto"/>
              </w:rPr>
            </w:pPr>
          </w:p>
        </w:tc>
      </w:tr>
      <w:tr>
        <w:trPr>
          <w:trHeight w:val="210"/>
        </w:trPr>
        <w:tc>
          <w:tcPr>
            <w:tcW w:w="3480" w:type="dxa"/>
            <w:vAlign w:val="bottom"/>
          </w:tcPr>
          <w:p>
            <w:pPr>
              <w:ind w:left="320"/>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36,218</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UAS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25,083</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40" w:type="dxa"/>
            <w:vAlign w:val="bottom"/>
            <w:shd w:val="clear" w:color="auto" w:fill="CCEEFF"/>
          </w:tcPr>
          <w:p>
            <w:pPr>
              <w:spacing w:after="0"/>
              <w:rPr>
                <w:sz w:val="18"/>
                <w:szCs w:val="18"/>
                <w:color w:val="auto"/>
              </w:rPr>
            </w:pPr>
          </w:p>
        </w:tc>
      </w:tr>
      <w:tr>
        <w:trPr>
          <w:trHeight w:val="210"/>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29,535</w:t>
            </w:r>
          </w:p>
        </w:tc>
        <w:tc>
          <w:tcPr>
            <w:tcW w:w="140" w:type="dxa"/>
            <w:vAlign w:val="bottom"/>
            <w:tcBorders>
              <w:bottom w:val="single" w:sz="8" w:color="CCEEFF"/>
            </w:tcBorders>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80" w:type="dxa"/>
            <w:vAlign w:val="bottom"/>
          </w:tcPr>
          <w:p>
            <w:pPr>
              <w:ind w:left="220"/>
              <w:spacing w:after="0"/>
              <w:rPr>
                <w:sz w:val="20"/>
                <w:szCs w:val="20"/>
                <w:color w:val="auto"/>
              </w:rPr>
            </w:pPr>
            <w:r>
              <w:rPr>
                <w:rFonts w:ascii="Arial" w:cs="Arial" w:eastAsia="Arial" w:hAnsi="Arial"/>
                <w:sz w:val="18"/>
                <w:szCs w:val="18"/>
                <w:color w:val="auto"/>
              </w:rPr>
              <w:t>UAS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5,414</w:t>
            </w: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CEEFF"/>
          </w:tcPr>
          <w:p>
            <w:pPr>
              <w:spacing w:after="0"/>
              <w:rPr>
                <w:sz w:val="18"/>
                <w:szCs w:val="18"/>
                <w:color w:val="auto"/>
              </w:rPr>
            </w:pPr>
          </w:p>
        </w:tc>
      </w:tr>
      <w:tr>
        <w:trPr>
          <w:trHeight w:val="210"/>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140" w:type="dxa"/>
            <w:vAlign w:val="bottom"/>
            <w:tcBorders>
              <w:bottom w:val="single" w:sz="8" w:color="CCEEFF"/>
            </w:tcBorders>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40" w:type="dxa"/>
            <w:vAlign w:val="bottom"/>
            <w:shd w:val="clear" w:color="auto" w:fill="CCEEFF"/>
          </w:tcPr>
          <w:p>
            <w:pPr>
              <w:spacing w:after="0"/>
              <w:rPr>
                <w:sz w:val="18"/>
                <w:szCs w:val="18"/>
                <w:color w:val="auto"/>
              </w:rPr>
            </w:pP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3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40" w:type="dxa"/>
            <w:vAlign w:val="bottom"/>
            <w:tcBorders>
              <w:bottom w:val="single" w:sz="8" w:color="CCEEFF"/>
            </w:tcBorders>
          </w:tcPr>
          <w:p>
            <w:pPr>
              <w:spacing w:after="0"/>
              <w:rPr>
                <w:sz w:val="18"/>
                <w:szCs w:val="18"/>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14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3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tcPr>
          <w:p>
            <w:pPr>
              <w:spacing w:after="0"/>
              <w:rPr>
                <w:sz w:val="18"/>
                <w:szCs w:val="18"/>
                <w:color w:val="auto"/>
              </w:rPr>
            </w:pPr>
          </w:p>
        </w:tc>
      </w:tr>
      <w:tr>
        <w:trPr>
          <w:trHeight w:val="23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649"/>
        </w:trPr>
        <w:tc>
          <w:tcPr>
            <w:tcW w:w="3480" w:type="dxa"/>
            <w:vAlign w:val="bottom"/>
          </w:tcPr>
          <w:p>
            <w:pPr>
              <w:spacing w:after="0"/>
              <w:rPr>
                <w:sz w:val="24"/>
                <w:szCs w:val="24"/>
                <w:color w:val="auto"/>
              </w:rPr>
            </w:pPr>
          </w:p>
        </w:tc>
        <w:tc>
          <w:tcPr>
            <w:tcW w:w="3420" w:type="dxa"/>
            <w:vAlign w:val="bottom"/>
          </w:tcPr>
          <w:p>
            <w:pPr>
              <w:jc w:val="right"/>
              <w:ind w:right="219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ind w:left="880" w:right="120" w:hanging="868"/>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2017, as updated by our subsequent filings under the Securities and Exchange Act of 1934, as amended (“the Exchange Act”).</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warranty liabilities,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made to the critical accounting estimates during the periods presented in the consolidated financial statements from those disclosed in our Annual Report on Form 10-K for the fiscal year ended April 30, 2017.</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catch-up basis in the period in which the revisions are made. During the three months ended July 29, 2017 and July 30, 2016, changes in accounting estimates on fixed-price contracts recognized using the percentage of completion method of accounting are presented below.</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months ended July 29, 2017 and July 30, 2016,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9"/>
              <w:spacing w:after="0" w:line="133" w:lineRule="exact"/>
              <w:rPr>
                <w:sz w:val="20"/>
                <w:szCs w:val="20"/>
                <w:color w:val="auto"/>
              </w:rPr>
            </w:pPr>
            <w:r>
              <w:rPr>
                <w:rFonts w:ascii="Arial" w:cs="Arial" w:eastAsia="Arial" w:hAnsi="Arial"/>
                <w:sz w:val="14"/>
                <w:szCs w:val="14"/>
                <w:b w:val="1"/>
                <w:bCs w:val="1"/>
                <w:color w:val="auto"/>
              </w:rPr>
              <w:t>July 29,</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July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July 29, 2017, favorable cumulative catch-up adjustments of $1.3 million were primarily due to final cost adjustments on 12 contracts, which individually were not material. For the same period, unfavorable cumulative catch-up adjustments of $0.3 million were primarily related to higher than expected costs on eight contracts, which individually were not material.</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July 30, 2016, favorable cumulative catch-up adjustments of $0.4 million were primarily due to final cost adjustments on 10 contracts, which individually were not material. For the same period, unfavorable cumulative catch-up adjustments of $0.3 million were primarily related to higher than expected costs on 13 contracts, which individually were not material.</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2018 fiscal year ends on April 30, 2018 and our fiscal quarters end on July 29, 2017, October 28, 2017 and January 27,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operating segments are Unmanned Aircraft Systems, or UAS, and Efficient Energy Systems, or EES. Our accounting policies for each of these segments are the same. In addition, a significant portion of our research and development, or R&amp;D, selling, general and administrative, or SG&amp;A, and general overhead resources are shared across our segments.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Three Months Ended July 29, 2017 Compared to Three Months Ended July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6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July 29,</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July 30,</w:t>
            </w:r>
          </w:p>
        </w:tc>
        <w:tc>
          <w:tcPr>
            <w:tcW w:w="100" w:type="dxa"/>
            <w:vAlign w:val="bottom"/>
          </w:tcPr>
          <w:p>
            <w:pPr>
              <w:spacing w:after="0"/>
              <w:rPr>
                <w:sz w:val="10"/>
                <w:szCs w:val="10"/>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36,250</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30,497</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36,218</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29,535</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UAS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EES</w:t>
            </w:r>
          </w:p>
        </w:tc>
        <w:tc>
          <w:tcPr>
            <w:tcW w:w="2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8"/>
                <w:szCs w:val="18"/>
                <w:color w:val="auto"/>
              </w:rPr>
            </w:pPr>
          </w:p>
        </w:tc>
      </w:tr>
      <w:tr>
        <w:trPr>
          <w:trHeight w:val="210"/>
        </w:trPr>
        <w:tc>
          <w:tcPr>
            <w:tcW w:w="4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6,683</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2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8"/>
                <w:szCs w:val="18"/>
                <w:color w:val="auto"/>
              </w:rPr>
            </w:pPr>
          </w:p>
        </w:tc>
      </w:tr>
      <w:tr>
        <w:trPr>
          <w:trHeight w:val="217"/>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three months ended July 29, 2017 was $43.8 million, as compared to $36.2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July 30, 2016, representing an increase of $7.6 million, or 21%. The increase in revenue was due to an increase in product deliveries of $15.4 million, partially offset by a decrease in service revenue of $7.8 million. UAS revenue increased $5.8 million, or 19%, to $36.3 million for the three months ended July 29, 2017, due to an increase in product deliveries of $13.5 million and an increase in service revenue of $0.7 million, partially offset by a decrease in customer-funded R&amp;D work of $8.5 million. The increase in product deliveries was primarily due to an increase in product deliveries of tactical missile systems and an increase in product deliveries of small UAS. The increase in service revenue was primarily due to an increase in sustainment activities in support of small UAS. The decrease in customer-funded R&amp;D was primarily associated with tactical missile systems and tactical missile system variant programs. EES revenue increased $1.8 million, or 31%, to $7.5 million for the three months ended July 29, 2017, primarily due to an increase in product deliveries of passenger electric vehicle charging systems.</w:t>
      </w:r>
    </w:p>
    <w:p>
      <w:pPr>
        <w:spacing w:after="0" w:line="183"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July 29, 2017 was $32.1 million, as compared to $29.5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July 30, 2016, representing an increase of $2.6 million, or 9%. As a percentage of revenue, cost of sales decreased from 82% to 73%. The increase in cost of sales was primarily due to an increase in product costs of $9.0 million, partially offset by a decrease in cost of services of $6.4 million. The increase in product costs was primarily due to the increase in product deliveries, partially offset by a decrease in product warranty related costs. The decrease in cost of services was primarily due to the decrease in service revenue. UAS cost of sales increased $1.3 million, or 5%, to</w:t>
      </w:r>
    </w:p>
    <w:p>
      <w:pPr>
        <w:spacing w:after="0" w:line="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$26.4 million for the three months ended July 29, 2017, primarily due to an increase in product deliveries, partially offset by a decrease in product warranty related costs. As a percentage of revenue, cost of sales for UAS decreased from 82% to 73%, primarily due to the decrease in product warranty related costs and an increase in the proportion of product sales to total revenue. EES cost of sales increased $1.3 million, or 29%, to $5.7 million for the three months ended July 29, 2017, primarily due to the increased sales volume. As a percentage of revenue, cost of sales for EES decreased from 78% to 76%.</w:t>
      </w:r>
    </w:p>
    <w:p>
      <w:pPr>
        <w:spacing w:after="0" w:line="16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July 29, 2017 was $11.6 million, as compared to $6.7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July 30, 2016, representing an increase of $4.9 million, or 74%. The increase in gross margin was primarily due to an increase in product margins of $6.4 million, partially offset by a decrease in service margins of $1.4 million. As a percentage of revenue, gross margin increased from 18% to 27%, primarily due to a decrease 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product warranty related costs and an increase in the proportion of product sales to total revenue. UAS gross margin increased to $9.8 million for the three months ended July 29, 2017 from $5.4 million. As a percentage of revenue, gross margin for UAS increased from 18% to 27%, primarily due to the decrease in product warranty related costs and an increase in the proportion of product sales to total revenue. EES gross margin increased $0.5 million, or 41%, to $1.8 million for the three months ended July 29, 2017, primarily due to the increased sales volume. As a percentage of revenue, EES gross margin increased from 22% to 24%.</w:t>
      </w:r>
    </w:p>
    <w:p>
      <w:pPr>
        <w:spacing w:after="0" w:line="18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three months ended July 29, 2017 was $13.3 million, or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compared to SG&amp;A expense of $13.7 million, or 38% of revenue, for the three months ended July 30, 2016.</w:t>
      </w:r>
    </w:p>
    <w:p>
      <w:pPr>
        <w:spacing w:after="0" w:line="12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July 29, 2017 was $6.5 million, or 15%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R&amp;D expense of $8.6 million, or 24% of revenue, for the three months ended July 30, 2016. R&amp;D expense decreased by $2.1 million, or 25%, for the three months ended July 29, 2017, primarily due to a planned decrease in development activities for certain strategic initiatives.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three months ended July 29, 2017 was $0.5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$0.4 million for the three months ended July 30, 2016.</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income, net for the three months ended July 29, 2017 was $4,000 compared to other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$0.3 million for the three months ended July 30, 2016.</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Benefit for Income Taxes. </w:t>
      </w:r>
      <w:r>
        <w:rPr>
          <w:rFonts w:ascii="Arial" w:cs="Arial" w:eastAsia="Arial" w:hAnsi="Arial"/>
          <w:sz w:val="18"/>
          <w:szCs w:val="18"/>
          <w:color w:val="auto"/>
        </w:rPr>
        <w:t>Our effective income tax rate was 41.6% for the three months ended July 29, 2017,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24.9% for the three months ended July 30, 2016. The increase in the effective income tax rate was primarily due to an increase in the estimated full year effective income tax rate driven by an increase in full year projected income before income taxes and the lower loss before income taxes during the three months ended July 29, 2017. The effective income tax rate for the three months ended July 29, 2017 included a discrete excess tax benefit of $1.0 million resulting from the vesting of restricted stock awards and exercises of stock options. The effective income tax rate for the three months ended July 30, 2016 included a reversal of a reserve for uncertain tax positions of $1.0 million due to the settlement of prior fiscal year audits.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define funded backlog as unfilled firm orders for products and services for which funding currently is appropriated to us under the contract by the customer. As of July 29, 2017 and April 30, 2017, our funded backlog was approximately $85.3 million and $78.0 million, respectively.</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our funded backlog, we also had unfunded backlog of $24.1 million and $24.6 million as of July 29, 2017 and April 30, 2017,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five companies in 2012, including AeroVironment, and we cannot be certain that we will receive task orders issued against the contract.</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government contracts included in backlog, whether or not they are funded, may be terminated at the convenience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commercial and electric vehicle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our cash flow data for the three months ended July 29, 2017 and July 30, 2016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61"/>
              <w:spacing w:after="0" w:line="119" w:lineRule="exact"/>
              <w:rPr>
                <w:sz w:val="20"/>
                <w:szCs w:val="20"/>
                <w:color w:val="auto"/>
              </w:rPr>
            </w:pPr>
            <w:r>
              <w:rPr>
                <w:rFonts w:ascii="Arial" w:cs="Arial" w:eastAsia="Arial" w:hAnsi="Arial"/>
                <w:sz w:val="13"/>
                <w:szCs w:val="13"/>
                <w:b w:val="1"/>
                <w:bCs w:val="1"/>
                <w:color w:val="auto"/>
              </w:rPr>
              <w:t>July 29,</w:t>
            </w: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July 30,</w:t>
            </w:r>
          </w:p>
        </w:tc>
        <w:tc>
          <w:tcPr>
            <w:tcW w:w="80" w:type="dxa"/>
            <w:vAlign w:val="bottom"/>
          </w:tcPr>
          <w:p>
            <w:pPr>
              <w:spacing w:after="0"/>
              <w:rPr>
                <w:sz w:val="10"/>
                <w:szCs w:val="10"/>
                <w:color w:val="auto"/>
              </w:rPr>
            </w:pPr>
          </w:p>
        </w:tc>
      </w:tr>
      <w:tr>
        <w:trPr>
          <w:trHeight w:val="171"/>
        </w:trPr>
        <w:tc>
          <w:tcPr>
            <w:tcW w:w="6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21,282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1"/>
              <w:spacing w:after="0"/>
              <w:rPr>
                <w:sz w:val="20"/>
                <w:szCs w:val="20"/>
                <w:color w:val="auto"/>
              </w:rPr>
            </w:pPr>
            <w:r>
              <w:rPr>
                <w:rFonts w:ascii="Arial" w:cs="Arial" w:eastAsia="Arial" w:hAnsi="Arial"/>
                <w:sz w:val="18"/>
                <w:szCs w:val="18"/>
                <w:color w:val="auto"/>
              </w:rPr>
              <w:t>14,951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1,336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Cash Provided by (Used in) Operating Activities. </w:t>
      </w:r>
      <w:r>
        <w:rPr>
          <w:rFonts w:ascii="Arial" w:cs="Arial" w:eastAsia="Arial" w:hAnsi="Arial"/>
          <w:sz w:val="18"/>
          <w:szCs w:val="18"/>
          <w:color w:val="auto"/>
        </w:rPr>
        <w:t>Net cash provided by operating activities for the three months ended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 2017 increased by $22.5 million to $21.3 million, compared to net cash used in operating activities of $1.2 million for the three months ended July 30, 2016. The increase in net cash provided by operating activities was primarily due to an increase in cash as a result of changes in operating assets and liabilities of $15.9 million, largely resulting from decreases in accounts receivable due to the year over year timing of revenue and related cash collections and a decrease in net loss of $7.2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Cash Provided by (Used in) Investing Activities. </w:t>
      </w:r>
      <w:r>
        <w:rPr>
          <w:rFonts w:ascii="Arial" w:cs="Arial" w:eastAsia="Arial" w:hAnsi="Arial"/>
          <w:sz w:val="16"/>
          <w:szCs w:val="16"/>
          <w:color w:val="auto"/>
        </w:rPr>
        <w:t>Net cash provided by investing activities increased by $15.8 million to</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$15.0 million for the three months ended July 29, 2017, compared to net cash used in investing activities of $0.9 million for the three months ended July 30, 2016. The increase in net cash provided by investing activities was primarily due to an increase in net redemptions and purchases of investments of $16.1 million.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Cash Provided by Financing Activities. </w:t>
      </w:r>
      <w:r>
        <w:rPr>
          <w:rFonts w:ascii="Arial" w:cs="Arial" w:eastAsia="Arial" w:hAnsi="Arial"/>
          <w:sz w:val="18"/>
          <w:szCs w:val="18"/>
          <w:color w:val="auto"/>
        </w:rPr>
        <w:t>Net cash provided by financing activities increased by $1.2 million to $1.3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July 29, 2017, compared to net cash provided by financing activities of $0.2 million for the three months ended July 30, 2016. The increase in cash provided by financing activities was primarily due an increase in cash provided from the exercise of employee stock options of $1.4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three months ended July 29, 2017, there were no material changes in our contractual obligations and commercial commitments from those disclosed in our Annual Report on Form 10-K for the fiscal year ended April 30,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of July 29, 2017, we had no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as defined in Item 303(a)(4) of the SEC’s Regulation S</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on Form 10-Q for a discussion of new accounting pronouncements and accounting pronouncements adopted during the three months ended July 29,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and do not expect to incur significant foreign exchange gains or losses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July 29, 2017, the end of the period covered by this Quarterly Report on Form 10-Q.</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July 29, 2017,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July 29, 2017 that have materially affected, or are reasonably likely to materially affect, our internal control over financial reporting (as defined in Rules 13a-15(f) and 15d-15(f) under the Exchange Act).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not currently a party to any material legal proceedings. We are, however, subject to lawsuits, government investigations, audits and other legal proceedings from time to time in the ordinary course of our business. It is not possible to predict the outcome of any legal proceeding with certainty. The outcome or costs we incur in connection with a legal proceeding could adversely impact our operating results and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have been no material changes to the risk factors disclosed under Part I, Item 1A, “Risk Factors,” of our Annual Report on Form 10-K for the fiscal year ended April 30, 2017. Please refer to that section for disclosures regarding the risks and uncertainties related to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No shares were repurchased in the three months ended July 29, 2017. As of July 29, 2017, approximately $21.2 million remained authorized for future repurchases under this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8040" w:type="dxa"/>
            <w:vAlign w:val="bottom"/>
          </w:tcPr>
          <w:p>
            <w:pPr>
              <w:spacing w:after="0"/>
              <w:rPr>
                <w:sz w:val="18"/>
                <w:szCs w:val="18"/>
                <w:color w:val="auto"/>
              </w:rPr>
            </w:pPr>
          </w:p>
        </w:tc>
      </w:tr>
      <w:tr>
        <w:trPr>
          <w:trHeight w:val="22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8040" w:type="dxa"/>
            <w:vAlign w:val="bottom"/>
          </w:tcPr>
          <w:p>
            <w:pPr>
              <w:ind w:left="3580"/>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2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3.1(1)</w:t>
            </w:r>
          </w:p>
        </w:tc>
        <w:tc>
          <w:tcPr>
            <w:tcW w:w="200" w:type="dxa"/>
            <w:vAlign w:val="bottom"/>
          </w:tcPr>
          <w:p>
            <w:pPr>
              <w:spacing w:after="0"/>
              <w:rPr>
                <w:sz w:val="15"/>
                <w:szCs w:val="15"/>
                <w:color w:val="auto"/>
              </w:rPr>
            </w:pPr>
          </w:p>
        </w:tc>
        <w:tc>
          <w:tcPr>
            <w:tcW w:w="80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Amended and Restated Certificate of Incorporation of AeroVironment, Inc.</w:t>
            </w:r>
          </w:p>
        </w:tc>
      </w:tr>
      <w:tr>
        <w:trPr>
          <w:trHeight w:val="203"/>
        </w:trPr>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3"/>
              </w:rPr>
              <w:t>3.2(2)</w:t>
            </w:r>
          </w:p>
        </w:tc>
        <w:tc>
          <w:tcPr>
            <w:tcW w:w="8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Third Amended and Restated Bylaws of AeroVironment, Inc.</w:t>
            </w:r>
          </w:p>
        </w:tc>
      </w:tr>
      <w:tr>
        <w:trPr>
          <w:trHeight w:val="203"/>
        </w:trPr>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10.1(3)</w:t>
            </w:r>
          </w:p>
        </w:tc>
        <w:tc>
          <w:tcPr>
            <w:tcW w:w="82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2"/>
              </w:rPr>
              <w:t>First Amendment to Lease Agreement dated October 10, 2011 and Second Amendment to Lease Agreement</w:t>
            </w: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1"/>
              </w:rPr>
              <w:t>dated June 2, 2017 by and between AeroVironment, Inc. and Simi Valley-NCR, LLC for the property located at</w:t>
            </w: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85 Moreland Road, Simi Valley, California</w:t>
            </w:r>
          </w:p>
        </w:tc>
      </w:tr>
      <w:tr>
        <w:trPr>
          <w:trHeight w:val="203"/>
        </w:trPr>
        <w:tc>
          <w:tcPr>
            <w:tcW w:w="8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10.2+(4)</w:t>
            </w:r>
          </w:p>
        </w:tc>
        <w:tc>
          <w:tcPr>
            <w:tcW w:w="82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99"/>
              </w:rPr>
              <w:t>Amended and Restated Severance Protection Agreement dated as of June 26, 2017, by and between</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40" w:type="dxa"/>
            <w:vAlign w:val="bottom"/>
            <w:gridSpan w:val="2"/>
          </w:tcPr>
          <w:p>
            <w:pPr>
              <w:ind w:left="200"/>
              <w:spacing w:after="0"/>
              <w:rPr>
                <w:sz w:val="20"/>
                <w:szCs w:val="20"/>
                <w:color w:val="auto"/>
              </w:rPr>
            </w:pPr>
            <w:r>
              <w:rPr>
                <w:rFonts w:ascii="Arial" w:cs="Arial" w:eastAsia="Arial" w:hAnsi="Arial"/>
                <w:sz w:val="18"/>
                <w:szCs w:val="18"/>
                <w:color w:val="auto"/>
              </w:rPr>
              <w:t>AeroVironment, Inc. and Teresa Covington</w:t>
            </w:r>
          </w:p>
        </w:tc>
      </w:tr>
      <w:tr>
        <w:trPr>
          <w:trHeight w:val="63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40" w:type="dxa"/>
            <w:vAlign w:val="bottom"/>
            <w:gridSpan w:val="2"/>
          </w:tcPr>
          <w:p>
            <w:pPr>
              <w:ind w:left="3620"/>
              <w:spacing w:after="0"/>
              <w:rPr>
                <w:sz w:val="20"/>
                <w:szCs w:val="20"/>
                <w:color w:val="auto"/>
              </w:rPr>
            </w:pPr>
            <w:r>
              <w:rPr>
                <w:rFonts w:ascii="Arial" w:cs="Arial" w:eastAsia="Arial" w:hAnsi="Arial"/>
                <w:sz w:val="18"/>
                <w:szCs w:val="18"/>
                <w:color w:val="auto"/>
              </w:rPr>
              <w:t>26</w:t>
            </w:r>
          </w:p>
        </w:tc>
      </w:tr>
      <w:tr>
        <w:trPr>
          <w:trHeight w:val="129"/>
        </w:trPr>
        <w:tc>
          <w:tcPr>
            <w:tcW w:w="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91"/>
              </w:rPr>
              <w:t>10.3(5)</w:t>
            </w:r>
          </w:p>
        </w:tc>
        <w:tc>
          <w:tcPr>
            <w:tcW w:w="8160" w:type="dxa"/>
            <w:vAlign w:val="bottom"/>
          </w:tcPr>
          <w:p>
            <w:pPr>
              <w:ind w:left="140"/>
              <w:spacing w:after="0"/>
              <w:rPr>
                <w:sz w:val="20"/>
                <w:szCs w:val="20"/>
                <w:color w:val="auto"/>
              </w:rPr>
            </w:pPr>
            <w:r>
              <w:rPr>
                <w:rFonts w:ascii="Arial" w:cs="Arial" w:eastAsia="Arial" w:hAnsi="Arial"/>
                <w:sz w:val="18"/>
                <w:szCs w:val="18"/>
                <w:color w:val="auto"/>
                <w:w w:val="89"/>
              </w:rPr>
              <w:t>Amendment No. 1 dated November 28, 2016 and Amendment No. 2 dated June 7, 2017 to Standard Consulting</w:t>
            </w:r>
          </w:p>
        </w:tc>
      </w:tr>
      <w:tr>
        <w:trPr>
          <w:trHeight w:val="203"/>
        </w:trPr>
        <w:tc>
          <w:tcPr>
            <w:tcW w:w="800" w:type="dxa"/>
            <w:vAlign w:val="bottom"/>
          </w:tcPr>
          <w:p>
            <w:pPr>
              <w:spacing w:after="0"/>
              <w:rPr>
                <w:sz w:val="17"/>
                <w:szCs w:val="17"/>
                <w:color w:val="auto"/>
              </w:rPr>
            </w:pP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w w:val="95"/>
              </w:rPr>
              <w:t>Agreement and corresponding Task Orders by and between AeroVironment, Inc. and Charles R. Holland</w:t>
            </w:r>
          </w:p>
        </w:tc>
      </w:tr>
      <w:tr>
        <w:trPr>
          <w:trHeight w:val="203"/>
        </w:trPr>
        <w:tc>
          <w:tcPr>
            <w:tcW w:w="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1"/>
              </w:rPr>
              <w:t>31.1</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w w:val="97"/>
              </w:rPr>
              <w:t>Certification of Chief Executive Officer pursuant to Rule 13a-14(a) and Rule 15d-14(a) of the Securities</w:t>
            </w:r>
          </w:p>
        </w:tc>
      </w:tr>
      <w:tr>
        <w:trPr>
          <w:trHeight w:val="203"/>
        </w:trPr>
        <w:tc>
          <w:tcPr>
            <w:tcW w:w="800" w:type="dxa"/>
            <w:vAlign w:val="bottom"/>
          </w:tcPr>
          <w:p>
            <w:pPr>
              <w:spacing w:after="0"/>
              <w:rPr>
                <w:sz w:val="17"/>
                <w:szCs w:val="17"/>
                <w:color w:val="auto"/>
              </w:rPr>
            </w:pP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Exchange Act of 1934, as amended.</w:t>
            </w:r>
          </w:p>
        </w:tc>
      </w:tr>
      <w:tr>
        <w:trPr>
          <w:trHeight w:val="203"/>
        </w:trPr>
        <w:tc>
          <w:tcPr>
            <w:tcW w:w="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1"/>
              </w:rPr>
              <w:t>31.2</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w w:val="98"/>
              </w:rPr>
              <w:t>Certification of Chief Financial Officer pursuant to Rule 13a-14(a) and Rule 15d-14(a) of the Securities</w:t>
            </w:r>
          </w:p>
        </w:tc>
      </w:tr>
      <w:tr>
        <w:trPr>
          <w:trHeight w:val="203"/>
        </w:trPr>
        <w:tc>
          <w:tcPr>
            <w:tcW w:w="800" w:type="dxa"/>
            <w:vAlign w:val="bottom"/>
          </w:tcPr>
          <w:p>
            <w:pPr>
              <w:spacing w:after="0"/>
              <w:rPr>
                <w:sz w:val="17"/>
                <w:szCs w:val="17"/>
                <w:color w:val="auto"/>
              </w:rPr>
            </w:pP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Exchange Act of 1934, as amended.</w:t>
            </w:r>
          </w:p>
        </w:tc>
      </w:tr>
      <w:tr>
        <w:trPr>
          <w:trHeight w:val="203"/>
        </w:trPr>
        <w:tc>
          <w:tcPr>
            <w:tcW w:w="8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6"/>
              </w:rPr>
              <w:t>32#</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w w:val="95"/>
              </w:rPr>
              <w:t>Certification of Chief Executive Officer and Chief Financial Officer Pursuant to 18 U.S.C. Section 1350, as</w:t>
            </w:r>
          </w:p>
        </w:tc>
      </w:tr>
      <w:tr>
        <w:trPr>
          <w:trHeight w:val="203"/>
        </w:trPr>
        <w:tc>
          <w:tcPr>
            <w:tcW w:w="800" w:type="dxa"/>
            <w:vAlign w:val="bottom"/>
          </w:tcPr>
          <w:p>
            <w:pPr>
              <w:spacing w:after="0"/>
              <w:rPr>
                <w:sz w:val="17"/>
                <w:szCs w:val="17"/>
                <w:color w:val="auto"/>
              </w:rPr>
            </w:pP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adopted pursuant to Section 906 of the Sarbanes-Oxley Act of 2002.</w:t>
            </w:r>
          </w:p>
        </w:tc>
      </w:tr>
      <w:tr>
        <w:trPr>
          <w:trHeight w:val="203"/>
        </w:trPr>
        <w:tc>
          <w:tcPr>
            <w:tcW w:w="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2"/>
              </w:rPr>
              <w:t>101.INS</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XBRL Instance Document.</w:t>
            </w:r>
          </w:p>
        </w:tc>
      </w:tr>
      <w:tr>
        <w:trPr>
          <w:trHeight w:val="203"/>
        </w:trPr>
        <w:tc>
          <w:tcPr>
            <w:tcW w:w="8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0"/>
              </w:rPr>
              <w:t>101.SCH</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7"/>
              </w:rPr>
              <w:t>101.CAL</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Calculation Linkbase Document.</w:t>
            </w:r>
          </w:p>
        </w:tc>
      </w:tr>
      <w:tr>
        <w:trPr>
          <w:trHeight w:val="203"/>
        </w:trPr>
        <w:tc>
          <w:tcPr>
            <w:tcW w:w="8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2"/>
              </w:rPr>
              <w:t>101.DEF</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Definition Linkbase Document.</w:t>
            </w:r>
          </w:p>
        </w:tc>
      </w:tr>
      <w:tr>
        <w:trPr>
          <w:trHeight w:val="203"/>
        </w:trPr>
        <w:tc>
          <w:tcPr>
            <w:tcW w:w="8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8"/>
              </w:rPr>
              <w:t>101.LAB</w:t>
            </w:r>
          </w:p>
        </w:tc>
        <w:tc>
          <w:tcPr>
            <w:tcW w:w="8160" w:type="dxa"/>
            <w:vAlign w:val="bottom"/>
          </w:tcPr>
          <w:p>
            <w:pPr>
              <w:ind w:left="140"/>
              <w:spacing w:after="0" w:line="202" w:lineRule="exact"/>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00" w:type="dxa"/>
            <w:vAlign w:val="bottom"/>
          </w:tcPr>
          <w:p>
            <w:pPr>
              <w:jc w:val="center"/>
              <w:ind w:right="30"/>
              <w:spacing w:after="0"/>
              <w:rPr>
                <w:sz w:val="20"/>
                <w:szCs w:val="20"/>
                <w:color w:val="auto"/>
              </w:rPr>
            </w:pPr>
            <w:r>
              <w:rPr>
                <w:rFonts w:ascii="Arial" w:cs="Arial" w:eastAsia="Arial" w:hAnsi="Arial"/>
                <w:sz w:val="18"/>
                <w:szCs w:val="18"/>
                <w:color w:val="auto"/>
                <w:w w:val="88"/>
              </w:rPr>
              <w:t>101.PRE</w:t>
            </w:r>
          </w:p>
        </w:tc>
        <w:tc>
          <w:tcPr>
            <w:tcW w:w="81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8" w:lineRule="exact"/>
        <w:rPr>
          <w:sz w:val="20"/>
          <w:szCs w:val="20"/>
          <w:color w:val="auto"/>
        </w:rPr>
      </w:pPr>
    </w:p>
    <w:p>
      <w:pPr>
        <w:ind w:left="320" w:right="200" w:hanging="317"/>
        <w:spacing w:after="0" w:line="223" w:lineRule="exact"/>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40" w:hanging="317"/>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rFonts w:ascii="Arial" w:cs="Arial" w:eastAsia="Arial" w:hAnsi="Arial"/>
          <w:sz w:val="18"/>
          <w:szCs w:val="18"/>
          <w:color w:val="auto"/>
        </w:rPr>
      </w:pPr>
    </w:p>
    <w:p>
      <w:pPr>
        <w:ind w:left="320" w:right="220" w:hanging="317"/>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herein to Exhibit 10.17 to the Company’s Annual Report on Form 10-K filed June 28, 2017 (File No. 001-33261).</w:t>
      </w:r>
    </w:p>
    <w:p>
      <w:pPr>
        <w:spacing w:after="0" w:line="170" w:lineRule="exact"/>
        <w:rPr>
          <w:rFonts w:ascii="Arial" w:cs="Arial" w:eastAsia="Arial" w:hAnsi="Arial"/>
          <w:sz w:val="18"/>
          <w:szCs w:val="18"/>
          <w:color w:val="auto"/>
        </w:rPr>
      </w:pPr>
    </w:p>
    <w:p>
      <w:pPr>
        <w:ind w:left="320" w:right="220" w:hanging="317"/>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herein to Exhibit 10.36 to the Company’s Annual Report on Form 10-K filed June 28, 2017 (File No. 001-33261).</w:t>
      </w:r>
    </w:p>
    <w:p>
      <w:pPr>
        <w:spacing w:after="0" w:line="170" w:lineRule="exact"/>
        <w:rPr>
          <w:rFonts w:ascii="Arial" w:cs="Arial" w:eastAsia="Arial" w:hAnsi="Arial"/>
          <w:sz w:val="18"/>
          <w:szCs w:val="18"/>
          <w:color w:val="auto"/>
        </w:rPr>
      </w:pPr>
    </w:p>
    <w:p>
      <w:pPr>
        <w:ind w:left="320" w:right="220" w:hanging="317"/>
        <w:spacing w:after="0" w:line="27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herein to Exhibit 10.39 to the Company’s Annual Report on Form 10-K filed June 28, 2017 (File No. 001-33261).</w:t>
      </w:r>
    </w:p>
    <w:p>
      <w:pPr>
        <w:spacing w:after="0" w:line="170" w:lineRule="exact"/>
        <w:rPr>
          <w:sz w:val="20"/>
          <w:szCs w:val="20"/>
          <w:color w:val="auto"/>
        </w:rPr>
      </w:pP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20" w:right="100" w:hanging="317"/>
        <w:spacing w:after="0" w:line="302" w:lineRule="auto"/>
        <w:tabs>
          <w:tab w:leader="none" w:pos="30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August 29, 2017</w:t>
      </w:r>
      <w:r>
        <w:rPr>
          <w:sz w:val="20"/>
          <w:szCs w:val="20"/>
          <w:color w:val="auto"/>
        </w:rPr>
        <w:tab/>
      </w:r>
      <w:r>
        <w:rPr>
          <w:rFonts w:ascii="Arial" w:cs="Arial" w:eastAsia="Arial" w:hAnsi="Arial"/>
          <w:sz w:val="17"/>
          <w:szCs w:val="17"/>
          <w:color w:val="auto"/>
        </w:rPr>
        <w:t>AEROVIRONMENT, INC.</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ind w:left="49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Teresa P. Covington</w:t>
      </w:r>
    </w:p>
    <w:p>
      <w:pPr>
        <w:ind w:left="49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2017</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Teresa P. Covington, certify that:</w:t>
      </w:r>
    </w:p>
    <w:p>
      <w:pPr>
        <w:spacing w:after="0" w:line="144"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2017</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20" w:firstLine="486"/>
        <w:spacing w:after="0" w:line="219" w:lineRule="auto"/>
        <w:rPr>
          <w:sz w:val="20"/>
          <w:szCs w:val="20"/>
          <w:color w:val="auto"/>
        </w:rPr>
      </w:pPr>
      <w:r>
        <w:rPr>
          <w:rFonts w:ascii="Arial" w:cs="Arial" w:eastAsia="Arial" w:hAnsi="Arial"/>
          <w:sz w:val="18"/>
          <w:szCs w:val="18"/>
          <w:color w:val="auto"/>
        </w:rPr>
        <w:t>The Quarterly Report on Form 10-Q for the quarter ended July 29, 2017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29, 2017</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2019-12-29T04:41:14Z</dcterms:created>
  <dcterms:modified xsi:type="dcterms:W3CDTF">2019-12-29T04:41:14Z</dcterms:modified>
</cp:coreProperties>
</file>