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10-Q/A</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89"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January 31, 2026</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8"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58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161925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AEROVIRONMENT,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8" w:lineRule="exact"/>
        <w:rPr>
          <w:sz w:val="24"/>
          <w:szCs w:val="24"/>
          <w:color w:val="auto"/>
        </w:rPr>
      </w:pPr>
    </w:p>
    <w:tbl>
      <w:tblPr>
        <w:tblLayout w:type="fixed"/>
        <w:tblInd w:w="720" w:type="dxa"/>
        <w:tblCellMar>
          <w:top w:w="0" w:type="dxa"/>
          <w:left w:w="0" w:type="dxa"/>
          <w:bottom w:w="0" w:type="dxa"/>
          <w:right w:w="0" w:type="dxa"/>
        </w:tblCellMar>
      </w:tblPr>
      <w:tr>
        <w:trPr>
          <w:trHeight w:val="164"/>
        </w:trPr>
        <w:tc>
          <w:tcPr>
            <w:tcW w:w="458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95-2705790</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2"/>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241 18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Street South, Suite 650</w:t>
            </w:r>
          </w:p>
        </w:tc>
        <w:tc>
          <w:tcPr>
            <w:tcW w:w="3240" w:type="dxa"/>
            <w:vAlign w:val="bottom"/>
          </w:tcPr>
          <w:p>
            <w:pPr>
              <w:spacing w:after="0"/>
              <w:rPr>
                <w:sz w:val="24"/>
                <w:szCs w:val="24"/>
                <w:color w:val="auto"/>
              </w:rPr>
            </w:pPr>
          </w:p>
        </w:tc>
      </w:tr>
      <w:tr>
        <w:trPr>
          <w:trHeight w:val="164"/>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Arlington, Virginia</w:t>
            </w:r>
          </w:p>
        </w:tc>
        <w:tc>
          <w:tcPr>
            <w:tcW w:w="32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22202</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(805) 520-8350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2960" w:type="dxa"/>
            <w:vAlign w:val="bottom"/>
          </w:tcPr>
          <w:p>
            <w:pPr>
              <w:jc w:val="center"/>
              <w:ind w:left="242"/>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560" w:type="dxa"/>
            <w:vAlign w:val="bottom"/>
          </w:tcPr>
          <w:p>
            <w:pPr>
              <w:jc w:val="center"/>
              <w:ind w:left="222"/>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6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85"/>
              </w:rPr>
              <w:t>AVAV</w:t>
            </w:r>
          </w:p>
        </w:tc>
        <w:tc>
          <w:tcPr>
            <w:tcW w:w="35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162" w:lineRule="exact"/>
        <w:rPr>
          <w:sz w:val="24"/>
          <w:szCs w:val="24"/>
          <w:color w:val="auto"/>
        </w:rPr>
      </w:pPr>
    </w:p>
    <w:p>
      <w:pPr>
        <w:jc w:val="both"/>
        <w:ind w:right="22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right="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right="20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ind w:left="17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5" w:lineRule="exact"/>
        <w:rPr>
          <w:sz w:val="24"/>
          <w:szCs w:val="24"/>
          <w:color w:val="auto"/>
        </w:rPr>
      </w:pPr>
    </w:p>
    <w:p>
      <w:pPr>
        <w:sectPr>
          <w:pgSz w:w="11900" w:h="16838" w:orient="portrait"/>
          <w:cols w:equalWidth="0" w:num="2">
            <w:col w:w="6200" w:space="720"/>
            <w:col w:w="3000"/>
          </w:cols>
          <w:pgMar w:left="980" w:top="661" w:right="999" w:bottom="1440" w:gutter="0" w:footer="0" w:header="0"/>
          <w:type w:val="continuous"/>
        </w:sect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900" w:space="720"/>
            <w:col w:w="3300"/>
          </w:cols>
          <w:pgMar w:left="980" w:top="661" w:right="999" w:bottom="1440" w:gutter="0" w:footer="0" w:header="0"/>
          <w:type w:val="continuous"/>
        </w:sectPr>
      </w:pPr>
    </w:p>
    <w:p>
      <w:pPr>
        <w:ind w:left="66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920"/>
          </w:cols>
          <w:pgMar w:left="980" w:top="661" w:right="999" w:bottom="1440" w:gutter="0" w:footer="0" w:header="0"/>
          <w:type w:val="continuous"/>
        </w:sectPr>
      </w:pPr>
    </w:p>
    <w:p>
      <w:pPr>
        <w:spacing w:after="0" w:line="81" w:lineRule="exact"/>
        <w:rPr>
          <w:sz w:val="24"/>
          <w:szCs w:val="24"/>
          <w:color w:val="auto"/>
        </w:rPr>
      </w:pPr>
    </w:p>
    <w:p>
      <w:pPr>
        <w:ind w:right="140" w:firstLine="324"/>
        <w:spacing w:after="0" w:line="16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ind w:left="340" w:right="2260"/>
        <w:spacing w:after="0" w:line="26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March 4, 2026, the number of shares outstanding of the registrant’s common stock, $0.0001 par value, was 49,933,993.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This Amendment No. 1 on Form 10-Q/A (“Form 10-Q/A”) amends and restates certain items in AeroVironment, Inc.’s (“the Company”) Quarterly Report on Form 10-Q for the quarterly period ended January 31, 2026, initially filed with the Securities and Exchange Commission (the “SEC”) on March 11, 2026 (the “Original Form 10-Q”). This Form 10-Q/A sets forth the information in the Original Form 10-Q in its entirety, as adjusted for the effects of the restatement described below.</w:t>
      </w:r>
    </w:p>
    <w:p>
      <w:pPr>
        <w:spacing w:after="0" w:line="183"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In this Form 10-Q/A, the Company is restating its previously issued unaudited condensed consolidated financial statements for the three and nine months ended January 31, 2026, as further described below. The Company does not intend to amend any other reports previously filed or furnished with the SEC. Accordingly, investors and other readers should rely only on the financial information and related disclosures regarding the period described above (the “Affected Period”) in this Form 10-Q/A and in any other future filings with the SEC (as applicable) and should not rely on any previously issued or filed reports, press releases, earnings releases, investor presentations or similar communications relating to the Affected Period.</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Items Amended in this Filing</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Form 10-Q/A amends and restates the following items of the Original Form 10-Q:</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 I - Item 1. Financial Statements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 I - Item 2. Management’s Discussion and Analysis of Financial Condition and 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 I - Item 4. Controls and Procedures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 II - Item 1A. Risk Factors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 II - Item 6. Exhibits</w:t>
      </w:r>
    </w:p>
    <w:p>
      <w:pPr>
        <w:spacing w:after="0" w:line="22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In accordance with Rule 12b-15 under the Securities Exchange Act of 1934, as amended (the “Exchange Act”), the certifications specified in Rule 13a-14 under the Exchange Act and Section 1350 of Chapter 63 of Title 18 of the United States Code (18 U.S.C. 1350) from our principal executive officer and principal financial officer, each dated as of the date hereof, are being filed or furnished, as applicable, with this Form 10-Q/A as Exhibits 31.1, 31.2 and 32.</w:t>
      </w:r>
    </w:p>
    <w:p>
      <w:pPr>
        <w:spacing w:after="0" w:line="180"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This Form 10-Q/A sets forth the information in the Original Form 10-Q in its entirety, as such information is amended and restated where necessary to reflect the restatement and related revisions. Except as provided above, this Form 10-Q/A does not amend, update or change any other items or disclosures. Unless otherwise provided, the disclosures in this Form 10-Q/A are made as of the date of the Original Form 10-Q and do not reflect any events that occurred after the date of the Original Form 10-Q or modify or update any other disclosures in the Original Form 10-Q affected by subsequent events. As such, forward-looking statements included in this Form 10-Q/A may represent management’s views as of the date of the Original Form 10-Q and should not be assumed to be accurate as of any date thereafter. Accordingly, this Form 10-Q/A should be read in conjunction with the Company’s other SEC filings.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Restatement Background</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As described in the Company’s Current Report on Form 8-K filed with the SEC on June 22, 2026, during the preparation of the Company’s consolidated financial statements as of and for the year ended April 30, 2026, the Company identified an error in the calculation of the carrying value used in the goodwill impairment analysis for the Space reporting unit. Specifically, the Space reporting unit carrying value utilized in the goodwill impairment analysis did not include an allocation of the goodwill resulting from acquired deferred tax assets and liabilities. This error had no impact on previously reported GAAP financial information of current assets, current liabilities, revenues, or cash used in operating activities.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a result of this error, in the Original Form 10-Q:</w:t>
      </w:r>
    </w:p>
    <w:p>
      <w:pPr>
        <w:spacing w:after="0" w:line="225"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was understated by $89,402,000 for the three and nine months ended January 31, 2026</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understated by $87,272,000 for the three and nine months ended January 31, 2026</w:t>
      </w:r>
    </w:p>
    <w:p>
      <w:pPr>
        <w:spacing w:after="0" w:line="225"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 was understated by $1.75 and $1.79 for the three and nine months ended January 31, 2026, respectively</w:t>
      </w:r>
    </w:p>
    <w:p>
      <w:pPr>
        <w:spacing w:after="0" w:line="161" w:lineRule="exact"/>
        <w:rPr>
          <w:rFonts w:ascii="Times New Roman" w:cs="Times New Roman" w:eastAsia="Times New Roman" w:hAnsi="Times New Roman"/>
          <w:sz w:val="18"/>
          <w:szCs w:val="18"/>
          <w:color w:val="auto"/>
        </w:rPr>
      </w:pPr>
    </w:p>
    <w:p>
      <w:pPr>
        <w:ind w:left="720" w:right="10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were overstated by $89,402,000, total liabilities were overstated by $2,130,000, and total stockholders’ equity was overstated by $87,272,000 as of January 31,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Internal Control Considerations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a result of the error in the carrying value of the Space reporting unit discussed above, the Company’s management re-evaluated the effectiveness of the Company’s disclosure controls and procedures as of January 31, 2026. The Company’s management determined that the error and the related restatements were the result of a newly identified material weakness in the Company’s internal control over financial reporting related to the preparation and review of the goodwill impairment analysis, and concluded that disclosure controls and procedures as of January 31, 2026 were ineffective. Therefore, the Company’s previous evaluation of its disclosure controls and procedures as of January 31, 2026 should no longer be relied upon. See Part I - Item 4. Controls and Procedures, in this Form 10-Q/A for additional information related to this material weakness in internal control over financial reporting and the related remedial measures.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gridSpan w:val="12"/>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4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gridSpan w:val="12"/>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60" w:type="dxa"/>
            <w:vAlign w:val="bottom"/>
          </w:tcPr>
          <w:p>
            <w:pPr>
              <w:spacing w:after="0"/>
              <w:rPr>
                <w:sz w:val="24"/>
                <w:szCs w:val="24"/>
                <w:color w:val="auto"/>
              </w:rPr>
            </w:pPr>
          </w:p>
        </w:tc>
      </w:tr>
      <w:tr>
        <w:trPr>
          <w:trHeight w:val="391"/>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7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Financial Statements :</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January 31, 2026 As Restated (Unaudited) and April 30,</w:t>
            </w:r>
          </w:p>
        </w:tc>
        <w:tc>
          <w:tcPr>
            <w:tcW w:w="460" w:type="dxa"/>
            <w:vAlign w:val="bottom"/>
          </w:tcPr>
          <w:p>
            <w:pPr>
              <w:spacing w:after="0"/>
              <w:rPr>
                <w:sz w:val="18"/>
                <w:szCs w:val="18"/>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2025 (Unaudited)</w:t>
            </w:r>
          </w:p>
        </w:tc>
        <w:tc>
          <w:tcPr>
            <w:tcW w:w="5960" w:type="dxa"/>
            <w:vAlign w:val="bottom"/>
            <w:tcBorders>
              <w:top w:val="single" w:sz="8" w:color="0000EE"/>
            </w:tcBorders>
            <w:gridSpan w:val="13"/>
          </w:tcPr>
          <w:p>
            <w:pPr>
              <w:spacing w:after="0"/>
              <w:rPr>
                <w:sz w:val="17"/>
                <w:szCs w:val="17"/>
                <w:color w:val="auto"/>
              </w:rPr>
            </w:pPr>
          </w:p>
        </w:tc>
        <w:tc>
          <w:tcPr>
            <w:tcW w:w="18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January 31, 2026</w:t>
            </w:r>
          </w:p>
        </w:tc>
        <w:tc>
          <w:tcPr>
            <w:tcW w:w="460" w:type="dxa"/>
            <w:vAlign w:val="bottom"/>
          </w:tcPr>
          <w:p>
            <w:pPr>
              <w:spacing w:after="0"/>
              <w:rPr>
                <w:sz w:val="20"/>
                <w:szCs w:val="20"/>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As Restated (Unaudited) and January 25, 2025 (Unaudited)</w:t>
            </w:r>
          </w:p>
        </w:tc>
        <w:tc>
          <w:tcPr>
            <w:tcW w:w="3100" w:type="dxa"/>
            <w:vAlign w:val="bottom"/>
            <w:tcBorders>
              <w:top w:val="single" w:sz="8" w:color="0000EE"/>
            </w:tcBorders>
            <w:gridSpan w:val="9"/>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(Loss) Income for the three and nine months</w:t>
            </w:r>
          </w:p>
        </w:tc>
        <w:tc>
          <w:tcPr>
            <w:tcW w:w="460" w:type="dxa"/>
            <w:vAlign w:val="bottom"/>
          </w:tcPr>
          <w:p>
            <w:pPr>
              <w:spacing w:after="0"/>
              <w:rPr>
                <w:sz w:val="20"/>
                <w:szCs w:val="20"/>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ended January 31, 2026 As Restated (Unaudited) and January 25, 2025 (Unaudited)</w:t>
            </w:r>
          </w:p>
        </w:tc>
        <w:tc>
          <w:tcPr>
            <w:tcW w:w="36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nine months ended</w:t>
            </w:r>
          </w:p>
        </w:tc>
        <w:tc>
          <w:tcPr>
            <w:tcW w:w="460" w:type="dxa"/>
            <w:vAlign w:val="bottom"/>
          </w:tcPr>
          <w:p>
            <w:pPr>
              <w:spacing w:after="0"/>
              <w:rPr>
                <w:sz w:val="20"/>
                <w:szCs w:val="20"/>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5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January 31, 2026 As Restated (Unaudited) and January 25, 2025 (Unaudited)</w:t>
            </w:r>
          </w:p>
        </w:tc>
        <w:tc>
          <w:tcPr>
            <w:tcW w:w="1280" w:type="dxa"/>
            <w:vAlign w:val="bottom"/>
            <w:tcBorders>
              <w:top w:val="single" w:sz="8" w:color="0000EE"/>
            </w:tcBorders>
            <w:gridSpan w:val="3"/>
          </w:tcPr>
          <w:p>
            <w:pPr>
              <w:spacing w:after="0"/>
              <w:rPr>
                <w:sz w:val="17"/>
                <w:szCs w:val="17"/>
                <w:color w:val="auto"/>
              </w:rPr>
            </w:pPr>
          </w:p>
        </w:tc>
        <w:tc>
          <w:tcPr>
            <w:tcW w:w="58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1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January 31, 2026 As</w:t>
            </w:r>
          </w:p>
        </w:tc>
        <w:tc>
          <w:tcPr>
            <w:tcW w:w="440" w:type="dxa"/>
            <w:vAlign w:val="bottom"/>
            <w:gridSpan w:val="4"/>
          </w:tcPr>
          <w:p>
            <w:pPr>
              <w:spacing w:after="0"/>
              <w:rPr>
                <w:sz w:val="20"/>
                <w:szCs w:val="20"/>
                <w:color w:val="auto"/>
              </w:rPr>
            </w:pPr>
          </w:p>
        </w:tc>
        <w:tc>
          <w:tcPr>
            <w:tcW w:w="460" w:type="dxa"/>
            <w:vAlign w:val="bottom"/>
          </w:tcPr>
          <w:p>
            <w:pPr>
              <w:spacing w:after="0"/>
              <w:rPr>
                <w:sz w:val="20"/>
                <w:szCs w:val="20"/>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Restated (Unaudited) and January 25, 2025(Unaudited)</w:t>
            </w:r>
          </w:p>
        </w:tc>
        <w:tc>
          <w:tcPr>
            <w:tcW w:w="344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84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84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40" w:type="dxa"/>
            <w:vAlign w:val="bottom"/>
            <w:tcBorders>
              <w:left w:val="single" w:sz="8" w:color="0000EE"/>
            </w:tcBorders>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84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53"/>
        </w:trPr>
        <w:tc>
          <w:tcPr>
            <w:tcW w:w="27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7"/>
              </w:rPr>
              <w:t>PART II. OTHER INFORMATION</w:t>
            </w:r>
          </w:p>
        </w:tc>
        <w:tc>
          <w:tcPr>
            <w:tcW w:w="568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r>
      <w:tr>
        <w:trPr>
          <w:trHeight w:val="453"/>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40" w:type="dxa"/>
            <w:vAlign w:val="bottom"/>
            <w:gridSpan w:val="2"/>
          </w:tcPr>
          <w:p>
            <w:pPr>
              <w:spacing w:after="0"/>
              <w:rPr>
                <w:sz w:val="24"/>
                <w:szCs w:val="24"/>
                <w:color w:val="auto"/>
              </w:rPr>
            </w:pP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440" w:type="dxa"/>
            <w:vAlign w:val="bottom"/>
            <w:gridSpan w:val="17"/>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6"/>
        </w:trPr>
        <w:tc>
          <w:tcPr>
            <w:tcW w:w="84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84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84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546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84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40" w:type="dxa"/>
            <w:vAlign w:val="bottom"/>
            <w:gridSpan w:val="2"/>
          </w:tcPr>
          <w:p>
            <w:pPr>
              <w:spacing w:after="0"/>
              <w:rPr>
                <w:sz w:val="20"/>
                <w:szCs w:val="20"/>
                <w:color w:val="auto"/>
              </w:rPr>
            </w:pPr>
          </w:p>
        </w:tc>
        <w:tc>
          <w:tcPr>
            <w:tcW w:w="1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20"/>
                <w:szCs w:val="20"/>
                <w:color w:val="auto"/>
              </w:rPr>
            </w:pPr>
          </w:p>
        </w:tc>
        <w:tc>
          <w:tcPr>
            <w:tcW w:w="6020" w:type="dxa"/>
            <w:vAlign w:val="bottom"/>
            <w:gridSpan w:val="14"/>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7"/>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40" w:type="dxa"/>
            <w:vAlign w:val="bottom"/>
            <w:gridSpan w:val="2"/>
          </w:tcPr>
          <w:p>
            <w:pPr>
              <w:spacing w:after="0"/>
              <w:rPr>
                <w:sz w:val="20"/>
                <w:szCs w:val="20"/>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180" w:type="dxa"/>
            <w:vAlign w:val="bottom"/>
            <w:gridSpan w:val="20"/>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7"/>
        </w:trPr>
        <w:tc>
          <w:tcPr>
            <w:tcW w:w="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7680" w:type="dxa"/>
            <w:vAlign w:val="bottom"/>
            <w:gridSpan w:val="23"/>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22"/>
        <w:spacing w:after="0" w:line="422" w:lineRule="auto"/>
        <w:rPr>
          <w:sz w:val="20"/>
          <w:szCs w:val="20"/>
          <w:color w:val="auto"/>
        </w:rPr>
      </w:pPr>
      <w:r>
        <w:rPr>
          <w:rFonts w:ascii="Times New Roman" w:cs="Times New Roman" w:eastAsia="Times New Roman" w:hAnsi="Times New Roman"/>
          <w:sz w:val="18"/>
          <w:szCs w:val="18"/>
          <w:b w:val="1"/>
          <w:bCs w:val="1"/>
          <w:color w:val="auto"/>
        </w:rPr>
        <w:t>PART I. FINANCIAL INFORMATION ITEM 1.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6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42"/>
        </w:trPr>
        <w:tc>
          <w:tcPr>
            <w:tcW w:w="6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289,878</w:t>
            </w:r>
          </w:p>
        </w:tc>
        <w:tc>
          <w:tcPr>
            <w:tcW w:w="36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40,862</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297,259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$2,213 at January 31, 2026 and $203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at April 30, 2025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101,967</w:t>
            </w:r>
          </w:p>
        </w:tc>
        <w:tc>
          <w:tcPr>
            <w:tcW w:w="120" w:type="dxa"/>
            <w:vAlign w:val="bottom"/>
            <w:shd w:val="clear" w:color="auto" w:fill="CCEEFF"/>
          </w:tcPr>
          <w:p>
            <w:pPr>
              <w:spacing w:after="0"/>
              <w:rPr>
                <w:sz w:val="18"/>
                <w:szCs w:val="18"/>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528,557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290,009</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299,277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144,090</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28,966</w:t>
            </w:r>
          </w:p>
        </w:tc>
        <w:tc>
          <w:tcPr>
            <w:tcW w:w="120" w:type="dxa"/>
            <w:vAlign w:val="bottom"/>
            <w:shd w:val="clear" w:color="auto" w:fill="CCEEFF"/>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1,704,247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606,516</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61,659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31,627</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158,867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50,704</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91,810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31,879</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61,460</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925,925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48,711</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2,372,312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256,781</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49,414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32,889</w:t>
            </w:r>
          </w:p>
        </w:tc>
        <w:tc>
          <w:tcPr>
            <w:tcW w:w="120" w:type="dxa"/>
            <w:vAlign w:val="bottom"/>
            <w:shd w:val="clear" w:color="auto" w:fill="CCEEFF"/>
          </w:tcPr>
          <w:p>
            <w:pPr>
              <w:spacing w:after="0"/>
              <w:rPr>
                <w:sz w:val="17"/>
                <w:szCs w:val="17"/>
                <w:color w:val="auto"/>
              </w:rPr>
            </w:pPr>
          </w:p>
        </w:tc>
      </w:tr>
      <w:tr>
        <w:trPr>
          <w:trHeight w:val="23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5,364,234</w:t>
            </w:r>
          </w:p>
        </w:tc>
        <w:tc>
          <w:tcPr>
            <w:tcW w:w="22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1,120,567</w:t>
            </w:r>
          </w:p>
        </w:tc>
        <w:tc>
          <w:tcPr>
            <w:tcW w:w="120" w:type="dxa"/>
            <w:vAlign w:val="bottom"/>
            <w:tcBorders>
              <w:bottom w:val="single" w:sz="8" w:color="CCEEFF"/>
            </w:tcBorders>
          </w:tcPr>
          <w:p>
            <w:pPr>
              <w:spacing w:after="0"/>
              <w:rPr>
                <w:sz w:val="20"/>
                <w:szCs w:val="20"/>
                <w:color w:val="auto"/>
              </w:rPr>
            </w:pPr>
          </w:p>
        </w:tc>
      </w:tr>
      <w:tr>
        <w:trPr>
          <w:trHeight w:val="183"/>
        </w:trPr>
        <w:tc>
          <w:tcPr>
            <w:tcW w:w="6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109,633</w:t>
            </w:r>
          </w:p>
        </w:tc>
        <w:tc>
          <w:tcPr>
            <w:tcW w:w="36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72,462</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75,765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44,253</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67,543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15,952</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40,489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28,659</w:t>
            </w:r>
          </w:p>
        </w:tc>
        <w:tc>
          <w:tcPr>
            <w:tcW w:w="12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309,319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172,161</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727,877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23,812</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9"/>
        </w:trPr>
        <w:tc>
          <w:tcPr>
            <w:tcW w:w="6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January 31, 2026 and April</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30,2025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Issued and outstanding shares—49,934,738 shares at January 31, 2026 and 28,267,517 shares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at April 30, 2025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r>
      <w:tr>
        <w:trPr>
          <w:trHeight w:val="202"/>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4,244,416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618,711</w:t>
            </w:r>
          </w:p>
        </w:tc>
        <w:tc>
          <w:tcPr>
            <w:tcW w:w="12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120" w:type="dxa"/>
            <w:vAlign w:val="bottom"/>
            <w:shd w:val="clear" w:color="auto" w:fill="CCEEFF"/>
          </w:tcPr>
          <w:p>
            <w:pPr>
              <w:spacing w:after="0"/>
              <w:rPr>
                <w:sz w:val="17"/>
                <w:szCs w:val="17"/>
                <w:color w:val="auto"/>
              </w:rPr>
            </w:pPr>
          </w:p>
        </w:tc>
      </w:tr>
      <w:tr>
        <w:trPr>
          <w:trHeight w:val="203"/>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(deficit) earnings</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(53,990)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274,306</w:t>
            </w:r>
          </w:p>
        </w:tc>
        <w:tc>
          <w:tcPr>
            <w:tcW w:w="12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4,184,918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886,507</w:t>
            </w:r>
          </w:p>
        </w:tc>
        <w:tc>
          <w:tcPr>
            <w:tcW w:w="120" w:type="dxa"/>
            <w:vAlign w:val="bottom"/>
            <w:shd w:val="clear" w:color="auto" w:fill="CCEEFF"/>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5,364,234</w:t>
            </w:r>
          </w:p>
        </w:tc>
        <w:tc>
          <w:tcPr>
            <w:tcW w:w="220" w:type="dxa"/>
            <w:vAlign w:val="bottom"/>
            <w:gridSpan w:val="2"/>
          </w:tcPr>
          <w:p>
            <w:pPr>
              <w:spacing w:after="0"/>
              <w:rPr>
                <w:sz w:val="17"/>
                <w:szCs w:val="17"/>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1,120,567</w:t>
            </w:r>
          </w:p>
        </w:tc>
        <w:tc>
          <w:tcPr>
            <w:tcW w:w="12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76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240" w:type="dxa"/>
            <w:vAlign w:val="bottom"/>
            <w:gridSpan w:val="2"/>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8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139,753</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916,384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7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130,231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27,883</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418,845</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1,335,229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545,577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199,973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7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109,278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23,436</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365,155</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309,251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1,037,212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7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20,953</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53,690</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98,794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63,199</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298,017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218,304</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goodwill</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240,708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7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(268,440)</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(367,936)</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(loss):</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7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(265,144)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Equity method investment (loss) income, net of tax</w:t>
            </w:r>
          </w:p>
        </w:tc>
        <w:tc>
          <w:tcPr>
            <w:tcW w:w="7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(243,823)</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(328,296)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26,955</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49,741,441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28,031,901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48,761,481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28,001,089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49,741,441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28,031,901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48,761,481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28,171,089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00" w:type="dxa"/>
            <w:vAlign w:val="bottom"/>
          </w:tcPr>
          <w:p>
            <w:pPr>
              <w:spacing w:after="0"/>
              <w:rPr>
                <w:sz w:val="10"/>
                <w:szCs w:val="10"/>
                <w:color w:val="auto"/>
              </w:rPr>
            </w:pPr>
          </w:p>
        </w:tc>
      </w:tr>
      <w:tr>
        <w:trPr>
          <w:trHeight w:val="148"/>
        </w:trPr>
        <w:tc>
          <w:tcPr>
            <w:tcW w:w="4820" w:type="dxa"/>
            <w:vAlign w:val="bottom"/>
          </w:tcPr>
          <w:p>
            <w:pPr>
              <w:spacing w:after="0"/>
              <w:rPr>
                <w:sz w:val="12"/>
                <w:szCs w:val="12"/>
                <w:color w:val="auto"/>
              </w:rPr>
            </w:pPr>
          </w:p>
        </w:tc>
        <w:tc>
          <w:tcPr>
            <w:tcW w:w="104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2026</w:t>
            </w:r>
          </w:p>
        </w:tc>
        <w:tc>
          <w:tcPr>
            <w:tcW w:w="280" w:type="dxa"/>
            <w:vAlign w:val="bottom"/>
            <w:gridSpan w:val="2"/>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00" w:type="dxa"/>
            <w:vAlign w:val="bottom"/>
            <w:gridSpan w:val="2"/>
          </w:tcPr>
          <w:p>
            <w:pPr>
              <w:jc w:val="right"/>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73"/>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(243,823)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(328,296)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8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loss on available-for-sale investments, net of</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expense of $0 for the three and nine months ended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January 31, 2026 and January 25, 2025 respectively</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240" w:type="dxa"/>
            <w:vAlign w:val="bottom"/>
            <w:gridSpan w:val="2"/>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r>
      <w:tr>
        <w:trPr>
          <w:trHeight w:val="209"/>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(243,115)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(327,296)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January 31, 2026 and January 25, 2025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10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00" w:type="dxa"/>
            <w:vAlign w:val="bottom"/>
            <w:gridSpan w:val="2"/>
          </w:tcPr>
          <w:p>
            <w:pPr>
              <w:ind w:left="38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280" w:type="dxa"/>
            <w:vAlign w:val="bottom"/>
            <w:gridSpan w:val="2"/>
          </w:tcPr>
          <w:p>
            <w:pPr>
              <w:jc w:val="right"/>
              <w:ind w:right="73"/>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(As Restated)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Restated)</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November 1, 2025</w:t>
            </w: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49,927,306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$ 4,234,464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189,833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(6,222)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4,418,081</w:t>
            </w:r>
          </w:p>
        </w:tc>
        <w:tc>
          <w:tcPr>
            <w:tcW w:w="0" w:type="dxa"/>
            <w:vAlign w:val="bottom"/>
          </w:tcPr>
          <w:p>
            <w:pPr>
              <w:spacing w:after="0"/>
              <w:rPr>
                <w:sz w:val="1"/>
                <w:szCs w:val="1"/>
                <w:color w:val="auto"/>
              </w:rPr>
            </w:pPr>
          </w:p>
        </w:tc>
      </w:tr>
      <w:tr>
        <w:trPr>
          <w:trHeight w:val="148"/>
        </w:trPr>
        <w:tc>
          <w:tcPr>
            <w:tcW w:w="39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(243,823)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(243,823)</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39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9,182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149"/>
        </w:trPr>
        <w:tc>
          <w:tcPr>
            <w:tcW w:w="39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(4,829)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90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for business acquisition, net of</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issuance costs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8,070</w:t>
            </w:r>
          </w:p>
        </w:tc>
        <w:tc>
          <w:tcPr>
            <w:tcW w:w="0" w:type="dxa"/>
            <w:vAlign w:val="bottom"/>
          </w:tcPr>
          <w:p>
            <w:pPr>
              <w:spacing w:after="0"/>
              <w:rPr>
                <w:sz w:val="1"/>
                <w:szCs w:val="1"/>
                <w:color w:val="auto"/>
              </w:rPr>
            </w:pPr>
          </w:p>
        </w:tc>
      </w:tr>
      <w:tr>
        <w:trPr>
          <w:trHeight w:val="142"/>
        </w:trPr>
        <w:tc>
          <w:tcPr>
            <w:tcW w:w="38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January 31, 2026</w:t>
            </w: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49,934,738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$ 4,244,416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(53,990)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(5,514)</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4,184,918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900" w:type="dxa"/>
            <w:vAlign w:val="bottom"/>
            <w:gridSpan w:val="2"/>
          </w:tcPr>
          <w:p>
            <w:pPr>
              <w:ind w:left="380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80" w:type="dxa"/>
            <w:vAlign w:val="bottom"/>
            <w:gridSpan w:val="2"/>
          </w:tcPr>
          <w:p>
            <w:pPr>
              <w:jc w:val="right"/>
              <w:ind w:right="7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October 26, 2024</w:t>
            </w: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28,205,237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604,225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259,396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(5,228)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858,397</w:t>
            </w:r>
          </w:p>
        </w:tc>
        <w:tc>
          <w:tcPr>
            <w:tcW w:w="0" w:type="dxa"/>
            <w:vAlign w:val="bottom"/>
          </w:tcPr>
          <w:p>
            <w:pPr>
              <w:spacing w:after="0"/>
              <w:rPr>
                <w:sz w:val="1"/>
                <w:szCs w:val="1"/>
                <w:color w:val="auto"/>
              </w:rPr>
            </w:pPr>
          </w:p>
        </w:tc>
      </w:tr>
      <w:tr>
        <w:trPr>
          <w:trHeight w:val="148"/>
        </w:trPr>
        <w:tc>
          <w:tcPr>
            <w:tcW w:w="39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(969)</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149"/>
        </w:trPr>
        <w:tc>
          <w:tcPr>
            <w:tcW w:w="39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(2,601)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5,381</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January 25, 2025</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28,219,440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609,606</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257,642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(6,197)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861,055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nine months ended January 31, 2026 and January 25, 2025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10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860" w:type="dxa"/>
            <w:vAlign w:val="bottom"/>
          </w:tcPr>
          <w:p>
            <w:pPr>
              <w:ind w:left="37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49"/>
              <w:spacing w:after="0" w:line="12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ind w:right="3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50"/>
              <w:spacing w:after="0" w:line="122"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280" w:type="dxa"/>
            <w:vAlign w:val="bottom"/>
            <w:gridSpan w:val="2"/>
          </w:tcPr>
          <w:p>
            <w:pPr>
              <w:jc w:val="right"/>
              <w:ind w:right="74"/>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0"/>
                <w:szCs w:val="10"/>
                <w:color w:val="auto"/>
              </w:rPr>
            </w:pPr>
          </w:p>
        </w:tc>
        <w:tc>
          <w:tcPr>
            <w:tcW w:w="820" w:type="dxa"/>
            <w:vAlign w:val="bottom"/>
          </w:tcPr>
          <w:p>
            <w:pPr>
              <w:jc w:val="center"/>
              <w:ind w:right="29"/>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(As Restated)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6"/>
              </w:rPr>
              <w:t>(As Restated)</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right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April 30, 2025</w:t>
            </w:r>
          </w:p>
        </w:tc>
        <w:tc>
          <w:tcPr>
            <w:tcW w:w="740" w:type="dxa"/>
            <w:vAlign w:val="bottom"/>
            <w:tcBorders>
              <w:top w:val="single" w:sz="8" w:color="auto"/>
              <w:right w:val="single" w:sz="8" w:color="CCEEFF"/>
            </w:tcBorders>
            <w:shd w:val="clear" w:color="auto" w:fill="CCEEFF"/>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28,267,517</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right w:val="single" w:sz="8" w:color="CCEEFF"/>
            </w:tcBorders>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618,711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right w:val="single" w:sz="8" w:color="CCEEFF"/>
            </w:tcBorders>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274,306</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(6,514)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right w:val="single" w:sz="8" w:color="CCEEFF"/>
            </w:tcBorders>
            <w:shd w:val="clear" w:color="auto" w:fill="CCEEFF"/>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886,507</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(328,296)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(328,296)</w:t>
            </w:r>
          </w:p>
        </w:tc>
        <w:tc>
          <w:tcPr>
            <w:tcW w:w="0" w:type="dxa"/>
            <w:vAlign w:val="bottom"/>
          </w:tcPr>
          <w:p>
            <w:pPr>
              <w:spacing w:after="0"/>
              <w:rPr>
                <w:sz w:val="1"/>
                <w:szCs w:val="1"/>
                <w:color w:val="auto"/>
              </w:rPr>
            </w:pPr>
          </w:p>
        </w:tc>
      </w:tr>
      <w:tr>
        <w:trPr>
          <w:trHeight w:val="229"/>
        </w:trPr>
        <w:tc>
          <w:tcPr>
            <w:tcW w:w="38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49"/>
        </w:trPr>
        <w:tc>
          <w:tcPr>
            <w:tcW w:w="3860" w:type="dxa"/>
            <w:vAlign w:val="bottom"/>
            <w:tcBorders>
              <w:right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74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27,737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4,355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4,355</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178,561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60" w:type="dxa"/>
            <w:vAlign w:val="bottom"/>
            <w:tcBorders>
              <w:right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6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(7,820)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(10,900)</w:t>
            </w:r>
          </w:p>
        </w:tc>
        <w:tc>
          <w:tcPr>
            <w:tcW w:w="0" w:type="dxa"/>
            <w:vAlign w:val="bottom"/>
          </w:tcPr>
          <w:p>
            <w:pPr>
              <w:spacing w:after="0"/>
              <w:rPr>
                <w:sz w:val="1"/>
                <w:szCs w:val="1"/>
                <w:color w:val="auto"/>
              </w:rPr>
            </w:pPr>
          </w:p>
        </w:tc>
      </w:tr>
      <w:tr>
        <w:trPr>
          <w:trHeight w:val="171"/>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tcBorders>
              <w:right w:val="single" w:sz="8" w:color="CCEEFF"/>
            </w:tcBorders>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for business acquisition, net of</w:t>
            </w:r>
          </w:p>
        </w:tc>
        <w:tc>
          <w:tcPr>
            <w:tcW w:w="74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17,425,849</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2,637,339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2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2,637,341</w:t>
            </w:r>
          </w:p>
        </w:tc>
        <w:tc>
          <w:tcPr>
            <w:tcW w:w="0" w:type="dxa"/>
            <w:vAlign w:val="bottom"/>
          </w:tcPr>
          <w:p>
            <w:pPr>
              <w:spacing w:after="0"/>
              <w:rPr>
                <w:sz w:val="1"/>
                <w:szCs w:val="1"/>
                <w:color w:val="auto"/>
              </w:rPr>
            </w:pPr>
          </w:p>
        </w:tc>
      </w:tr>
      <w:tr>
        <w:trPr>
          <w:trHeight w:val="171"/>
        </w:trPr>
        <w:tc>
          <w:tcPr>
            <w:tcW w:w="38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costs</w:t>
            </w: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issued, net of issuance costs</w:t>
            </w:r>
          </w:p>
        </w:tc>
        <w:tc>
          <w:tcPr>
            <w:tcW w:w="74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4,057,460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966,846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966,846</w:t>
            </w:r>
          </w:p>
        </w:tc>
        <w:tc>
          <w:tcPr>
            <w:tcW w:w="0" w:type="dxa"/>
            <w:vAlign w:val="bottom"/>
          </w:tcPr>
          <w:p>
            <w:pPr>
              <w:spacing w:after="0"/>
              <w:rPr>
                <w:sz w:val="1"/>
                <w:szCs w:val="1"/>
                <w:color w:val="auto"/>
              </w:rPr>
            </w:pPr>
          </w:p>
        </w:tc>
      </w:tr>
      <w:tr>
        <w:trPr>
          <w:trHeight w:val="148"/>
        </w:trPr>
        <w:tc>
          <w:tcPr>
            <w:tcW w:w="3860" w:type="dxa"/>
            <w:vAlign w:val="bottom"/>
            <w:tcBorders>
              <w:right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28,065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28,065</w:t>
            </w:r>
          </w:p>
        </w:tc>
        <w:tc>
          <w:tcPr>
            <w:tcW w:w="0" w:type="dxa"/>
            <w:vAlign w:val="bottom"/>
          </w:tcPr>
          <w:p>
            <w:pPr>
              <w:spacing w:after="0"/>
              <w:rPr>
                <w:sz w:val="1"/>
                <w:szCs w:val="1"/>
                <w:color w:val="auto"/>
              </w:rPr>
            </w:pPr>
          </w:p>
        </w:tc>
      </w:tr>
      <w:tr>
        <w:trPr>
          <w:trHeight w:val="142"/>
        </w:trPr>
        <w:tc>
          <w:tcPr>
            <w:tcW w:w="38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January 31, 2026</w:t>
            </w:r>
          </w:p>
        </w:tc>
        <w:tc>
          <w:tcPr>
            <w:tcW w:w="740" w:type="dxa"/>
            <w:vAlign w:val="bottom"/>
            <w:tcBorders>
              <w:top w:val="single" w:sz="8" w:color="auto"/>
              <w:bottom w:val="single" w:sz="8" w:color="auto"/>
            </w:tcBorders>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49,934,738</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$ 4,244,416</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(53,990)</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(5,514)</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4,184,918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7"/>
                <w:szCs w:val="17"/>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28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7"/>
                <w:szCs w:val="17"/>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0"/>
        </w:trPr>
        <w:tc>
          <w:tcPr>
            <w:tcW w:w="38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30, 2024</w:t>
            </w: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28,134,438</w:t>
            </w:r>
          </w:p>
        </w:tc>
        <w:tc>
          <w:tcPr>
            <w:tcW w:w="3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597,646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230,687</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822,745</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26,955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26,955</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16,164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88,587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60" w:type="dxa"/>
            <w:vAlign w:val="bottom"/>
            <w:tcBorders>
              <w:right w:val="single" w:sz="8" w:color="CCEEFF"/>
            </w:tcBorders>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0" w:type="dxa"/>
            <w:vAlign w:val="bottom"/>
          </w:tcPr>
          <w:p>
            <w:pPr>
              <w:spacing w:after="0"/>
              <w:rPr>
                <w:sz w:val="1"/>
                <w:szCs w:val="1"/>
                <w:color w:val="auto"/>
              </w:rPr>
            </w:pPr>
          </w:p>
        </w:tc>
      </w:tr>
      <w:tr>
        <w:trPr>
          <w:trHeight w:val="171"/>
        </w:trPr>
        <w:tc>
          <w:tcPr>
            <w:tcW w:w="38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15,518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15,518</w:t>
            </w:r>
          </w:p>
        </w:tc>
        <w:tc>
          <w:tcPr>
            <w:tcW w:w="0" w:type="dxa"/>
            <w:vAlign w:val="bottom"/>
          </w:tcPr>
          <w:p>
            <w:pPr>
              <w:spacing w:after="0"/>
              <w:rPr>
                <w:sz w:val="1"/>
                <w:szCs w:val="1"/>
                <w:color w:val="auto"/>
              </w:rPr>
            </w:pPr>
          </w:p>
        </w:tc>
      </w:tr>
      <w:tr>
        <w:trPr>
          <w:trHeight w:val="183"/>
        </w:trPr>
        <w:tc>
          <w:tcPr>
            <w:tcW w:w="38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25, 2025</w:t>
            </w: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28,219,440</w:t>
            </w:r>
          </w:p>
        </w:tc>
        <w:tc>
          <w:tcPr>
            <w:tcW w:w="3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609,606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257,642</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861,055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AeroVironment,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 (Unaudited)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8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6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320" w:type="dxa"/>
            <w:vAlign w:val="bottom"/>
            <w:tcBorders>
              <w:top w:val="single" w:sz="8" w:color="auto"/>
            </w:tcBorders>
            <w:gridSpan w:val="2"/>
          </w:tcPr>
          <w:p>
            <w:pPr>
              <w:jc w:val="right"/>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top w:val="single" w:sz="8" w:color="auto"/>
            </w:tcBorders>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9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(328,296)</w:t>
            </w:r>
          </w:p>
        </w:tc>
        <w:tc>
          <w:tcPr>
            <w:tcW w:w="3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income to cash used in operating activities: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202,960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240,708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from equity method investments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Reserve for inventory excess and obsolescence</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 net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(gain) on foreign currency transactions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equity securities, net</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(7,446)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(6,464)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28,065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securities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(19,892)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(142,088)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(92,721)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(38,646)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(9,314)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8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(17,174)</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(173,917)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(46,134)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in equity method investments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available-for-sale investments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(335,183)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Redemption of available-for-sale investments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capitalized software to be sold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acquisitions, net of cash acquired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(844,586)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(1,224,921)</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revolver</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693,202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revolver, net of creditor costs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233,939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shares issued, net of underwriter costs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968,515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convertible debt, net of underwriter costs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726,944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Holdback and retention payments for business acquisition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1,647,210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249,016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(26,301)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40,862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289,878</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47,000</w:t>
            </w: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net during the period for:</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9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4,335</w:t>
            </w:r>
          </w:p>
        </w:tc>
        <w:tc>
          <w:tcPr>
            <w:tcW w:w="3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9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12,535</w:t>
            </w:r>
          </w:p>
        </w:tc>
        <w:tc>
          <w:tcPr>
            <w:tcW w:w="3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9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2,640,365</w:t>
            </w:r>
          </w:p>
        </w:tc>
        <w:tc>
          <w:tcPr>
            <w:tcW w:w="3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9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3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9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3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9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4,961</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 (unaudited).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Issued Unaudited Condensed Consolidated Financial Statements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Subsequent to the issuance of the Company’s condensed unaudited consolidated financial statements as of and for the three and nine months ended January 31, 2026 the Company identified an error in the calculation of the carrying value used in the goodwill impairment analysis for the Space reporting unit. Specifically, the Space reporting unit carrying value utilized in the goodwill impairment analysis did not include an allocation of the goodwill resulting from acquired deferred tax assets and liabilities. This restatement corrects an error related to the goodwill impairment recorded during the restated period. This error had no impact on previously reported GAAP financial information of current assets, current liabilities, revenues, or cash used in operating activities.</w:t>
      </w:r>
    </w:p>
    <w:p>
      <w:pPr>
        <w:spacing w:after="0" w:line="18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effects of the restatement on the unaudited condensed consolidated financial statements as of and for the three and nine months ended January 31, 2026 are summarized in the following tables (in thousands):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 (in thousands)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3"/>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584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Previously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Effect of</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6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Restatement</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199"/>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2,461,714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(89,402)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2,372,312</w:t>
            </w:r>
          </w:p>
        </w:tc>
        <w:tc>
          <w:tcPr>
            <w:tcW w:w="80" w:type="dxa"/>
            <w:vAlign w:val="bottom"/>
          </w:tcPr>
          <w:p>
            <w:pPr>
              <w:spacing w:after="0"/>
              <w:rPr>
                <w:sz w:val="17"/>
                <w:szCs w:val="17"/>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5,453,636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(89,402)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5,364,234</w:t>
            </w:r>
          </w:p>
        </w:tc>
        <w:tc>
          <w:tcPr>
            <w:tcW w:w="80" w:type="dxa"/>
            <w:vAlign w:val="bottom"/>
            <w:shd w:val="clear" w:color="auto" w:fill="CCEEFF"/>
          </w:tcPr>
          <w:p>
            <w:pPr>
              <w:spacing w:after="0"/>
              <w:rPr>
                <w:sz w:val="17"/>
                <w:szCs w:val="17"/>
                <w:color w:val="auto"/>
              </w:rPr>
            </w:pPr>
          </w:p>
        </w:tc>
      </w:tr>
      <w:tr>
        <w:trPr>
          <w:trHeight w:val="20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53,627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51,497</w:t>
            </w:r>
          </w:p>
        </w:tc>
        <w:tc>
          <w:tcPr>
            <w:tcW w:w="80" w:type="dxa"/>
            <w:vAlign w:val="bottom"/>
            <w:shd w:val="clear" w:color="auto" w:fill="CCEEFF"/>
          </w:tcPr>
          <w:p>
            <w:pPr>
              <w:spacing w:after="0"/>
              <w:rPr>
                <w:sz w:val="17"/>
                <w:szCs w:val="17"/>
                <w:color w:val="auto"/>
              </w:rPr>
            </w:pPr>
          </w:p>
        </w:tc>
      </w:tr>
      <w:tr>
        <w:trPr>
          <w:trHeight w:val="20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(87,272)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(53,990)</w:t>
            </w:r>
          </w:p>
        </w:tc>
      </w:tr>
      <w:tr>
        <w:trPr>
          <w:trHeight w:val="20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4,272,190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(87,272)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4,184,918</w:t>
            </w:r>
          </w:p>
        </w:tc>
        <w:tc>
          <w:tcPr>
            <w:tcW w:w="80" w:type="dxa"/>
            <w:vAlign w:val="bottom"/>
            <w:shd w:val="clear" w:color="auto" w:fill="CCEEFF"/>
          </w:tcPr>
          <w:p>
            <w:pPr>
              <w:spacing w:after="0"/>
              <w:rPr>
                <w:sz w:val="17"/>
                <w:szCs w:val="17"/>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5,453,636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(89,402)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5,364,234</w:t>
            </w:r>
          </w:p>
        </w:tc>
        <w:tc>
          <w:tcPr>
            <w:tcW w:w="80" w:type="dxa"/>
            <w:vAlign w:val="bottom"/>
          </w:tcPr>
          <w:p>
            <w:pPr>
              <w:spacing w:after="0"/>
              <w:rPr>
                <w:sz w:val="18"/>
                <w:szCs w:val="18"/>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9"/>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Three Months Ended January 31, 2026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Nine Months Ended January 31, 2026</w:t>
            </w: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Effect of</w:t>
            </w:r>
          </w:p>
        </w:tc>
        <w:tc>
          <w:tcPr>
            <w:tcW w:w="9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0"/>
                <w:szCs w:val="10"/>
                <w:color w:val="auto"/>
              </w:rPr>
            </w:pPr>
          </w:p>
        </w:tc>
        <w:tc>
          <w:tcPr>
            <w:tcW w:w="90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Effect of</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8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940" w:type="dxa"/>
            <w:vAlign w:val="bottom"/>
            <w:gridSpan w:val="4"/>
            <w:vMerge w:val="continue"/>
          </w:tcPr>
          <w:p>
            <w:pPr>
              <w:spacing w:after="0"/>
              <w:rPr>
                <w:sz w:val="15"/>
                <w:szCs w:val="15"/>
                <w:color w:val="auto"/>
              </w:rPr>
            </w:pPr>
          </w:p>
        </w:tc>
        <w:tc>
          <w:tcPr>
            <w:tcW w:w="2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89,402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240,708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151,306</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89,402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240,708</w:t>
            </w:r>
          </w:p>
        </w:tc>
        <w:tc>
          <w:tcPr>
            <w:tcW w:w="0" w:type="dxa"/>
            <w:vAlign w:val="bottom"/>
          </w:tcPr>
          <w:p>
            <w:pPr>
              <w:spacing w:after="0"/>
              <w:rPr>
                <w:sz w:val="1"/>
                <w:szCs w:val="1"/>
                <w:color w:val="auto"/>
              </w:rPr>
            </w:pPr>
          </w:p>
        </w:tc>
      </w:tr>
      <w:tr>
        <w:trPr>
          <w:trHeight w:val="20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(179,038)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(89,402)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(268,440)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(278,534)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(89,402)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(367,936)</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(175,742)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(89,402)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(265,144)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(280,672)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(89,402)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(370,074)</w:t>
            </w:r>
          </w:p>
        </w:tc>
        <w:tc>
          <w:tcPr>
            <w:tcW w:w="0" w:type="dxa"/>
            <w:vAlign w:val="bottom"/>
          </w:tcPr>
          <w:p>
            <w:pPr>
              <w:spacing w:after="0"/>
              <w:rPr>
                <w:sz w:val="1"/>
                <w:szCs w:val="1"/>
                <w:color w:val="auto"/>
              </w:rPr>
            </w:pPr>
          </w:p>
        </w:tc>
      </w:tr>
      <w:tr>
        <w:trPr>
          <w:trHeight w:val="20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(19,486)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(36,960)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(156,551)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(87,272)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(243,823)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(241,024)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(87,272)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(328,296)</w:t>
            </w:r>
          </w:p>
        </w:tc>
        <w:tc>
          <w:tcPr>
            <w:tcW w:w="0" w:type="dxa"/>
            <w:vAlign w:val="bottom"/>
          </w:tcPr>
          <w:p>
            <w:pPr>
              <w:spacing w:after="0"/>
              <w:rPr>
                <w:sz w:val="1"/>
                <w:szCs w:val="1"/>
                <w:color w:val="auto"/>
              </w:rPr>
            </w:pPr>
          </w:p>
        </w:tc>
      </w:tr>
      <w:tr>
        <w:trPr>
          <w:trHeight w:val="20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10"/>
        </w:trPr>
        <w:tc>
          <w:tcPr>
            <w:tcW w:w="2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 (In thousands)</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7"/>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January 31, 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January 31, 2026</w:t>
            </w:r>
          </w:p>
        </w:tc>
      </w:tr>
      <w:tr>
        <w:trPr>
          <w:trHeight w:val="183"/>
        </w:trPr>
        <w:tc>
          <w:tcPr>
            <w:tcW w:w="2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Previously</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Effect of</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Previously</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Effect of</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2020" w:type="dxa"/>
            <w:vAlign w:val="bottom"/>
          </w:tcPr>
          <w:p>
            <w:pPr>
              <w:spacing w:after="0"/>
              <w:rPr>
                <w:sz w:val="18"/>
                <w:szCs w:val="18"/>
                <w:color w:val="auto"/>
              </w:rPr>
            </w:pP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​​​Restatement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​​​Restatement</w:t>
            </w: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202"/>
        </w:trPr>
        <w:tc>
          <w:tcPr>
            <w:tcW w:w="2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(156,551)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(87,272)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(243,823)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(241,024)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(87,272)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(328,296)</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loss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(87,272)</w:t>
            </w:r>
          </w:p>
        </w:tc>
        <w:tc>
          <w:tcPr>
            <w:tcW w:w="30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(327,296)</w:t>
            </w:r>
          </w:p>
        </w:tc>
        <w:tc>
          <w:tcPr>
            <w:tcW w:w="60" w:type="dxa"/>
            <w:vAlign w:val="bottom"/>
          </w:tcPr>
          <w:p>
            <w:pPr>
              <w:spacing w:after="0"/>
              <w:rPr>
                <w:sz w:val="18"/>
                <w:szCs w:val="18"/>
                <w:color w:val="auto"/>
              </w:rPr>
            </w:pPr>
          </w:p>
        </w:tc>
      </w:tr>
    </w:tbl>
    <w:p>
      <w:pPr>
        <w:spacing w:after="0" w:line="186" w:lineRule="exact"/>
        <w:rPr>
          <w:sz w:val="20"/>
          <w:szCs w:val="20"/>
          <w:color w:val="auto"/>
        </w:rPr>
      </w:pPr>
    </w:p>
    <w:p>
      <w:pPr>
        <w:jc w:val="center"/>
        <w:ind w:left="1500" w:right="3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 months ended January 31, 2026 (Unaudited) (In thousands)</w:t>
      </w:r>
    </w:p>
    <w:p>
      <w:pPr>
        <w:spacing w:after="0" w:line="175" w:lineRule="exact"/>
        <w:rPr>
          <w:sz w:val="20"/>
          <w:szCs w:val="20"/>
          <w:color w:val="auto"/>
        </w:rPr>
      </w:pPr>
    </w:p>
    <w:p>
      <w:pPr>
        <w:ind w:left="5400"/>
        <w:spacing w:after="0"/>
        <w:tabs>
          <w:tab w:leader="none" w:pos="6840" w:val="left"/>
          <w:tab w:leader="none" w:pos="7680" w:val="left"/>
        </w:tabs>
        <w:rPr>
          <w:sz w:val="20"/>
          <w:szCs w:val="20"/>
          <w:color w:val="auto"/>
        </w:rPr>
      </w:pPr>
      <w:r>
        <w:rPr>
          <w:rFonts w:ascii="Times New Roman" w:cs="Times New Roman" w:eastAsia="Times New Roman" w:hAnsi="Times New Roman"/>
          <w:sz w:val="16"/>
          <w:szCs w:val="16"/>
          <w:b w:val="1"/>
          <w:bCs w:val="1"/>
          <w:color w:val="auto"/>
        </w:rPr>
        <w:t>​​​As Previously  ​​​</w:t>
        <w:tab/>
        <w:t>Effect of</w:t>
        <w:tab/>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Restatement</w:t>
            </w:r>
          </w:p>
        </w:tc>
        <w:tc>
          <w:tcPr>
            <w:tcW w:w="10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19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(156,551)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(87,272)</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(243,823)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deficit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33,282</w:t>
            </w:r>
          </w:p>
        </w:tc>
        <w:tc>
          <w:tcPr>
            <w:tcW w:w="2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(87,272)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(53,990)</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 balance at January 31,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4,272,190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(87,272)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4,184,918</w:t>
            </w:r>
          </w:p>
        </w:tc>
        <w:tc>
          <w:tcPr>
            <w:tcW w:w="80" w:type="dxa"/>
            <w:vAlign w:val="bottom"/>
            <w:shd w:val="clear" w:color="auto" w:fill="CCEEFF"/>
          </w:tcPr>
          <w:p>
            <w:pPr>
              <w:spacing w:after="0"/>
              <w:rPr>
                <w:sz w:val="17"/>
                <w:szCs w:val="17"/>
                <w:color w:val="auto"/>
              </w:rPr>
            </w:pPr>
          </w:p>
        </w:tc>
      </w:tr>
    </w:tbl>
    <w:p>
      <w:pPr>
        <w:spacing w:after="0" w:line="194" w:lineRule="exact"/>
        <w:rPr>
          <w:sz w:val="20"/>
          <w:szCs w:val="20"/>
          <w:color w:val="auto"/>
        </w:rPr>
      </w:pPr>
    </w:p>
    <w:p>
      <w:pPr>
        <w:jc w:val="center"/>
        <w:ind w:left="1500" w:right="40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nine months ended January 31, 2026 (Unaudited)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00" w:type="dxa"/>
            <w:vAlign w:val="bottom"/>
            <w:gridSpan w:val="4"/>
          </w:tcPr>
          <w:p>
            <w:pPr>
              <w:ind w:left="1360"/>
              <w:spacing w:after="0"/>
              <w:rPr>
                <w:sz w:val="20"/>
                <w:szCs w:val="20"/>
                <w:color w:val="auto"/>
              </w:rPr>
            </w:pPr>
            <w:r>
              <w:rPr>
                <w:rFonts w:ascii="Times New Roman" w:cs="Times New Roman" w:eastAsia="Times New Roman" w:hAnsi="Times New Roman"/>
                <w:sz w:val="16"/>
                <w:szCs w:val="16"/>
                <w:b w:val="1"/>
                <w:bCs w:val="1"/>
                <w:color w:val="auto"/>
              </w:rPr>
              <w:t>​​​As Previously</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Effect of</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4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Pr>
          <w:p>
            <w:pPr>
              <w:spacing w:after="0"/>
              <w:rPr>
                <w:sz w:val="18"/>
                <w:szCs w:val="18"/>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Restatement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(241,024)</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(87,272)</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(328,296)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deficit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33,282</w:t>
            </w:r>
          </w:p>
        </w:tc>
        <w:tc>
          <w:tcPr>
            <w:tcW w:w="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(87,272)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(53,990)</w:t>
            </w: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 balance at January 31, 2026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4,272,190</w:t>
            </w:r>
          </w:p>
        </w:tc>
        <w:tc>
          <w:tcPr>
            <w:tcW w:w="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(87,272)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4,184,918</w:t>
            </w:r>
          </w:p>
        </w:tc>
        <w:tc>
          <w:tcPr>
            <w:tcW w:w="80" w:type="dxa"/>
            <w:vAlign w:val="bottom"/>
            <w:shd w:val="clear" w:color="auto" w:fill="CCEEFF"/>
          </w:tcPr>
          <w:p>
            <w:pPr>
              <w:spacing w:after="0"/>
              <w:rPr>
                <w:sz w:val="17"/>
                <w:szCs w:val="17"/>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 (in thousands)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Nine Months Ended January 31, 2026</w:t>
            </w:r>
          </w:p>
        </w:tc>
      </w:tr>
      <w:tr>
        <w:trPr>
          <w:trHeight w:val="183"/>
        </w:trPr>
        <w:tc>
          <w:tcPr>
            <w:tcW w:w="5340" w:type="dxa"/>
            <w:vAlign w:val="bottom"/>
          </w:tcPr>
          <w:p>
            <w:pPr>
              <w:spacing w:after="0"/>
              <w:rPr>
                <w:sz w:val="15"/>
                <w:szCs w:val="15"/>
                <w:color w:val="auto"/>
              </w:rPr>
            </w:pPr>
          </w:p>
        </w:tc>
        <w:tc>
          <w:tcPr>
            <w:tcW w:w="118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Previously</w:t>
            </w: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Effect of</w:t>
            </w: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5"/>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Restatement</w:t>
            </w:r>
          </w:p>
        </w:tc>
        <w:tc>
          <w:tcPr>
            <w:tcW w:w="10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19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(87,272)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(328,296)</w:t>
            </w:r>
          </w:p>
        </w:tc>
      </w:tr>
      <w:tr>
        <w:trPr>
          <w:trHeight w:val="20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cash used in operating activities: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goodwill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151,306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89,402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240,708</w:t>
            </w:r>
          </w:p>
        </w:tc>
        <w:tc>
          <w:tcPr>
            <w:tcW w:w="120" w:type="dxa"/>
            <w:vAlign w:val="bottom"/>
          </w:tcPr>
          <w:p>
            <w:pPr>
              <w:spacing w:after="0"/>
              <w:rPr>
                <w:sz w:val="17"/>
                <w:szCs w:val="17"/>
                <w:color w:val="auto"/>
              </w:rPr>
            </w:pPr>
          </w:p>
        </w:tc>
      </w:tr>
      <w:tr>
        <w:trPr>
          <w:trHeight w:val="20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(6,464)</w:t>
            </w: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(173,917)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(173,917)</w:t>
            </w:r>
          </w:p>
        </w:tc>
      </w:tr>
    </w:tbl>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AeroVironment, Inc. (“AeroVironment”, “AV” or “the Company”), a Delaware corporation, is a defense technology provider delivering integrated capabilities across air, land, sea, space, and cyber. AV develops and deploys autonomous systems, uncrewed aircraft systems (“UAS”), precision strike systems, counter-UAS (“C-UAS”) technologies, space-based platforms, directed energy systems, and cyber and electronic warfare capabilities. AV operates a national manufacturing footprint to deliver proven systems and capabilities whose markets offer the potential for significant long-term growth. In addition, the Company believes that some of the innovative potential products, services and technologies in its research and development (“R&amp;D”) pipeline will emerge as new growth platforms in the future, creating additional market opportunities.</w:t>
      </w:r>
    </w:p>
    <w:p>
      <w:pPr>
        <w:spacing w:after="0" w:line="19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Effective May 1, 2025, the Company reorganized its segments. In connection with the Company’s acquisition of BlueHalo Financing Topco, LLC (“BlueHalo”), the reorganization was implemented to drive additional operational improvements, foster synergies and provide leaders with greater autonomy over their product lines. The Company’s reportable segments are as follows:</w:t>
      </w:r>
    </w:p>
    <w:p>
      <w:pPr>
        <w:spacing w:after="0" w:line="17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i w:val="1"/>
          <w:iCs w:val="1"/>
          <w:color w:val="auto"/>
        </w:rPr>
        <w:t>Autonomous Systems (“AxS”)</w:t>
      </w:r>
      <w:r>
        <w:rPr>
          <w:rFonts w:ascii="Times New Roman" w:cs="Times New Roman" w:eastAsia="Times New Roman" w:hAnsi="Times New Roman"/>
          <w:sz w:val="18"/>
          <w:szCs w:val="18"/>
          <w:color w:val="auto"/>
        </w:rPr>
        <w:t>— The AxS segment focuses on the design, development, production, delivery, and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intelligent, multi-domain robotic systems, including UAS, uncrewed underwater vehicles and ground robot systems. The segment includes the Company’s former Uncrewed Systems, Loitering Munitions Systems (“LMS”), and MacCready Works segments as well as Radio Frequency and Kinetic C-UAS, Electronic Warfare Systems and Uncrewed Maritime products and services from the BlueHalo acquisition. It primarily serves organizations within or supplying the U.S. Department of Defense (“DoD”), other federal agencies, and international allied governments. This segment encompasses the Company’s core autonomous platforms, such as drones and robotic systems, tailored for mission-critical applications across air, land and sea domains.</w:t>
      </w:r>
    </w:p>
    <w:p>
      <w:pPr>
        <w:spacing w:after="0" w:line="185"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i w:val="1"/>
          <w:iCs w:val="1"/>
          <w:color w:val="auto"/>
        </w:rPr>
        <w:t>Space, Cyber, and Directed Energy (“SCDE”)</w:t>
      </w:r>
      <w:r>
        <w:rPr>
          <w:rFonts w:ascii="Times New Roman" w:cs="Times New Roman" w:eastAsia="Times New Roman" w:hAnsi="Times New Roman"/>
          <w:sz w:val="17"/>
          <w:szCs w:val="17"/>
          <w:color w:val="auto"/>
        </w:rPr>
        <w:t>— The SCDE segment focuses on advanced technologies in the space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domain providing space-based and ground-based platforms, cyber capabilities, and directed energy systems. This segment positions the Company in high-growth areas of next-generation defense technology, addressing emerging threats and mission requirements in space, cyber warfare, and directed energy applications (e.g., high-energy lasers). It also primarily serves organizations within or supplying the U.S. DoD, other federal agencies, and international allied governments.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31, 2026 are not necessarily indicative of the results for the full year ending April 30, 2026. For further information, refer to the consolidated financial statements and footnotes thereto for the year ended April 30, 2025, included in the Company’s Annual Report on Form 10-K.</w:t>
      </w:r>
    </w:p>
    <w:p>
      <w:pPr>
        <w:spacing w:after="0" w:line="18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spacing w:after="0" w:line="180"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assets, liabilities and operating results of wholly-owned subsidiaries. All intercompany accounts and transactions have been eliminated.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May 1, 2025, the Company closed its acquisition of BlueHalo, a Delaware limited liability company, pursuant to the Agreement and Plan of Merger, dated as of November 18, 2024 (the “Merger Agreement”) by and among AV, Archangel Merger Sub LLC, a Delaware limited liability company (“Merger Sub”), BlueHalo, and BlueHalo Holdings Parent, LLC, a Delaware limited liability company and sole member of BlueHalo (“Seller”). Refer to Note 17—Business Acquisitions for further details.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did not adopt any accounting standards during the three and nine months ended January 31, 2026.</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Specifically, the Company’s disaggregated revenue disclosure and disclosure of revenue by segment and the segment disclosures for prior periods have been recast to conform to the new segments and new measure of segment profitability.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fixed fee, cost plus award fee, and cost plus incentive fee (collectively “Cost Plus”), or time and materials (“T&amp;M”). The Company considers all such contracts to be within the scope of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On January 31, 2026, the Company had approximately $1,120,675,000 of remaining performance obligations under fully funded contracts with its customers, which the Company also refers to as funded backlog. The Company currently expects to recognize approximately 39% of the remaining performance obligations as revenue in fiscal 2026 and the remaining 61% in fiscal 2027 or beyond.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operating group,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18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operating group</w:t>
            </w:r>
          </w:p>
        </w:tc>
        <w:tc>
          <w:tcPr>
            <w:tcW w:w="1180" w:type="dxa"/>
            <w:vAlign w:val="bottom"/>
            <w:gridSpan w:val="2"/>
            <w:vMerge w:val="continue"/>
          </w:tcPr>
          <w:p>
            <w:pPr>
              <w:spacing w:after="0"/>
              <w:rPr>
                <w:sz w:val="15"/>
                <w:szCs w:val="15"/>
                <w:color w:val="auto"/>
              </w:rPr>
            </w:pPr>
          </w:p>
        </w:tc>
        <w:tc>
          <w:tcPr>
            <w:tcW w:w="8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40" w:type="dxa"/>
            <w:vAlign w:val="bottom"/>
            <w:gridSpan w:val="2"/>
            <w:vMerge w:val="continue"/>
          </w:tcPr>
          <w:p>
            <w:pPr>
              <w:spacing w:after="0"/>
              <w:rPr>
                <w:sz w:val="15"/>
                <w:szCs w:val="15"/>
                <w:color w:val="auto"/>
              </w:rPr>
            </w:pPr>
          </w:p>
        </w:tc>
        <w:tc>
          <w:tcPr>
            <w:tcW w:w="198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28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Uncrewed Aircraft Systems</w:t>
            </w:r>
          </w:p>
        </w:tc>
        <w:tc>
          <w:tcPr>
            <w:tcW w:w="1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89,842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243,099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249,041</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Precision Strike and Defense Systems</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158,165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Space and Directed Energy</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53,198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Cyber and Mission Services</w:t>
            </w:r>
          </w:p>
        </w:tc>
        <w:tc>
          <w:tcPr>
            <w:tcW w:w="1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$ 408,045</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$ 167,636</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$ 1,335,229</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6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1160" w:type="dxa"/>
            <w:vAlign w:val="bottom"/>
            <w:vMerge w:val="continue"/>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40" w:type="dxa"/>
            <w:vAlign w:val="bottom"/>
            <w:gridSpan w:val="2"/>
            <w:vMerge w:val="continue"/>
          </w:tcPr>
          <w:p>
            <w:pPr>
              <w:spacing w:after="0"/>
              <w:rPr>
                <w:sz w:val="15"/>
                <w:szCs w:val="15"/>
                <w:color w:val="auto"/>
              </w:rPr>
            </w:pPr>
          </w:p>
        </w:tc>
        <w:tc>
          <w:tcPr>
            <w:tcW w:w="198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280" w:type="dxa"/>
            <w:vAlign w:val="bottom"/>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FFP</w:t>
            </w:r>
          </w:p>
        </w:tc>
        <w:tc>
          <w:tcPr>
            <w:tcW w:w="1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$ 280,369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$ 148,768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Plus</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95,802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T&amp;M</w:t>
            </w:r>
          </w:p>
        </w:tc>
        <w:tc>
          <w:tcPr>
            <w:tcW w:w="1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$ 408,045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$ 167,636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$ 1,335,229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545,577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Cost Plus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88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880" w:type="dxa"/>
            <w:vAlign w:val="bottom"/>
            <w:vMerge w:val="continue"/>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6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60" w:type="dxa"/>
            <w:vAlign w:val="bottom"/>
          </w:tcPr>
          <w:p>
            <w:pPr>
              <w:spacing w:after="0"/>
              <w:rPr>
                <w:sz w:val="15"/>
                <w:szCs w:val="15"/>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8"/>
              </w:rPr>
              <w:t>January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gridSpan w:val="2"/>
            <w:vMerge w:val="continue"/>
          </w:tcPr>
          <w:p>
            <w:pPr>
              <w:spacing w:after="0"/>
              <w:rPr>
                <w:sz w:val="15"/>
                <w:szCs w:val="15"/>
                <w:color w:val="auto"/>
              </w:rPr>
            </w:pPr>
          </w:p>
        </w:tc>
        <w:tc>
          <w:tcPr>
            <w:tcW w:w="17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w:t>
            </w:r>
          </w:p>
        </w:tc>
        <w:tc>
          <w:tcPr>
            <w:tcW w:w="8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$ 365,816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$ 129,029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1,158,722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418,345</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$ 408,045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$ 167,636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6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880" w:type="dxa"/>
            <w:vAlign w:val="bottom"/>
          </w:tcPr>
          <w:p>
            <w:pPr>
              <w:spacing w:after="0"/>
              <w:rPr>
                <w:sz w:val="15"/>
                <w:szCs w:val="15"/>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8"/>
              </w:rPr>
              <w:t>January 31,</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gridSpan w:val="2"/>
            <w:vMerge w:val="continue"/>
          </w:tcPr>
          <w:p>
            <w:pPr>
              <w:spacing w:after="0"/>
              <w:rPr>
                <w:sz w:val="15"/>
                <w:szCs w:val="15"/>
                <w:color w:val="auto"/>
              </w:rPr>
            </w:pPr>
          </w:p>
        </w:tc>
        <w:tc>
          <w:tcPr>
            <w:tcW w:w="17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8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$ 226,110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$ 104,097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933,848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258,053</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181,935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401,381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$ 408,045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$ 167,636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Borders>
              <w:bottom w:val="single" w:sz="8" w:color="auto"/>
            </w:tcBorders>
            <w:gridSpan w:val="8"/>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680" w:type="dxa"/>
            <w:vAlign w:val="bottom"/>
            <w:tcBorders>
              <w:bottom w:val="single" w:sz="8" w:color="auto"/>
            </w:tcBorders>
            <w:gridSpan w:val="5"/>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percentage by recognition method</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gridSpan w:val="2"/>
            <w:vMerge w:val="continue"/>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30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Changes in the contract asset and liability balances during the three and nine month periods ended January 31, 2026 were not materially impacted by factors other than billings, cash collections, and timing of revenue recognition. For the Company’s contracts, there are no significant gaps between the receipt of payment and the transfer of the associated goods and services to the customer for material amounts of consideration.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Revenue recognized for the three and nine month periods ended January 31, 2026 that was included in customer advances balances as of April 30, 2025 was $335,000 and $12,112,000, respectively. Revenue recognized for the three and nine month periods ended January 25, 2025 that was included in customer advances balances as of April 30, 2024 was $1,701,000 and $9,662,000,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16"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income (expense), net. Management determines the appropriate classification of securities at the time of purchase and reevaluates such designation as of each balance sheet date.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1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and retentions, and accounts payable approximate cost due to the short period of time to maturity.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is party to a receivables sales agreement with Citibank, N.A. with an aggregate capacity of $100,000,000. The receivables sold under the factoring facilities are without recourse for any customer credit risk and result in a true sale. Receivables are de-recognized in their entirety when sold. As of January 31, 2026, no receivables have been sold, proceeds collected, or purchase discount fees incurred under the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1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Payments to the Company on government Cost Plus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Cost Plus and T&amp;M contracts.</w:t>
      </w:r>
    </w:p>
    <w:p>
      <w:pPr>
        <w:spacing w:after="0" w:line="183"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estimated full year rates unless collectability is not reasonably assured. At January 31, 2026 and April 30, 2025, the Company had no reserve for incurred cost claim audits.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Earnings Per Share</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Basic (loss) earnings per share is computed using the weighted-average number of common shares outstanding, excluding shares of unvested restricted stock.</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reconciliation of basic to diluted shares is as follows (in thousands except share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 income</w:t>
      </w:r>
    </w:p>
    <w:p>
      <w:pPr>
        <w:spacing w:after="0" w:line="36" w:lineRule="exact"/>
        <w:rPr>
          <w:sz w:val="20"/>
          <w:szCs w:val="20"/>
          <w:color w:val="auto"/>
        </w:rPr>
      </w:pPr>
    </w:p>
    <w:p>
      <w:pPr>
        <w:ind w:left="280" w:right="80" w:hanging="215"/>
        <w:spacing w:after="0" w:line="258" w:lineRule="auto"/>
        <w:rPr>
          <w:sz w:val="20"/>
          <w:szCs w:val="20"/>
          <w:color w:val="auto"/>
        </w:rPr>
      </w:pPr>
      <w:r>
        <w:rPr>
          <w:rFonts w:ascii="Times New Roman" w:cs="Times New Roman" w:eastAsia="Times New Roman" w:hAnsi="Times New Roman"/>
          <w:sz w:val="18"/>
          <w:szCs w:val="18"/>
          <w:color w:val="auto"/>
        </w:rPr>
        <w:t>Denominator for basic (loss) earnings per share: Weighted average common shares Dilutive effect of employee stock options, restricted stock and restricted stock units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Denominator for diluted (loss) earnings per share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 2025</w:t>
            </w:r>
          </w:p>
        </w:tc>
      </w:tr>
      <w:tr>
        <w:trPr>
          <w:trHeight w:val="209"/>
        </w:trPr>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(243,823)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(328,296)</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26,955</w:t>
            </w:r>
          </w:p>
        </w:tc>
      </w:tr>
      <w:tr>
        <w:trPr>
          <w:trHeight w:val="20"/>
        </w:trPr>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3"/>
        </w:trPr>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49,741,441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28,031,901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48,761,481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28,001,089</w:t>
            </w:r>
          </w:p>
        </w:tc>
      </w:tr>
      <w:tr>
        <w:trPr>
          <w:trHeight w:val="432"/>
        </w:trPr>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170,000</w:t>
            </w:r>
          </w:p>
        </w:tc>
      </w:tr>
      <w:tr>
        <w:trPr>
          <w:trHeight w:val="209"/>
        </w:trPr>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49,741,441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28,031,901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48,761,481</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28,171,089</w:t>
            </w:r>
          </w:p>
        </w:tc>
      </w:tr>
      <w:tr>
        <w:trPr>
          <w:trHeight w:val="20"/>
        </w:trPr>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-890905</wp:posOffset>
            </wp:positionV>
            <wp:extent cx="564896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-582295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-170815</wp:posOffset>
            </wp:positionV>
            <wp:extent cx="564896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600" w:space="260"/>
            <w:col w:w="5159"/>
          </w:cols>
          <w:pgMar w:left="1440" w:top="513" w:right="1440" w:bottom="1440" w:gutter="0" w:footer="0" w:header="0"/>
          <w:type w:val="continuous"/>
        </w:sect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Due to the net loss for the three and nine months ended January 31, 2026,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326,724 and 344,723 for the three and nine months ended January 31, 2026, respectively. Potentially dilutive shares not included in the computation of diluted weighted-average common shares because their effect would have been anti-dilutive were 200,667 and 265 for the three and nine months ended January 25, 2025,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14"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Income Tax Disclosures </w:t>
      </w:r>
      <w:r>
        <w:rPr>
          <w:rFonts w:ascii="Times New Roman" w:cs="Times New Roman" w:eastAsia="Times New Roman" w:hAnsi="Times New Roman"/>
          <w:sz w:val="18"/>
          <w:szCs w:val="18"/>
          <w:color w:val="auto"/>
        </w:rPr>
        <w:t>(“ASU 2023-09”). ASU 2023-09 requires updates to the rate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and other disclosures. The new standard is effective for fiscal years beginning after December 15, 2024 and interim periods within fiscal years beginning after December 15, 2025, with early adoption permitted. ASU 2023-09 is adopted retrospectively. The Company is evaluating the potential impact of this adoption on its consolidated financial statements.</w:t>
      </w:r>
    </w:p>
    <w:p>
      <w:pPr>
        <w:spacing w:after="0" w:line="115" w:lineRule="exact"/>
        <w:rPr>
          <w:sz w:val="20"/>
          <w:szCs w:val="20"/>
          <w:color w:val="auto"/>
        </w:rPr>
      </w:pPr>
    </w:p>
    <w:p>
      <w:pPr>
        <w:ind w:left="60" w:right="199"/>
        <w:spacing w:after="0" w:line="27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 Expense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Disaggregation Disclosures (Subtopic 220-40): Disaggregation of Income Statement Expenses </w:t>
      </w:r>
      <w:r>
        <w:rPr>
          <w:rFonts w:ascii="Times New Roman" w:cs="Times New Roman" w:eastAsia="Times New Roman" w:hAnsi="Times New Roman"/>
          <w:sz w:val="17"/>
          <w:szCs w:val="17"/>
          <w:color w:val="auto"/>
        </w:rPr>
        <w:t>(“ASU 2024-03”).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2024-03 requires disclosure in the notes to financial statements of specified information about certain costs and expenses included in each expense caption on the face of the income statement at interim and annual reporting periods. The new standard is effective for fiscal years beginning after December 15, 2026, and interim periods within fiscal years beginning after December 15, 2027, and should be applied either prospectively to financial statements issued for reporting periods after the effective date of this ASU or retrospectively to any or all prior periods presented in the financial statements. The Company is evaluating the potential impact of this adoption on its consolidated financial statements.</w:t>
      </w:r>
    </w:p>
    <w:p>
      <w:pPr>
        <w:spacing w:after="0" w:line="106" w:lineRule="exact"/>
        <w:rPr>
          <w:sz w:val="20"/>
          <w:szCs w:val="20"/>
          <w:color w:val="auto"/>
        </w:rPr>
      </w:pPr>
    </w:p>
    <w:p>
      <w:pPr>
        <w:jc w:val="both"/>
        <w:ind w:left="60" w:right="159"/>
        <w:spacing w:after="0" w:line="277" w:lineRule="auto"/>
        <w:rPr>
          <w:sz w:val="20"/>
          <w:szCs w:val="20"/>
          <w:color w:val="auto"/>
        </w:rPr>
      </w:pPr>
      <w:r>
        <w:rPr>
          <w:rFonts w:ascii="Times New Roman" w:cs="Times New Roman" w:eastAsia="Times New Roman" w:hAnsi="Times New Roman"/>
          <w:sz w:val="17"/>
          <w:szCs w:val="17"/>
          <w:color w:val="auto"/>
        </w:rPr>
        <w:t>In September 2025, the FASB issued ASU 2025-06, Targeted Improvements to the Accounting for Internal-Use Software (“ASU 2025-06”), which better aligns the accounting guidance to how software is developed by eliminating project stages from capitalization criteria. The new standard is effective for annual reporting periods beginning after December 15, 2027 and interim periods within those annual reporting periods. The standard allows for prospective, modified, or retrospective transition. Early adoption is permitted. We are currently evaluating the impact of adopting this new pronouncement.</w:t>
      </w:r>
    </w:p>
    <w:p>
      <w:pPr>
        <w:spacing w:after="0" w:line="16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(“ASU 2025-11”), which is intended to improve the navigability of required interim disclosures and clarify when that guidance is applicable, and also to provide additional guidance on what disclosures should be provided in interim reporting periods. The new standard is effective for annual reporting periods beginning after December 15, 2027 and interim periods within those annual reporting periods. The standard allows for prospective or retrospective transition. Early adoption is permitted. We are currently evaluating the impact of adopting this new pronouncement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vMerge w:val="continue"/>
          </w:tcPr>
          <w:p>
            <w:pPr>
              <w:spacing w:after="0"/>
              <w:rPr>
                <w:sz w:val="15"/>
                <w:szCs w:val="15"/>
                <w:color w:val="auto"/>
              </w:rPr>
            </w:pP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investments:</w:t>
            </w:r>
          </w:p>
        </w:tc>
        <w:tc>
          <w:tcPr>
            <w:tcW w:w="1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securities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297,259</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investments: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securities and warrants</w:t>
            </w:r>
          </w:p>
        </w:tc>
        <w:tc>
          <w:tcPr>
            <w:tcW w:w="1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long-term available-for-sale securities investments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Investments in limited partnership funds</w:t>
            </w:r>
          </w:p>
        </w:tc>
        <w:tc>
          <w:tcPr>
            <w:tcW w:w="1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As of January 31, 2026, the balance of available-for-sale securities consisted of U.S. government securities, certificate of deposits and high-grade corporate bonds. Interest earned from these investments is recorded in interest income (expense), net. Realized gains on sales of these investments on the basis of specific identification are recorded in interest income (expense), net. As of April 30, 2025, the company held no available-for-sale securities.</w:t>
      </w:r>
    </w:p>
    <w:p>
      <w:pPr>
        <w:spacing w:after="0" w:line="180"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activity related to the available-for-sale investments recorded in short-term and long-term investments as of January 31, 2026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gridSpan w:val="2"/>
            <w:vMerge w:val="continue"/>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5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Certain equity securities and warrants are measured at fair value with net unrealized gains and losses from changes in the fair value recognized in other income (expense), net. Unrealized gain (loss) recorded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0" w:type="dxa"/>
            <w:vAlign w:val="bottom"/>
          </w:tcPr>
          <w:p>
            <w:pPr>
              <w:spacing w:after="0"/>
              <w:rPr>
                <w:sz w:val="1"/>
                <w:szCs w:val="1"/>
                <w:color w:val="auto"/>
              </w:rPr>
            </w:pPr>
          </w:p>
        </w:tc>
      </w:tr>
      <w:tr>
        <w:trPr>
          <w:trHeight w:val="178"/>
        </w:trPr>
        <w:tc>
          <w:tcPr>
            <w:tcW w:w="32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gain (loss) recognized during the</w:t>
            </w: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 on equity securities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198"/>
        </w:trPr>
        <w:tc>
          <w:tcPr>
            <w:tcW w:w="3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Net loss recognized during the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on equity securities sold during the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32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Unrealized gain (loss) recognized during</w:t>
            </w: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period on equity securities still held at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6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reporting date</w:t>
            </w:r>
          </w:p>
        </w:tc>
        <w:tc>
          <w:tcPr>
            <w:tcW w:w="1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Measured at Cost</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On December 22, 2025, the Company invested $3,000,000 in a privately-held technology company through a Simple Agreement for Future Equity (“SAFE”). The SAFE provides the Company with the right to receive equity in the issuing company upon the occurrence of certain future events, including a qualifying equity financing or a liquidity event. The Company measures the investment at cost, less any impairment and is recorded in long-term investments and included in Equity securities and warrants line in the investments table above.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76" w:lineRule="exact"/>
        <w:rPr>
          <w:sz w:val="20"/>
          <w:szCs w:val="20"/>
          <w:color w:val="auto"/>
        </w:rPr>
      </w:pPr>
    </w:p>
    <w:p>
      <w:pPr>
        <w:ind w:left="380" w:right="559" w:hanging="330"/>
        <w:spacing w:after="0" w:line="282" w:lineRule="auto"/>
        <w:tabs>
          <w:tab w:leader="none" w:pos="3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380" w:right="239" w:hanging="330"/>
        <w:spacing w:after="0" w:line="266" w:lineRule="auto"/>
        <w:tabs>
          <w:tab w:leader="none" w:pos="3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75" w:lineRule="exact"/>
        <w:rPr>
          <w:rFonts w:ascii="Times New Roman" w:cs="Times New Roman" w:eastAsia="Times New Roman" w:hAnsi="Times New Roman"/>
          <w:sz w:val="18"/>
          <w:szCs w:val="18"/>
          <w:color w:val="auto"/>
        </w:rPr>
      </w:pPr>
    </w:p>
    <w:p>
      <w:pPr>
        <w:ind w:left="340" w:hanging="290"/>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225"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January 31, 2026,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9"/>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gridSpan w:val="2"/>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1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8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8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January 31, 2026.</w:t>
      </w:r>
    </w:p>
    <w:p>
      <w:pPr>
        <w:spacing w:after="0" w:line="225"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2025, were as follows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9"/>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2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80" w:type="dxa"/>
            <w:vAlign w:val="bottom"/>
            <w:gridSpan w:val="2"/>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gridSpan w:val="2"/>
          </w:tcPr>
          <w:p>
            <w:pPr>
              <w:jc w:val="right"/>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April 30, 2025.</w:t>
      </w:r>
    </w:p>
    <w:p>
      <w:pPr>
        <w:spacing w:after="0" w:line="225"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On September 12, 2022, the Company invested $5,000,000 and acquired 500,000 shares of common stock and 500,000 privately placed, redeemable warrants of Amprius Technologies, Inc. The privately placed, redeemable warrants have an exercise price of $12.50 and redemption price of $20.00. The Company measures the fair value of the privately placed, redeemable warrants using the quoted market price of the public warrants which have an exercise price of $11.50 and a redemption price of $18.00 and classifies the warrants as a level 2 fair value measurement.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20" w:type="dxa"/>
            <w:vAlign w:val="bottom"/>
            <w:vMerge w:val="restart"/>
          </w:tcPr>
          <w:p>
            <w:pPr>
              <w:ind w:left="67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90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3"/>
            <w:vMerge w:val="continue"/>
          </w:tcPr>
          <w:p>
            <w:pPr>
              <w:spacing w:after="0"/>
              <w:rPr>
                <w:sz w:val="15"/>
                <w:szCs w:val="15"/>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299,277</w:t>
            </w:r>
          </w:p>
        </w:tc>
        <w:tc>
          <w:tcPr>
            <w:tcW w:w="2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Equity Method Investments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in Limited Partnership Funds</w:t>
      </w:r>
    </w:p>
    <w:p>
      <w:pPr>
        <w:spacing w:after="0" w:line="229" w:lineRule="exact"/>
        <w:rPr>
          <w:sz w:val="20"/>
          <w:szCs w:val="20"/>
          <w:color w:val="auto"/>
        </w:rPr>
      </w:pPr>
    </w:p>
    <w:p>
      <w:pPr>
        <w:jc w:val="both"/>
        <w:ind w:left="60" w:right="319"/>
        <w:spacing w:after="0" w:line="258"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 On December 30, 2025, the Company received an initial distribution from the limited partnership fund of $528,000.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March 2022, the Company entered into a limited partnership agreement with a second limited partnership fund also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focusing on highly relevant technologies and start-up companies serving defense and industrial markets. Under the terms of</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limited partnership agreement, the Company is committed to contributions totaling $20,000,000 over an expected five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period. During the fiscal years ended April 30, 2025, 2024 and 2023, the Company made total contributions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$5,674,000, $3,074,000, and $5,778,000 respectively. During the nine months ended January 31, 2026, the Company made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contributions of $3,244,000. Under the terms of the limited partnership agreement, the Company has committed to make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 capital contributions of $2,230,000 to the fund, which are expected to be made over the next two fiscal years.</w:t>
      </w:r>
    </w:p>
    <w:p>
      <w:pPr>
        <w:spacing w:after="0" w:line="20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Company accounts for investments in limited partnerships as equity method investments as the Company is deemed to have significant influence when it holds more than a minor interest. For the three and nine months ended January 31,</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2026, the Company recorded its ownership percentage of the net (loss) gain of equity method investments, of $(295,000) and $2,688,000, respectively, in equity method investment income, net of $0 tax in the unaudited condensed consolidated statements of operations, respectively. For the three and nine months ended January 25, 2025, the Company recorded its ownership percentage of the net gains of the limited partnerships, or $0 and $1,066,000 respectively, in equity method investment income (loss), net of $0 tax in the unaudited condensed consolidated statements of operations, respectively. At January 31, 2026 and April 30, 2025, the carrying value of the equity method investments of $35,923,000 and $30,423,000, respectively, was recorded in long-term investments.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Warranty Reserves</w:t>
      </w:r>
    </w:p>
    <w:p>
      <w:pPr>
        <w:spacing w:after="0" w:line="162"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and nine months ended January 31, 2026 and January 25, 2025, respectively (in thousands):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500" w:type="dxa"/>
            <w:vAlign w:val="bottom"/>
            <w:gridSpan w:val="5"/>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60" w:type="dxa"/>
            <w:vAlign w:val="bottom"/>
          </w:tcPr>
          <w:p>
            <w:pPr>
              <w:spacing w:after="0"/>
              <w:rPr>
                <w:sz w:val="10"/>
                <w:szCs w:val="10"/>
                <w:color w:val="auto"/>
              </w:rPr>
            </w:pPr>
          </w:p>
        </w:tc>
        <w:tc>
          <w:tcPr>
            <w:tcW w:w="78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gridSpan w:val="2"/>
            <w:vMerge w:val="continue"/>
          </w:tcPr>
          <w:p>
            <w:pPr>
              <w:spacing w:after="0"/>
              <w:rPr>
                <w:sz w:val="15"/>
                <w:szCs w:val="15"/>
                <w:color w:val="auto"/>
              </w:rPr>
            </w:pPr>
          </w:p>
        </w:tc>
        <w:tc>
          <w:tcPr>
            <w:tcW w:w="68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Balance acquired from acquisition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7. Intangibles, net</w:t>
            </w: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components of intangibles are as follows (in thousands):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6"/>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101,645</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577,291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77,588</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52,961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146</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gross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1,216,204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185,888</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5"/>
          </w:tcPr>
          <w:p>
            <w:pPr>
              <w:jc w:val="right"/>
              <w:ind w:right="108"/>
              <w:spacing w:after="0"/>
              <w:rPr>
                <w:sz w:val="20"/>
                <w:szCs w:val="20"/>
                <w:color w:val="auto"/>
              </w:rPr>
            </w:pPr>
            <w:r>
              <w:rPr>
                <w:rFonts w:ascii="Times New Roman" w:cs="Times New Roman" w:eastAsia="Times New Roman" w:hAnsi="Times New Roman"/>
                <w:sz w:val="18"/>
                <w:szCs w:val="18"/>
                <w:color w:val="auto"/>
                <w:w w:val="96"/>
              </w:rPr>
              <w:t>(290,279)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(137,177)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48,711</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59"/>
        <w:spacing w:after="0" w:line="312" w:lineRule="auto"/>
        <w:rPr>
          <w:sz w:val="20"/>
          <w:szCs w:val="20"/>
          <w:color w:val="auto"/>
        </w:rPr>
      </w:pPr>
      <w:r>
        <w:rPr>
          <w:rFonts w:ascii="Times New Roman" w:cs="Times New Roman" w:eastAsia="Times New Roman" w:hAnsi="Times New Roman"/>
          <w:sz w:val="17"/>
          <w:szCs w:val="17"/>
          <w:color w:val="auto"/>
        </w:rPr>
        <w:t>Technology, backlog and customer relationships intangibles were recognized in conjunction with the Company’s acquisition of Blue Halo on May 1, 2025. Refer to Note 17—Business Acquisitions for further details.</w:t>
      </w:r>
    </w:p>
    <w:p>
      <w:pPr>
        <w:spacing w:after="0" w:line="14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tests identifiable intangible assets for impairment in the fourth quarter of each fiscal year unless there are interim indicators that suggest that it is more likely than not that either the identifiable intangible assets or goodwill may be impaired. In January 2026, a stop-work order was received on the Company’s Other Transaction Agreement for the delivery of BADGER phased array antenna systems to support Space Force’s Satellite Communication Augmentation Resource (“SCAR”) program. The Company concluded that the stop-work order represented a trigger event that indicated the carrying value of the Space reporting unit exceeded its fair value. Due to the trigger event, the Company performed a recoverability test on the long-lived assets of the Space reporting unit, inclusive of the intangibles, for impairment in accordance with ASC 360. The undiscounted cash flows exceeded the carrying value and no impairment was recorded for long-lived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weighted average amortization period as of January 31, 2026 and April 30, 2025 was six and three years, respectively. Amortization expense for the three and nine months ended January 31, 2026 was $49,864,000 and $152,287,000, respectively. Amortization expense for the three and nine months ended January 25, 2025 was $4,778,000 and $14,348,000, respectively.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remaining amortization expense for the next five years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38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39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10"/>
        </w:trPr>
        <w:tc>
          <w:tcPr>
            <w:tcW w:w="3980" w:type="dxa"/>
            <w:vAlign w:val="bottom"/>
            <w:tcBorders>
              <w:top w:val="single" w:sz="8" w:color="CCEEFF"/>
            </w:tcBorders>
            <w:shd w:val="clear" w:color="auto" w:fill="CCEEFF"/>
          </w:tcPr>
          <w:p>
            <w:pPr>
              <w:jc w:val="right"/>
              <w:ind w:right="3510"/>
              <w:spacing w:after="0"/>
              <w:rPr>
                <w:sz w:val="20"/>
                <w:szCs w:val="20"/>
                <w:color w:val="auto"/>
              </w:rPr>
            </w:pPr>
            <w:r>
              <w:rPr>
                <w:rFonts w:ascii="Times New Roman" w:cs="Times New Roman" w:eastAsia="Times New Roman" w:hAnsi="Times New Roman"/>
                <w:sz w:val="18"/>
                <w:szCs w:val="18"/>
                <w:color w:val="auto"/>
                <w:w w:val="99"/>
              </w:rPr>
              <w:t>2026</w:t>
            </w:r>
          </w:p>
        </w:tc>
        <w:tc>
          <w:tcPr>
            <w:tcW w:w="3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w w:val="99"/>
              </w:rPr>
              <w:t>2027</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164,101</w:t>
            </w:r>
          </w:p>
        </w:tc>
        <w:tc>
          <w:tcPr>
            <w:tcW w:w="120" w:type="dxa"/>
            <w:vAlign w:val="bottom"/>
          </w:tcPr>
          <w:p>
            <w:pPr>
              <w:spacing w:after="0"/>
              <w:rPr>
                <w:sz w:val="18"/>
                <w:szCs w:val="18"/>
                <w:color w:val="auto"/>
              </w:rPr>
            </w:pPr>
          </w:p>
        </w:tc>
      </w:tr>
      <w:tr>
        <w:trPr>
          <w:trHeight w:val="216"/>
        </w:trPr>
        <w:tc>
          <w:tcPr>
            <w:tcW w:w="3980" w:type="dxa"/>
            <w:vAlign w:val="bottom"/>
            <w:shd w:val="clear" w:color="auto" w:fill="CCEEFF"/>
          </w:tcPr>
          <w:p>
            <w:pPr>
              <w:jc w:val="right"/>
              <w:ind w:right="3510"/>
              <w:spacing w:after="0"/>
              <w:rPr>
                <w:sz w:val="20"/>
                <w:szCs w:val="20"/>
                <w:color w:val="auto"/>
              </w:rPr>
            </w:pPr>
            <w:r>
              <w:rPr>
                <w:rFonts w:ascii="Times New Roman" w:cs="Times New Roman" w:eastAsia="Times New Roman" w:hAnsi="Times New Roman"/>
                <w:sz w:val="18"/>
                <w:szCs w:val="18"/>
                <w:color w:val="auto"/>
                <w:w w:val="99"/>
              </w:rPr>
              <w:t>2028</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156,636</w:t>
            </w:r>
          </w:p>
        </w:tc>
        <w:tc>
          <w:tcPr>
            <w:tcW w:w="120" w:type="dxa"/>
            <w:vAlign w:val="bottom"/>
            <w:shd w:val="clear" w:color="auto" w:fill="CCEEFF"/>
          </w:tcPr>
          <w:p>
            <w:pPr>
              <w:spacing w:after="0"/>
              <w:rPr>
                <w:sz w:val="18"/>
                <w:szCs w:val="18"/>
                <w:color w:val="auto"/>
              </w:rPr>
            </w:pPr>
          </w:p>
        </w:tc>
      </w:tr>
      <w:tr>
        <w:trPr>
          <w:trHeight w:val="216"/>
        </w:trPr>
        <w:tc>
          <w:tcPr>
            <w:tcW w:w="398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w w:val="99"/>
              </w:rPr>
              <w:t>2029</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153,940</w:t>
            </w:r>
          </w:p>
        </w:tc>
        <w:tc>
          <w:tcPr>
            <w:tcW w:w="120" w:type="dxa"/>
            <w:vAlign w:val="bottom"/>
          </w:tcPr>
          <w:p>
            <w:pPr>
              <w:spacing w:after="0"/>
              <w:rPr>
                <w:sz w:val="18"/>
                <w:szCs w:val="18"/>
                <w:color w:val="auto"/>
              </w:rPr>
            </w:pPr>
          </w:p>
        </w:tc>
      </w:tr>
      <w:tr>
        <w:trPr>
          <w:trHeight w:val="216"/>
        </w:trPr>
        <w:tc>
          <w:tcPr>
            <w:tcW w:w="3980" w:type="dxa"/>
            <w:vAlign w:val="bottom"/>
            <w:shd w:val="clear" w:color="auto" w:fill="CCEEFF"/>
          </w:tcPr>
          <w:p>
            <w:pPr>
              <w:jc w:val="right"/>
              <w:ind w:right="3510"/>
              <w:spacing w:after="0"/>
              <w:rPr>
                <w:sz w:val="20"/>
                <w:szCs w:val="20"/>
                <w:color w:val="auto"/>
              </w:rPr>
            </w:pPr>
            <w:r>
              <w:rPr>
                <w:rFonts w:ascii="Times New Roman" w:cs="Times New Roman" w:eastAsia="Times New Roman" w:hAnsi="Times New Roman"/>
                <w:sz w:val="18"/>
                <w:szCs w:val="18"/>
                <w:color w:val="auto"/>
                <w:w w:val="99"/>
              </w:rPr>
              <w:t>2030</w:t>
            </w:r>
          </w:p>
        </w:tc>
        <w:tc>
          <w:tcPr>
            <w:tcW w:w="3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130,905</w:t>
            </w:r>
          </w:p>
        </w:tc>
        <w:tc>
          <w:tcPr>
            <w:tcW w:w="120" w:type="dxa"/>
            <w:vAlign w:val="bottom"/>
            <w:shd w:val="clear" w:color="auto" w:fill="CCEEFF"/>
          </w:tcPr>
          <w:p>
            <w:pPr>
              <w:spacing w:after="0"/>
              <w:rPr>
                <w:sz w:val="18"/>
                <w:szCs w:val="18"/>
                <w:color w:val="auto"/>
              </w:rPr>
            </w:pPr>
          </w:p>
        </w:tc>
      </w:tr>
      <w:tr>
        <w:trPr>
          <w:trHeight w:val="210"/>
        </w:trPr>
        <w:tc>
          <w:tcPr>
            <w:tcW w:w="3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655,739</w:t>
            </w:r>
          </w:p>
        </w:tc>
        <w:tc>
          <w:tcPr>
            <w:tcW w:w="12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by segment (in thousands):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AxS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SCDE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431,157</w:t>
            </w: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(174,376)</w:t>
            </w:r>
          </w:p>
        </w:tc>
      </w:tr>
      <w:tr>
        <w:trPr>
          <w:trHeight w:val="209"/>
        </w:trPr>
        <w:tc>
          <w:tcPr>
            <w:tcW w:w="41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April 30, 2025</w:t>
            </w: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256,781</w:t>
            </w:r>
          </w:p>
        </w:tc>
      </w:tr>
      <w:tr>
        <w:trPr>
          <w:trHeight w:val="216"/>
        </w:trPr>
        <w:tc>
          <w:tcPr>
            <w:tcW w:w="4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to goodwill*</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1,444,637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2,356,239</w:t>
            </w: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to goodwill</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(240,708)</w:t>
            </w:r>
          </w:p>
        </w:tc>
      </w:tr>
      <w:tr>
        <w:trPr>
          <w:trHeight w:val="216"/>
        </w:trPr>
        <w:tc>
          <w:tcPr>
            <w:tcW w:w="4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1,342,759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1,444,637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2,787,396</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(415,084)</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17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1,168,383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1,203,929</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2,372,312</w:t>
            </w:r>
          </w:p>
        </w:tc>
      </w:tr>
    </w:tbl>
    <w:p>
      <w:pPr>
        <w:spacing w:after="0" w:line="198"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 xml:space="preserve">*As part of restatement of the goodwill impairment described in Note 1– Organization and Significant Accounting Policies </w:t>
      </w:r>
      <w:r>
        <w:rPr>
          <w:rFonts w:ascii="Times New Roman" w:cs="Times New Roman" w:eastAsia="Times New Roman" w:hAnsi="Times New Roman"/>
          <w:sz w:val="18"/>
          <w:szCs w:val="18"/>
          <w:i w:val="1"/>
          <w:iCs w:val="1"/>
          <w:color w:val="auto"/>
        </w:rPr>
        <w:t>Restatement of Previously Issued Unaudited Condensed Consolidated Financial Statements</w:t>
      </w:r>
      <w:r>
        <w:rPr>
          <w:rFonts w:ascii="Times New Roman" w:cs="Times New Roman" w:eastAsia="Times New Roman" w:hAnsi="Times New Roman"/>
          <w:sz w:val="18"/>
          <w:szCs w:val="18"/>
          <w:color w:val="auto"/>
        </w:rPr>
        <w:t>, we have reallocated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$31,555,000 of goodwill from the AxS segment to the SCDE segment.</w:t>
      </w:r>
    </w:p>
    <w:p>
      <w:pPr>
        <w:spacing w:after="0" w:line="1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January 2026, a stop-work order was received on the Company’s Other Transaction Agreement for the delivery of BADGER phased array antenna systems to support Space Force’s SCAR program. The Company concluded that the stop-work order represented a trigger event that indicated the carrying value of the Space reporting unit exceeded its fair value. As a result, the Company updated its estimates of the long-term cash flows of the Space reporting unit to reflect the reduced revenue associated with the stop-work order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$241,000,000 in the Space reporting unit. As of January 31, 2026, the Company has not identified any events or circumstances, other than those identified for Space, that could trigger an impairment review prior to the Company’s annual impairment test during the fourth quarter of fiscal year 2026, including taking into account the reporting units identified from the BlueHalo acquisition on May 1, 2025.</w:t>
      </w:r>
    </w:p>
    <w:p>
      <w:pPr>
        <w:spacing w:after="0" w:line="19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AxS segment includes goodwill from the acquisitions of Pulse Aerospace, LLC (“Pulse”), Arcturus UAV, Inc. (“Arcturus”), Telerob Gesellschaft für Fernhantierungstechnik mbH (“Telerob”), Planck Aerosystems, Inc., Tomahawk Robotics, Inc. and certain BlueHalo reporting units and includes goodwill from the purchase of certain assets of Intelligent Systems Group business segment of Progeny Systems Corporation. The SCDE segment includes goodwill from certain BlueHalo reporting units.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On October 4, 2024, the Company entered into a Third Amendment to Credit Agreement with the existing lenders, Bank of America, N.A. (“BofA NA”), the administrative agent and the swingline lender, JPMorgan Chase Bank, N.A. (“JPM”), U.S. Bank National Association (“U.S. Bank”), and Citibank, N.A. (“Citibank”) (the “Third Amendment to Credit Agreement”).</w:t>
      </w:r>
    </w:p>
    <w:p>
      <w:pPr>
        <w:spacing w:after="0" w:line="180"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Third Amendment to Credit Agreement provided for an aggregate $200,000,000 revolving credit facility (the “Revolving Facility”), including a $25,000,000 sublimit for the issuance of standby and commercial letters of credit, and a $10,000,000 sublimit for swingline loans, secured by all assets of the Company and the Company’s domestic subsidiaries (the “Guarantors”), and extended the maturity date for obligations pursuant to the Credit Agreement to October 4, 2029. Upon effectiveness of the Third Amendment to Credit Agreement, the Company drew $15,000,000 from the amended Revolving Facility and repaid in full all outstanding amounts owed pursuant to the prior Term Loan Facility. The unamortized debt issuance costs allocated to the prior Term Loan Facility of $590,000 were expensed upon repayment of the Term Loan Facility and recorded in interest expense.</w:t>
      </w:r>
    </w:p>
    <w:p>
      <w:pPr>
        <w:spacing w:after="0" w:line="19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May 1, 2025 (the “Closing Date”), in connection with the consummation of the BlueHalo acquisition, the Company entered into a Fourth Amendment to Credit Agreement with BofA NA, the administrative agent and the swingline lender, JPM, U.S. Bank, Citibank, BMO Bank N.A. (“BMO”), Citizens Banks, N.A. (“Citizens”) and Royal Bank of Canada (“RBC”) (the “Fourth Amendment to Credit Agreement” and the existing Credit Agreement as amended thereby, the “Amended Credit Agreement”). The Amended Credit Agreement now provides for an aggregate $700,000,000 term loan (the “Term Loan Facility” and, together with the Revolving Facility, the “Credit Facilities”) and an aggregate $350,000,000 revolving credit facility, including a $25,000,000 sublimit for the issuance of standby and commercial letters of credit, and a $10,000,000 sublimit for swingline loans, secured by all assets of the Company and the Guarantors, maintains the maturity date for obligations of October 4, 2029, as extended by the Third Amendment to Credit Agreement.</w:t>
      </w:r>
    </w:p>
    <w:p>
      <w:pPr>
        <w:spacing w:after="0" w:line="18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Term A Loan drawn under the Term Loan Facility matures two years after the Closing Date and amortizes at a rate of 5.00% per annum, with the remaining outstanding principal amount due and payable on the maturity date. The applicable margin on the Term A Loan is based upon the Company’s Consolidated Leverage Ratio (as defined in the Credit Agreement) and whether the Company elects as its benchmark rate (i) SOFR (in which case, the applicable margin ranges from 1.50 - 2.50% per annum depending on the Company’s Consolidated Leverage Ratio) plus a credit spread adjustment of 0.10% or (ii) Base Rate (in which case, the applicable margin ranges from 0.50 - 1.50% per annum depending on the Company’s Consolidated Leverage Ratio). Upon the occurrence of an event of default, an additional 2.00% per annum default interest rate may apply. Pursuant to the Fourth Amendment to Credit Agreement, the Company is subject to two financial maintenance covenants which require that (i) the Consolidated Senior Secured Leverage Ratio (as defined in the Credit Agreement) not exceed 3.50 to 1.00 as of the end of any fiscal quarter, for the four fiscal quarters following consummation of the BlueHalo acquisition, and thereafter 3.00 to 1.00 as of the end of any fiscal quarter, and (ii) the Consolidated Fixed Charge Coverage Ratio (as defined in the Credit Agreement) not be less than 1.25 to 1.00 as of the end of any fiscal quarter.</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Upon effectiveness of the Amended Credit Agreement, the Company drew $225,000,000 from the amended Revolving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Facility and the full $700,000,000 of the Term Loan Facility. In June 2025, the Company drew an additional $10,000,000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Revolving Facility. In July 2025, the Company used the proceeds from the issuance of common stock and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0% Convertible Senior Notes due 2030 (the “Notes”) to fully repay the Term A Loan and outstanding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Revolving Facility balance. The unamortized debt issuance costs allocated to the Term Loan Facility of $6,668,000 were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expensed upon repayment of the Term Loan Facility and recorded as interest expense in the consolidated statements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The Revolver Facility remains open and available to the Company. The Company’s ability to borrow under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Revolving Facility is reduced by outstanding letters of credit, which as of January 31, 2026 and April 30, 2025,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$11,008,000 and $9,376,000, respectively, and as of January 31, 2026, approximately $338,992,000 was available under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Revolving Facility. Borrowings under the Revolving Facility may be used for working capital and other general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corporate purposes, including acquisitions that meet certain parameters. As of January 31, 2026, the Company was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compliance with all amended covenants. Please refer to Note 10–Convertible Notes and Note 16–Share Issuances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further details.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9"/>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costs–convertible notes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costs–convertible notes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727,877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costs–revolving credit facility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1,872</w:t>
            </w:r>
          </w:p>
        </w:tc>
        <w:tc>
          <w:tcPr>
            <w:tcW w:w="180" w:type="dxa"/>
            <w:vAlign w:val="bottom"/>
            <w:vMerge w:val="continue"/>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32"/>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Future contractual long-term debt principal payments at January 31, 2026 were as follows: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Convertible Notes</w:t>
      </w:r>
    </w:p>
    <w:p>
      <w:pPr>
        <w:spacing w:after="0" w:line="94"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July 2025, the Company entered into an underwriting agreement (the “Note Underwriting Agreement”) with certain underwriters (the “Note Underwriters”) agreeing, subject to customary conditions, to issue and sell $650,000,000 aggregate principal amount of the Notes to the Note Underwriters as well as an option, exercisable within 30 days after entering the Note Underwriting Agreement, to purchase up to an additional $97,500,000 aggregate principal amount of Notes solely to cover over-allotments. The Note Underwriters exercised such option to purchase an additional $97,500,000 aggregate principal amount of Notes. The issuance of $747,500,000 aggregate principal amount of Notes was completed in July 2025.</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including any borrowings under the Company's revolving credit facility; and (iv) structurally subordinated to all existing and future indebtedness and other liabilities, including trade payables, and (to the extent the Company is not a holder thereof) preferred equity, if any, of the Company’s subsidiaries.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Notes do not bear regular interest, and the principal amount of the Notes will not accrete. Special interest will accrue on the Notes upon the occurrence of certain events relating to the Company's failure to file certain SEC reports as provided in the Indenture. The Notes will mature on July 15, 2030, unless earlier repurchased, redeemed or converted. Before April 15, 2030, noteholders have the right to convert their Notes only upon the occurrence of certain events. From and after April 15, 2030, noteholders may convert their Notes at any time at their election until the close of business on the second scheduled trading day immediately before the maturity date. The Company will have the right to elect to settle conversions either entirely in cash or in a combination of cash and shares of its common stock. Upon conversion of any Note, the consideration due upon conversion, which will be determined over an “Observation Period” (as defined in the Indenture) consisting of 60 consecutive trading days, will be paid in cash up to at least the principal amount of the Notes being converted and the Company will pay or deliver, as the case may be, cash, shares of the Company’s common stock or a combination of cash and shares of the Company’s common stock, at the Company’s election, in respect of the remainder, if any, of the Company’s conversion obligation in excess of the principal amount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the Notes being converted. The initial conversion rate is 3.1017 shares of the Company's common stock per $1,000 principal amount of Notes, which represents an initial conversion price of approximately $322.40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8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Notes will be redeemable, in whole or in part (subject to certain limitations described below), at the Company’s option at any time, and from time to time, on or after July 21, 2028 and on or before the 61st scheduled trading day immediately before the maturity date, at a cash redemption price equal to the principal amount of the Notes to be redeemed, plus accrued and unpaid special interest, if any, to, but excluding, the redemption date,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9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If certain events that constitute a “Fundamental Change” (as defined in the Indenture) occur, then, subject to a limited exception for certain cash mergers as provided in the Indenture, noteholders may require the Company to repurchase their Notes at a cash repurchase price equal to the principal amount of the Notes to be repurchased, plus accrued and unpaid special interest, if any, to, but excluding, the fundamental change repurchase date. The definition in the Indenture of Fundamental Change includes certain business combination transactions involving the Company and certain de-listing events with respect to the Company’s common stock.</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Notes have customary provisions relating to the occurrence of “Events of Default” (as defined in the Indenture), which include the following: (i) certain payment defaults on the Notes (which, in the case of a default in the payment of special interest on the Notes, will be subject to a 30-day cure period); (ii) the Company’s failure to send certain notices under the Indenture within specified periods of time; (iii) the Company's failure to convert a Note in accordance with the Indenture within a specified period of time;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significant subsidiaries with respect to indebtedness for borrowed money of at least $55,000,000; and (vii) certain events of bankruptcy, insolvency and reorganization involving the Company or any of its significant subsidiaries.</w:t>
      </w:r>
    </w:p>
    <w:p>
      <w:pPr>
        <w:spacing w:after="0" w:line="190"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rate per annum equal to 0.25% of the principal amount of the Notes for the first 180 days on which special interest accrues and, thereafter, at a rate per annum equal to 0.50% of the principal amount thereof.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components of lease costs recorded in cost of sales and selling, general and administrative (“SG&amp;A”) expense were as follows (in thousands):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4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2"/>
                <w:szCs w:val="12"/>
                <w:color w:val="auto"/>
              </w:rPr>
            </w:pPr>
          </w:p>
        </w:tc>
        <w:tc>
          <w:tcPr>
            <w:tcW w:w="11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11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term lease cost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 net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lease information was as follows:</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4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2"/>
                <w:szCs w:val="12"/>
                <w:color w:val="auto"/>
              </w:rPr>
            </w:pPr>
          </w:p>
        </w:tc>
        <w:tc>
          <w:tcPr>
            <w:tcW w:w="11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11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gridSpan w:val="2"/>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72 months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months</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Maturities of operating lease liabilities as of January 31, 2026 were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40,167</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98,136</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 and Reclassifications Adjustments</w:t>
            </w: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8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and adjustments are as follows (in thousands):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2025 and April 30, 2024, respectively</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available-for-sale security losses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2026 and January 25, 2025, respectively</w:t>
            </w:r>
          </w:p>
        </w:tc>
        <w:tc>
          <w:tcPr>
            <w:tcW w:w="6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Customer-Funded Research &amp; Development</w:t>
      </w:r>
    </w:p>
    <w:p>
      <w:pPr>
        <w:spacing w:after="0" w:line="21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$58,520,000 and $177,671,000 for the three and nine months ended January 31, 2026. Revenue from customer-funded R&amp;D was approximately $19,730,000 and $58,569,000 for the three and nine months ended January 25,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Long-Term Incentive Awards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three months ended August 2, 2025, the Company granted awards under its 2021 Equity Incentive Plan (the “2021 Plan”) to key employees (“Fiscal 2026 LTIP”). Awards under the Fiscal 2026 LTIP consist of: (i) time-based restricted stock awards and time-based restricted stock units, which vest in equal tranches in July 2026, July 2027 and July 2028, and (ii) performance-based restricted stock units (“PRSUs”), which vest based on the Company’s achievement of revenue and non-GAAP adjusted earnings before interest, taxes, depreciation and amortization (“adjusted EBITDA”) targets for the three-year period ending April 30, 2028.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nine months ended January 31, 2026 the Company recorded $1,202,000 and $4,216,000 of compensation expense related to the Fiscal 2026 LTIP, respectively. The Company recorded no compensation expense to the Fiscal 2026 LTIP for the three and nine months ended January 25, 2025, respectively. At January 31, 2026, the maximum compensation expense that may be recorded for the performance-based portion of the Fiscal 2026 LTIP is $31,323,000.</w:t>
      </w:r>
    </w:p>
    <w:p>
      <w:pPr>
        <w:spacing w:after="0" w:line="195"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27, 2024, the Company granted awards under its 2021 Plan to key employees (“Fiscal 2025 LTIP”). Awards under the Fiscal 2025 LTIP consist of: (i) time-based restricted stock awards and time-based restricted stock units, which vest in equal tranches in July 2025, July 2026 and July 2027, and (ii) PRSUs, which vest based on the Company’s achievement of revenue and non-GAAP adjusted EBITDA targets for the three-year period ending April 30, 2027.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nine months ended January 31, 2026, the Company recorded $1,541,000 and $6,625,000 of compensation expense related to the Fiscal 2025 LTIP. For the three and nine months ended January 25, 2025, the Company recorded $918,000 and $2,192,000 of compensation expense related to the Fiscal 2025 LTIP. At January 31, 2026, the maximum compensation expense that may be recorded for the performance-based portion of the Fiscal 2025 LTIP is $17,463,000.</w:t>
      </w:r>
    </w:p>
    <w:p>
      <w:pPr>
        <w:spacing w:after="0" w:line="19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29, 2023, the Company granted awards under the 2021 Plan to key employees (“Fiscal 2024 LTIP”). Awards under the Fiscal 2024 LTIP consist of: (i) time-based restricted stock awards and time-based restricted stock units, which vest in equal tranches in July 2024, July 2025 and July 2026, and (ii) PRSUs, which vest based on the Company’s achievement of revenue and non-GAAP adjusted EBITDA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nine months ended January 31, 2026, the Company recorded $1,239,000 and $5,123,000 of compensation expense related to the Fiscal 2024 LTIP. For the three and nine months ended January 25, 2025, the Company recorded $938,000 and $3,128,000 of compensation expense related to the Fiscal 2024 LTIP. At January 31, 2026, the maximum compensation expense that may be recorded for the performance-based portion of the Fiscal 2024 LTIP is $14,454,000.</w:t>
      </w:r>
    </w:p>
    <w:p>
      <w:pPr>
        <w:spacing w:after="0" w:line="19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three months ended July 30, 2022, the Company granted awards under the 2021 Plan to key employees (“Fiscal 2023 LTIP”). Awards under the Fiscal 2023 LTIP consist of: (i) time-based restricted stock awards and time-based restricted stock units, which vest in equal tranches in July 2023, July 2024 and July 2025, and (ii) PRSUs, which vest based on the Company’s achievement of revenue and non-GAAP adjusted EBITDA targets for the three-year period ending April 30, 2025. During the three months ended August 2, 2025, the Company issued a total of 61,605 fully-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1" w:lineRule="auto"/>
        <w:rPr>
          <w:sz w:val="20"/>
          <w:szCs w:val="20"/>
          <w:color w:val="auto"/>
        </w:rPr>
      </w:pPr>
      <w:r>
        <w:rPr>
          <w:rFonts w:ascii="Times New Roman" w:cs="Times New Roman" w:eastAsia="Times New Roman" w:hAnsi="Times New Roman"/>
          <w:sz w:val="18"/>
          <w:szCs w:val="18"/>
          <w:color w:val="auto"/>
        </w:rPr>
        <w:t>vested shares of the Company’s common stock to settle the PRSUs in the Fiscal 2023 LTIP. For the three and nine months ended January 31, 2026 the Company recorded no compensation expense related to the Fiscal 2023 LTIP. For the three and nine months ended January 25, 2025, the Company recorded $587,000, and $2,253,000 of compensation expense related to the Fiscal 2023 LTIP, respectively.</w:t>
      </w:r>
    </w:p>
    <w:p>
      <w:pPr>
        <w:spacing w:after="0" w:line="18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and nine months ended January 31, 2026, the Company recorded an income tax benefit of $(21,616,000)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$(39,090,000) yielding an effective tax rate of (8.2)% and (10.6%), respectively. For the three and nine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25, 2025, the Company recorded an income tax benefit of $(605,000) and a provision for income taxes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$659,000 yielding an effective tax rate of (25.6)% and 2.5%, respectively. The variance from statutory rates for the three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nine months ended January 31, 2026 was primarily due to the non-deductible goodwill impairment, for the three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ended January 31, 2026. The variance from statutory rates for the nine months ended January 25, 2025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due to the decrease in income before taxes, offset by a decrease in foreign-derived intangible income (“FDII”)</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deductions and federal R&amp;D credits.</w:t>
      </w:r>
    </w:p>
    <w:p>
      <w:pPr>
        <w:spacing w:after="0" w:line="20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July 4, 2025, the reconciliation bill, commonly known as the One Big Beautiful Bill Act (“OBBBA”), was enacted into law. The OBBBA, among other things, eliminates the requirement to capitalize U.S. R&amp;D expenses, permanently extends certain provisions of the Tax Cuts &amp; Jobs Act of 2017 and modifies certain international tax provisions, as part of a broader set of updates to the U.S. international tax rules. These changes are effective for tax years beginning after December 31, 2025, and include modifying key elements of the TCJA-era regime. These include adjusting the international tax effective rates, renaming and reworking of the current global intangible low-taxed income (“GILTI”) regime as “net CFC tested income” and foreign derived intangible income (FDII) deduction as “foreign derived deduction eligible income”, eliminates QBAI reduction, and modifies deductions and foreign tax credit rules. As the OBBBA was enacted during the Company’s fiscal quarter ended August 2, 2025, the Company reflected the impacts of the OBBBA on the condensed consolidated financial statements. The Company is in the process of evaluating the financial statement impact of these provisions in future periods. Each of these changes may result in accelerated tax deductions during the current and future tax years. Cash tax payments for the fiscal year ending April 30, 2026 are expected to be significantly reduced as a result of the accelerated tax deductions. However, the Company's total income tax expense and effective tax rate are not expected to materially change as a result of the new legislation.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Share Issuances</w:t>
      </w:r>
    </w:p>
    <w:p>
      <w:pPr>
        <w:spacing w:after="0" w:line="21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In July 2025, the Company entered into an underwriting agreement (the “Common Stock Underwriting Agreement”) with certain underwriters (the “Common Stock Underwriters”) agreeing, subject to customary conditions, to issue and sell 3,528,226 shares of the Company’s common stock to the Common Stock Underwriters. In addition, pursuant to the Common Stock Underwriting Agreement, the Company granted the Common Stock Underwriters an option, exercisable within 30 days after entering the Common Stock Underwriting Agreement, to purchase up to an additional 529,234 shares of the Company’s common stock (the “Over-allotment Option”). The issuance of 3,528,226 shares of common stock was completed in July 2025. Subsequently, the Company closed the issuance and sale of 529,234 shares of its common stock pursuant to the underwriters’ full exercise of the Over-allotment Option in July 2025 for a total issuance of 4,057,460 shares, generating gross proceeds to the Company of $1,006,250,000, proceeds of $968,515,000, net of underwriting discount and $966,846,000 net of underwriting discount and other equity issuance costs.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039" w:hanging="10"/>
        <w:spacing w:after="0" w:line="532" w:lineRule="auto"/>
        <w:tabs>
          <w:tab w:leader="none" w:pos="33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BlueHalo Acquisition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May 1, 2025, the Company closed its acquisition of BlueHalo for merger consideration, net of cash acquired, of</w:t>
      </w:r>
    </w:p>
    <w:p>
      <w:pPr>
        <w:spacing w:after="0" w:line="27" w:lineRule="exact"/>
        <w:rPr>
          <w:sz w:val="20"/>
          <w:szCs w:val="20"/>
          <w:color w:val="auto"/>
        </w:rPr>
      </w:pPr>
    </w:p>
    <w:p>
      <w:pPr>
        <w:ind w:left="60" w:right="259"/>
        <w:spacing w:after="0" w:line="253" w:lineRule="auto"/>
        <w:rPr>
          <w:sz w:val="20"/>
          <w:szCs w:val="20"/>
          <w:color w:val="auto"/>
        </w:rPr>
      </w:pPr>
      <w:r>
        <w:rPr>
          <w:rFonts w:ascii="Times New Roman" w:cs="Times New Roman" w:eastAsia="Times New Roman" w:hAnsi="Times New Roman"/>
          <w:sz w:val="18"/>
          <w:szCs w:val="18"/>
          <w:color w:val="auto"/>
        </w:rPr>
        <w:t>$3,484,945,000. Through the acquisition, BlueHalo is incorporated into the Company’s AxS and SCDE segments. The Company believes that the acquisition will help to advance the combined company as a global defense technology leader across air, land, sea, space, and cyber. The Company accounted for the acquisition under the acquisition method of accounting for business combinations.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Amount</w:t>
            </w:r>
          </w:p>
        </w:tc>
      </w:tr>
      <w:tr>
        <w:trPr>
          <w:trHeight w:val="209"/>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consideration transferred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2,640,365</w:t>
            </w:r>
          </w:p>
        </w:tc>
      </w:tr>
      <w:tr>
        <w:trPr>
          <w:trHeight w:val="216"/>
        </w:trPr>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BlueHalo’s transaction expenses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w:t>
            </w:r>
          </w:p>
        </w:tc>
      </w:tr>
      <w:tr>
        <w:trPr>
          <w:trHeight w:val="216"/>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of BlueHalo’s debt</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863,207</w:t>
            </w:r>
          </w:p>
        </w:tc>
      </w:tr>
      <w:tr>
        <w:trPr>
          <w:trHeight w:val="209"/>
        </w:trPr>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3,528,786</w:t>
            </w:r>
          </w:p>
        </w:tc>
      </w:tr>
      <w:tr>
        <w:trPr>
          <w:trHeight w:val="216"/>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cash acquired</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(43,841)</w:t>
            </w:r>
          </w:p>
        </w:tc>
      </w:tr>
      <w:tr>
        <w:trPr>
          <w:trHeight w:val="228"/>
        </w:trPr>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3,484,945</w:t>
            </w:r>
          </w:p>
        </w:tc>
      </w:tr>
    </w:tbl>
    <w:p>
      <w:pPr>
        <w:spacing w:after="0" w:line="17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fair value of the Company’s common stock issued is based on 17,425,849 shares issued as consideration, per the terms of the Merger Agreement, and the closing share price of $151.52 on April 30, 2025.</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fair value of the merger consideration transferred to assets acquired and liabilities assumed as of the acquisition date. The allocation of the purchase price is preliminary and subject to change as the Company continues to evaluate the fair values of certain assets and liabilities acquired. Open items in the purchase price allocation include the valuation of assets acquired and liabilities assumed including, but not limited to technology, backlog and customer relationships intangibles; fair value adjustment to inventory, property, plant and equipment; leases; details surrounding tax matters; and assumptions underlying certain existing or potential reserves, such as those for inventory and legal matters. During the six months ended January 31, 2026, the Company recorded adjustments related to the preliminary allocation of the purchase price including a revision to the fair value of technology, backlog and customer relationships intangibles; fair value adjustment to inventory; and deferred tax liability resulting in a net increase to goodwill of $73,460,000. These adjustments resulted in a reduction of amortization expense of $(7,427,000) and an increase of amortization expense of $10,957,000 related to the three months ended August 2, 2025 and November 1, 2025, respectively, (in thousands):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May 1,</w:t>
            </w:r>
          </w:p>
        </w:tc>
      </w:tr>
      <w:tr>
        <w:trPr>
          <w:trHeight w:val="199"/>
        </w:trPr>
        <w:tc>
          <w:tcPr>
            <w:tcW w:w="67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Fair value of assets acquired:</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$420 at May 1, 2025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80,752</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96,455</w:t>
            </w: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88,167</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89,327</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70,879</w:t>
            </w: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1,029,800</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2,356,239</w:t>
            </w:r>
          </w:p>
        </w:tc>
      </w:tr>
      <w:tr>
        <w:trPr>
          <w:trHeight w:val="216"/>
        </w:trPr>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10"/>
        </w:trPr>
        <w:tc>
          <w:tcPr>
            <w:tcW w:w="6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3,830,425</w:t>
            </w:r>
          </w:p>
        </w:tc>
      </w:tr>
      <w:tr>
        <w:trPr>
          <w:trHeight w:val="20"/>
        </w:trPr>
        <w:tc>
          <w:tcPr>
            <w:tcW w:w="6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56,930</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43,031</w:t>
            </w: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advances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42,700</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11,971</w:t>
            </w:r>
          </w:p>
        </w:tc>
      </w:tr>
      <w:tr>
        <w:trPr>
          <w:trHeight w:val="216"/>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64,720</w:t>
            </w:r>
          </w:p>
        </w:tc>
      </w:tr>
      <w:tr>
        <w:trPr>
          <w:trHeight w:val="216"/>
        </w:trPr>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119,421</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345,480</w:t>
            </w: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3,484,945</w:t>
            </w:r>
          </w:p>
        </w:tc>
      </w:tr>
      <w:tr>
        <w:trPr>
          <w:trHeight w:val="20"/>
        </w:trPr>
        <w:tc>
          <w:tcPr>
            <w:tcW w:w="6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assigned to intangible assets has been estimated based on third-party preliminary valuation studies utilizing income-based methodologies and corroborated with benchmarks of similar transactions in the industry. Use of different estimates and judgments could yield materially different results. All intangible assets acquired in the BlueHalo acquisition are subject to amortization.</w:t>
      </w:r>
    </w:p>
    <w:p>
      <w:pPr>
        <w:spacing w:after="0" w:line="183"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differences between the estimated fair value of the consideration transferred and the estimated fair value of the assets acquired, and liabilities assumed. For income tax purposes the goodwill and intangibles are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valuation of the fair value of intangible assets acquired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Preliminary Fair Value</w:t>
            </w:r>
          </w:p>
        </w:tc>
        <w:tc>
          <w:tcPr>
            <w:tcW w:w="1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Estimated Useful Life</w:t>
            </w:r>
          </w:p>
        </w:tc>
      </w:tr>
      <w:tr>
        <w:trPr>
          <w:trHeight w:val="234"/>
        </w:trPr>
        <w:tc>
          <w:tcPr>
            <w:tcW w:w="4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Years</w:t>
            </w:r>
          </w:p>
        </w:tc>
      </w:tr>
      <w:tr>
        <w:trPr>
          <w:trHeight w:val="209"/>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Preliminary fair value of intangible assets acquired:</w:t>
            </w: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480,400</w:t>
            </w: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0"/>
        </w:trPr>
        <w:tc>
          <w:tcPr>
            <w:tcW w:w="4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1,029,800</w:t>
            </w:r>
          </w:p>
        </w:tc>
        <w:tc>
          <w:tcPr>
            <w:tcW w:w="1920" w:type="dxa"/>
            <w:vAlign w:val="bottom"/>
            <w:tcBorders>
              <w:bottom w:val="single" w:sz="8" w:color="CCEEFF"/>
            </w:tcBorders>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BlueHalo Supplemental Pro Forma Information (unaudited)</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BlueHalo revenue and loss from operations for the nine months ended January 31, 2026 since its acquisition on May 1, 2025 was $656,854,000 and $(334,922,000), inclusive of $161,153,000 of intangible amortization and $240,708,000 of goodwill impairment, respectively. The following unaudited pro forma summary presents condensed consolidated information of the Company as if the business acquisition had occurred on May 1, 2024, the first day of the Company's fiscal year 2025. The pro forma amounts include the historical operating results of the Company and BlueHalo prior to the acquisition. The pro forma results are not necessarily indicative of the Company's results of operations that would have been obtained had the acquisition of BlueHalo been completed for the period presented, or which may be realized in the future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1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6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20" w:type="dxa"/>
            <w:vAlign w:val="bottom"/>
          </w:tcPr>
          <w:p>
            <w:pPr>
              <w:spacing w:after="0"/>
              <w:rPr>
                <w:sz w:val="10"/>
                <w:szCs w:val="10"/>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1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1,178,098</w:t>
            </w:r>
          </w:p>
        </w:tc>
        <w:tc>
          <w:tcPr>
            <w:tcW w:w="20" w:type="dxa"/>
            <w:vAlign w:val="bottom"/>
          </w:tcPr>
          <w:p>
            <w:pPr>
              <w:spacing w:after="0"/>
              <w:rPr>
                <w:sz w:val="18"/>
                <w:szCs w:val="18"/>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AeroVironment, Inc.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(236,653)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(265,293)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(138,675)</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Company recognized a nonrecurring pro forma adjustment to pro forma earnings to amortize an increase in the fair value of inventory acquired during the three and nine months ended January 31, 2026. In addition, for the three and nine months ended January 31, 2026, the amortization expense associated with the Company's one-year intangible backlog has been eliminated within the pro forma adjustments.</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27, 2024, reflecting the additional amortization and depreciation that would have been charged, incremental interest expense associated with the initial financing for the acquisition under the term loan and revolver, and including the results of BlueHalo prior to acquisition.</w:t>
      </w:r>
    </w:p>
    <w:p>
      <w:pPr>
        <w:spacing w:after="0" w:line="18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Company incurred approximately $58,166,000 of BlueHalo acquisition-related expenses including integration costs. The Company recognized a nonrecurring pro forma adjustment to the three and nine months ended January 31, 2026 to remove the impact of the transaction costs from the historical balance, while recognizing the $58,166,000 of transaction expenses within the nine months ended January 25, 2025 to reflect the costs as if the acquisition was completed during the nine months ended January 25, 2025.</w:t>
      </w:r>
    </w:p>
    <w:p>
      <w:pPr>
        <w:spacing w:after="0" w:line="183"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presented above does not give effect to the July 2025 common stock issuance and Notes issuance, as such proceeds were not used to fund the BlueHalo acquisition. As the Company’s repayment of indebtedness using the proceeds of the common stock issuance and Notes issuance was not directly attributable to the acquisition, the related reduction in interest expense is not reflected in this unaudited pro forma combined financial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Pension</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310" w:lineRule="auto"/>
        <w:rPr>
          <w:sz w:val="20"/>
          <w:szCs w:val="20"/>
          <w:color w:val="auto"/>
        </w:rPr>
      </w:pPr>
      <w:r>
        <w:rPr>
          <w:rFonts w:ascii="Times New Roman" w:cs="Times New Roman" w:eastAsia="Times New Roman" w:hAnsi="Times New Roman"/>
          <w:sz w:val="17"/>
          <w:szCs w:val="17"/>
          <w:color w:val="auto"/>
        </w:rPr>
        <w:t>The table below includes the projected benefit obligation and fair value of plan assets as of April 30, 2025. The net fair value of plan assets (in thousands) is recorded in other assets on the unaudited condensed consolidated balance sheet.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-111760</wp:posOffset>
            </wp:positionV>
            <wp:extent cx="56489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Funded status of the plan</w:t>
      </w:r>
    </w:p>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April 30,</w:t>
      </w:r>
    </w:p>
    <w:p>
      <w:pPr>
        <w:spacing w:after="0" w:line="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8915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ind w:left="880" w:hanging="877"/>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(3,335)</w:t>
      </w:r>
    </w:p>
    <w:p>
      <w:pPr>
        <w:spacing w:after="0" w:line="18"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3,817</w:t>
      </w:r>
    </w:p>
    <w:p>
      <w:pPr>
        <w:spacing w:after="0" w:line="9" w:lineRule="exact"/>
        <w:rPr>
          <w:sz w:val="20"/>
          <w:szCs w:val="20"/>
          <w:color w:val="auto"/>
        </w:rPr>
      </w:pPr>
    </w:p>
    <w:p>
      <w:pPr>
        <w:ind w:left="1080" w:hanging="1077"/>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8915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6820" w:space="720"/>
            <w:col w:w="1479"/>
          </w:cols>
          <w:pgMar w:left="1440" w:top="513" w:right="1440" w:bottom="1440" w:gutter="0" w:footer="0" w:header="0"/>
          <w:type w:val="continuous"/>
        </w:sectPr>
      </w:pPr>
    </w:p>
    <w:p>
      <w:pPr>
        <w:spacing w:after="0" w:line="5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projected benefit obligation includes assumptions of a discount rate of 3.6% and pension increase for in-payment benefits of 2.5% for both January 31, 2026 and April 30, 2025.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2026. The Company assumed expected return on plan assets of 2.9% for January 31, 2026 and April 30, 2025, respectively.</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benefit payments as of April 30, 2025 (in thousands):</w:t>
            </w: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9"/>
        </w:trPr>
        <w:tc>
          <w:tcPr>
            <w:tcW w:w="7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1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expected benefit payments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0"/>
        </w:trPr>
        <w:tc>
          <w:tcPr>
            <w:tcW w:w="7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periodic benefit cost (in thousands) is recorded in interest expense, net.</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Borders>
              <w:bottom w:val="single" w:sz="8" w:color="auto"/>
            </w:tcBorders>
          </w:tcPr>
          <w:p>
            <w:pPr>
              <w:spacing w:after="0"/>
              <w:rPr>
                <w:sz w:val="15"/>
                <w:szCs w:val="15"/>
                <w:color w:val="auto"/>
              </w:rPr>
            </w:pPr>
          </w:p>
        </w:tc>
      </w:tr>
      <w:tr>
        <w:trPr>
          <w:trHeight w:val="227"/>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25,</w:t>
            </w:r>
          </w:p>
        </w:tc>
      </w:tr>
      <w:tr>
        <w:trPr>
          <w:trHeight w:val="199"/>
        </w:trPr>
        <w:tc>
          <w:tcPr>
            <w:tcW w:w="49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85</w:t>
            </w: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Segments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R&amp;D and other significant expenses, leading to decisions related to resource allocations in relation to profit and loss. Accordingly, the Company identifies two reportable segments.</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Effective May 1, 2025, the Company reorganized its segments. In connection with the Company’s acquisition of BlueHalo, the reorganization was implemented to drive additional operational improvements, foster synergies and provide leaders with greater autonomy over their business units. The Company’s reportable segments are Autonomous Systems and Space, Cyber and Directed Energy.</w:t>
      </w:r>
    </w:p>
    <w:p>
      <w:pPr>
        <w:spacing w:after="0" w:line="18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 “Organization and Significant Accounting Policies.” The operating segments sales to each other are eliminated. Effective May 1, 2025, segment adjusted EBITDA is the measure of profitability used by the CODM for purposes of making decisions about allocating resources to the segments and assessing performance. Segment adjusted EBITDA is defined as segment (loss) income from operations before depreciation and amortization, adjusted for the impact of certain other non-cash items, including</w:t>
      </w:r>
    </w:p>
    <w:p>
      <w:pPr>
        <w:sectPr>
          <w:pgSz w:w="11900" w:h="16838" w:orient="portrait"/>
          <w:cols w:equalWidth="0" w:num="1">
            <w:col w:w="9019"/>
          </w:cols>
          <w:pgMar w:left="1440" w:top="513" w:right="1440" w:bottom="1440" w:gutter="0" w:footer="0" w:header="0"/>
          <w:type w:val="continuous"/>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amortization of implementation of cloud computing arrangements, stock-based compensation, acquisition related expenses, and goodwill impairment. Prior period segment information has been revised to align with the new segment measure of profitability.</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3"/>
                <w:szCs w:val="13"/>
                <w:color w:val="auto"/>
              </w:rPr>
            </w:pPr>
          </w:p>
        </w:tc>
        <w:tc>
          <w:tcPr>
            <w:tcW w:w="3240" w:type="dxa"/>
            <w:vAlign w:val="bottom"/>
            <w:gridSpan w:val="7"/>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January 31, 2026</w:t>
            </w: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AxS</w:t>
            </w: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SCDE</w:t>
            </w: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222,724</w:t>
            </w:r>
          </w:p>
        </w:tc>
        <w:tc>
          <w:tcPr>
            <w:tcW w:w="60" w:type="dxa"/>
            <w:vAlign w:val="bottom"/>
          </w:tcPr>
          <w:p>
            <w:pPr>
              <w:spacing w:after="0"/>
              <w:rPr>
                <w:sz w:val="19"/>
                <w:szCs w:val="19"/>
                <w:color w:val="auto"/>
              </w:rPr>
            </w:pP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55,090</w:t>
            </w:r>
          </w:p>
        </w:tc>
        <w:tc>
          <w:tcPr>
            <w:tcW w:w="2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277,814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130,231</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408,045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182,935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113,633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296,568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31,180</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0" w:type="dxa"/>
            <w:vAlign w:val="bottom"/>
          </w:tcPr>
          <w:p>
            <w:pPr>
              <w:spacing w:after="0"/>
              <w:rPr>
                <w:sz w:val="1"/>
                <w:szCs w:val="1"/>
                <w:color w:val="auto"/>
              </w:rPr>
            </w:pPr>
          </w:p>
        </w:tc>
      </w:tr>
      <w:tr>
        <w:trPr>
          <w:trHeight w:val="22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0" w:type="dxa"/>
            <w:vAlign w:val="bottom"/>
          </w:tcPr>
          <w:p>
            <w:pPr>
              <w:spacing w:after="0"/>
              <w:rPr>
                <w:sz w:val="1"/>
                <w:szCs w:val="1"/>
                <w:color w:val="auto"/>
              </w:rPr>
            </w:pPr>
          </w:p>
        </w:tc>
      </w:tr>
      <w:tr>
        <w:trPr>
          <w:trHeight w:val="416"/>
        </w:trPr>
        <w:tc>
          <w:tcPr>
            <w:tcW w:w="4440" w:type="dxa"/>
            <w:vAlign w:val="bottom"/>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24"/>
                <w:szCs w:val="24"/>
                <w:color w:val="auto"/>
              </w:rPr>
            </w:pPr>
          </w:p>
        </w:tc>
        <w:tc>
          <w:tcPr>
            <w:tcW w:w="3240" w:type="dxa"/>
            <w:vAlign w:val="bottom"/>
            <w:gridSpan w:val="7"/>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January 25, 2025</w:t>
            </w: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AxS</w:t>
            </w: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SCDE</w:t>
            </w: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139,753</w:t>
            </w:r>
          </w:p>
        </w:tc>
        <w:tc>
          <w:tcPr>
            <w:tcW w:w="60" w:type="dxa"/>
            <w:vAlign w:val="bottom"/>
          </w:tcPr>
          <w:p>
            <w:pPr>
              <w:spacing w:after="0"/>
              <w:rPr>
                <w:sz w:val="19"/>
                <w:szCs w:val="19"/>
                <w:color w:val="auto"/>
              </w:rPr>
            </w:pP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2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680" w:type="dxa"/>
            <w:vAlign w:val="bottom"/>
            <w:gridSpan w:val="2"/>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gridSpan w:val="8"/>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Nine Months Ended January 31, 2026</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AxS</w:t>
            </w: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SCDE</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6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712,971</w:t>
            </w:r>
          </w:p>
        </w:tc>
        <w:tc>
          <w:tcPr>
            <w:tcW w:w="60" w:type="dxa"/>
            <w:vAlign w:val="bottom"/>
          </w:tcPr>
          <w:p>
            <w:pPr>
              <w:spacing w:after="0"/>
              <w:rPr>
                <w:sz w:val="19"/>
                <w:szCs w:val="19"/>
                <w:color w:val="auto"/>
              </w:rPr>
            </w:pP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203,413</w:t>
            </w:r>
          </w:p>
        </w:tc>
        <w:tc>
          <w:tcPr>
            <w:tcW w:w="60" w:type="dxa"/>
            <w:vAlign w:val="bottom"/>
          </w:tcPr>
          <w:p>
            <w:pPr>
              <w:spacing w:after="0"/>
              <w:rPr>
                <w:sz w:val="19"/>
                <w:szCs w:val="19"/>
                <w:color w:val="auto"/>
              </w:rPr>
            </w:pP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3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414,275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4100" w:type="dxa"/>
            <w:vAlign w:val="bottom"/>
          </w:tcPr>
          <w:p>
            <w:pPr>
              <w:spacing w:after="0"/>
              <w:rPr>
                <w:sz w:val="24"/>
                <w:szCs w:val="24"/>
                <w:color w:val="auto"/>
              </w:rPr>
            </w:pPr>
          </w:p>
        </w:tc>
        <w:tc>
          <w:tcPr>
            <w:tcW w:w="680" w:type="dxa"/>
            <w:vAlign w:val="bottom"/>
            <w:gridSpan w:val="2"/>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gridSpan w:val="8"/>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Nine Months Ended January 25, 2025</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AxS</w:t>
            </w: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SCDE</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6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450,488</w:t>
            </w:r>
          </w:p>
        </w:tc>
        <w:tc>
          <w:tcPr>
            <w:tcW w:w="60" w:type="dxa"/>
            <w:vAlign w:val="bottom"/>
          </w:tcPr>
          <w:p>
            <w:pPr>
              <w:spacing w:after="0"/>
              <w:rPr>
                <w:sz w:val="19"/>
                <w:szCs w:val="19"/>
                <w:color w:val="auto"/>
              </w:rPr>
            </w:pP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19"/>
                <w:szCs w:val="19"/>
                <w:color w:val="auto"/>
              </w:rPr>
            </w:pP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4100" w:type="dxa"/>
            <w:vAlign w:val="bottom"/>
          </w:tcPr>
          <w:p>
            <w:pPr>
              <w:spacing w:after="0"/>
              <w:rPr>
                <w:sz w:val="24"/>
                <w:szCs w:val="24"/>
                <w:color w:val="auto"/>
              </w:rPr>
            </w:pPr>
          </w:p>
        </w:tc>
        <w:tc>
          <w:tcPr>
            <w:tcW w:w="6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following table (in thousands) provides a reconciliation from segment adjusted EBITDA to income before income taxes: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7"/>
        </w:trPr>
        <w:tc>
          <w:tcPr>
            <w:tcW w:w="3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January 25,</w:t>
            </w:r>
          </w:p>
        </w:tc>
      </w:tr>
      <w:tr>
        <w:trPr>
          <w:trHeight w:val="213"/>
        </w:trPr>
        <w:tc>
          <w:tcPr>
            <w:tcW w:w="3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84,806</w:t>
            </w: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(27,144)</w:t>
            </w: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(13,699)</w:t>
            </w:r>
          </w:p>
        </w:tc>
      </w:tr>
      <w:tr>
        <w:trPr>
          <w:trHeight w:val="198"/>
        </w:trPr>
        <w:tc>
          <w:tcPr>
            <w:tcW w:w="38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w:t>
            </w:r>
          </w:p>
        </w:tc>
      </w:tr>
      <w:tr>
        <w:trPr>
          <w:trHeight w:val="22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investments activity,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30"/>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w:t>
            </w:r>
          </w:p>
        </w:tc>
      </w:tr>
    </w:tbl>
    <w:p>
      <w:pPr>
        <w:spacing w:after="0" w:line="198"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Identifiable 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tcPr>
          <w:p>
            <w:pPr>
              <w:ind w:left="37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AxS</w:t>
            </w:r>
          </w:p>
        </w:tc>
        <w:tc>
          <w:tcPr>
            <w:tcW w:w="38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0" w:type="dxa"/>
            <w:vAlign w:val="bottom"/>
          </w:tcPr>
          <w:p>
            <w:pPr>
              <w:spacing w:after="0"/>
              <w:rPr>
                <w:sz w:val="15"/>
                <w:szCs w:val="15"/>
                <w:color w:val="auto"/>
              </w:rPr>
            </w:pP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January 31, 2026</w:t>
            </w: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2,299,387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2,043,438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1,021,409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5,364,234</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April 30, 2025</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872,530</w:t>
            </w:r>
          </w:p>
        </w:tc>
        <w:tc>
          <w:tcPr>
            <w:tcW w:w="80" w:type="dxa"/>
            <w:vAlign w:val="bottom"/>
          </w:tcPr>
          <w:p>
            <w:pPr>
              <w:spacing w:after="0"/>
              <w:rPr>
                <w:sz w:val="20"/>
                <w:szCs w:val="20"/>
                <w:color w:val="auto"/>
              </w:rPr>
            </w:pPr>
          </w:p>
        </w:tc>
        <w:tc>
          <w:tcPr>
            <w:tcW w:w="38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248,037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1,120,567</w:t>
            </w:r>
          </w:p>
        </w:tc>
      </w:tr>
      <w:tr>
        <w:trPr>
          <w:trHeight w:val="414"/>
        </w:trPr>
        <w:tc>
          <w:tcPr>
            <w:tcW w:w="51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9"/>
              </w:rPr>
              <w:t>Capital expenditures are summarized in the table below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3820" w:type="dxa"/>
            <w:vAlign w:val="bottom"/>
          </w:tcPr>
          <w:p>
            <w:pPr>
              <w:ind w:left="37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AxS</w:t>
            </w:r>
          </w:p>
        </w:tc>
        <w:tc>
          <w:tcPr>
            <w:tcW w:w="38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0" w:type="dxa"/>
            <w:vAlign w:val="bottom"/>
          </w:tcPr>
          <w:p>
            <w:pPr>
              <w:spacing w:after="0"/>
              <w:rPr>
                <w:sz w:val="24"/>
                <w:szCs w:val="24"/>
                <w:color w:val="auto"/>
              </w:rPr>
            </w:pP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January 31, 2026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21,976</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63,409</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January 25, 2025</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80" w:type="dxa"/>
            <w:vAlign w:val="bottom"/>
          </w:tcPr>
          <w:p>
            <w:pPr>
              <w:spacing w:after="0"/>
              <w:rPr>
                <w:sz w:val="20"/>
                <w:szCs w:val="20"/>
                <w:color w:val="auto"/>
              </w:rPr>
            </w:pPr>
          </w:p>
        </w:tc>
        <w:tc>
          <w:tcPr>
            <w:tcW w:w="3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w:t>
            </w:r>
          </w:p>
        </w:tc>
      </w:tr>
    </w:tbl>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On March 10, 2026, during the course of negotiations between the Company and the U.S. Government regarding the Company’s Other Transaction Agreement (the “Agreement”) for the delivery of BADGER phased array antenna systems to support the SCAR program, the U.S. Government informed the Company that it now intends to proceed with a termination for convenience of the Agreement, while providing the Company with the opportunity to compete for work under the SCAR program in the future. The Company intends to continue to invest in the BADGER product line by developing a commercial product to address the phased array antennae market.</w:t>
      </w:r>
    </w:p>
    <w:p>
      <w:pPr>
        <w:spacing w:after="0" w:line="197" w:lineRule="exact"/>
        <w:rPr>
          <w:sz w:val="20"/>
          <w:szCs w:val="20"/>
          <w:color w:val="auto"/>
        </w:rPr>
      </w:pPr>
    </w:p>
    <w:p>
      <w:pPr>
        <w:ind w:left="280" w:right="319" w:hanging="220"/>
        <w:spacing w:after="0" w:line="286" w:lineRule="auto"/>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 xml:space="preserve"> </w:t>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has been revised for the effects of the restatement as discussed in Note 1, Organization and Significant Accounting Policies, to the financial statements included elsewhere in this Quarterly Report on Form 10-Q/A.</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10-Q/A. This section and other parts of this Quarterly Report on Form 10-Q/A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2025, as updated by our subsequent filings under the Securities and Exchange Act of 1934, as amended (the “Exchange Act”).</w:t>
      </w:r>
    </w:p>
    <w:p>
      <w:pPr>
        <w:spacing w:after="0" w:line="164"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following should be read in conjunction with the critical accounting estimates presented in our Annual Report on Form 10-K for the fiscal year ended April 30, 2025.</w:t>
      </w:r>
    </w:p>
    <w:p>
      <w:pPr>
        <w:spacing w:after="0" w:line="16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and nine months ended January 31, 2026 and January 25, 2025,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ASU 2014-09, Revenue from Contracts with Customers (“ASC 606”).</w:t>
      </w:r>
    </w:p>
    <w:p>
      <w:pPr>
        <w:spacing w:after="0" w:line="192"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For the three months ended January 31, 2026 and January 25, 2025,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960" w:type="dxa"/>
            <w:vAlign w:val="bottom"/>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0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40" w:type="dxa"/>
            <w:vAlign w:val="bottom"/>
            <w:tcBorders>
              <w:top w:val="single" w:sz="8" w:color="auto"/>
            </w:tcBorders>
            <w:gridSpan w:val="2"/>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(unfavorable) favorable adjustments</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For the three months ended January 31, 2026, favorable cumulative catch-up adjustments of $12.5 million were primarily due to cost adjustments on 30 contracts. During the three months ended January 31, 2026, we revised our estimates of the total expected costs to complete an LMS contract and a Small UAS (“SUAS”) contract. The aggregate impact of these adjustments in contract estimates on revenue related to performance obligations satisfied or partially satisfied in previous periods was an increase to revenue of approximately $3.2 million. For the same period, unfavorable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cumulative catch-up adjustments of $8.0 million were primarily related to higher than expected costs on 24 contracts, which individually were not material.</w:t>
      </w:r>
    </w:p>
    <w:p>
      <w:pPr>
        <w:spacing w:after="0" w:line="162" w:lineRule="exact"/>
        <w:rPr>
          <w:sz w:val="20"/>
          <w:szCs w:val="20"/>
          <w:color w:val="auto"/>
        </w:rPr>
      </w:pPr>
    </w:p>
    <w:p>
      <w:pPr>
        <w:ind w:left="60" w:right="219"/>
        <w:spacing w:after="0" w:line="274" w:lineRule="auto"/>
        <w:rPr>
          <w:sz w:val="20"/>
          <w:szCs w:val="20"/>
          <w:color w:val="auto"/>
        </w:rPr>
      </w:pPr>
      <w:r>
        <w:rPr>
          <w:rFonts w:ascii="Times New Roman" w:cs="Times New Roman" w:eastAsia="Times New Roman" w:hAnsi="Times New Roman"/>
          <w:sz w:val="17"/>
          <w:szCs w:val="17"/>
          <w:color w:val="auto"/>
        </w:rPr>
        <w:t>For the three months ended January 25, 2025, favorable cumulative catch-up adjustments of $10.3 million were primarily due to cost adjustments on three contracts. During the three months ended January 25, 2025, the Company revised its estimates of the total expected costs to complete three LMS contracts. The aggregate impact of these adjustments in contract estimates on revenue related to performance obligations satisfied or partially satisfied in previous periods was an increase to revenue of approximately $9.6 million. For the same period, unfavorable cumulative catch-up adjustments of $1.2 million were primarily related to higher than expected costs on 23 contracts, which individually were not material.</w:t>
      </w:r>
    </w:p>
    <w:p>
      <w:pPr>
        <w:spacing w:after="0" w:line="173"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For the nine months ended January 31, 2026 and January 25, 2025,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960" w:type="dxa"/>
            <w:vAlign w:val="bottom"/>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0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40" w:type="dxa"/>
            <w:vAlign w:val="bottom"/>
            <w:tcBorders>
              <w:top w:val="single" w:sz="8" w:color="auto"/>
            </w:tcBorders>
            <w:gridSpan w:val="2"/>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favorable (unfavorable) adjustments</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For the nine months ended January 31, 2026, favorable cumulative catch-up adjustments of $3.3 million were primarily due to cost adjustments on 13 contracts, which individually were not material. For the same period, unfavorable cumulative catch-up adjustments of $12.8 million were primarily related to higher than expected costs on 31 contracts. During the nine months ended January 31, 2026, we revised our estimates of the total expected costs to complete an LMS contract. The impact of these adjustments in contract estimates on revenue related to performance obligations satisfied or partially satisfied in previous periods was a decrease to revenue of approximately $1.9 million. The remaining adjustments individually were not material.</w:t>
      </w:r>
    </w:p>
    <w:p>
      <w:pPr>
        <w:spacing w:after="0" w:line="18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For the nine months ended January 25, 2025, favorable cumulative catch-up adjustments of $11.6 million were primarily due to cost adjustments on four contracts. During the nine months ended January 25, 2025, we definitized certain LMS undefinitized contract actions. The aggregate impact of these cumulative catch-up revenue adjustments for the contract definitization was an increase to revenue of approximately $9.9 million. The remaining adjustments individually were not material. For the same period, unfavorable cumulative catch-up adjustments of $2.1 million were primarily related to higher than expected costs on 30 contracts, which individually were not material.</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our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from publicly traded companies in our industry and require us to make certain assumptions and estimates regarding industry economic factors and future profitability of our business.</w:t>
      </w:r>
    </w:p>
    <w:p>
      <w:pPr>
        <w:spacing w:after="0" w:line="16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In January 2026, a stop-work order was received on the Company’s Other Transaction Agreement for the delivery of BADGER phased array antenna systems to support Space Force’s SCAR program. We concluded that the stop-work order represented a trigger event that indicated the carrying value of the Space reporting unit exceeded its fair value. As a result, we updated our estimates of the long-term cash flows of the Space reporting unit to reflect the reduced revenue associated with the stop-work order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$241 million in the Space reporting unit. As of January 31, 2026, we have not identified any events or circumstances, other than those identified for the Space reporting unit, that could trigger an impairment review prior to our annual impairment test during the fourth quarter of fiscal year 2026, including taking into account the reporting units identified from the BlueHalo acquisition on May 1, 2025. Due to the trigger event, we also performed a recoverability test on the long-lived assets, inclusive of the intangibles, of the Space reporting unit for impairment in accordance with ASC 360. The undiscounted cash flows exceeded the carrying value and no impairment was recorded.</w:t>
      </w:r>
    </w:p>
    <w:p>
      <w:pPr>
        <w:spacing w:after="0" w:line="187" w:lineRule="exact"/>
        <w:rPr>
          <w:sz w:val="20"/>
          <w:szCs w:val="20"/>
          <w:color w:val="auto"/>
        </w:rPr>
      </w:pPr>
    </w:p>
    <w:p>
      <w:pPr>
        <w:ind w:left="60" w:right="159"/>
        <w:spacing w:after="0" w:line="271" w:lineRule="auto"/>
        <w:rPr>
          <w:sz w:val="20"/>
          <w:szCs w:val="20"/>
          <w:color w:val="auto"/>
        </w:rPr>
      </w:pPr>
      <w:r>
        <w:rPr>
          <w:rFonts w:ascii="Times New Roman" w:cs="Times New Roman" w:eastAsia="Times New Roman" w:hAnsi="Times New Roman"/>
          <w:sz w:val="17"/>
          <w:szCs w:val="17"/>
          <w:color w:val="auto"/>
        </w:rPr>
        <w:t>As part of our annual goodwill impairment and identifiable asset test during the fiscal quarter ended April 30, 2025, we determined the carrying value of the Uncrewed Ground Vehicles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These changes in estimates resulted in the recognition of a goodwill impairment charge of $18.4 million during the three months ended April 30, 2025 in the UGV reporting unit. We determined that it was more likely than not that the fair values of our other reporting units were more than their carrying values as of the annual goodwill impairment test date. As such, during the most recent annual impairment test during the fourth quarter of fiscal year 2025, the estimated fair value of all reporting units, other than UGV, substantially exceeded their carrying value.</w:t>
      </w:r>
    </w:p>
    <w:p>
      <w:pPr>
        <w:spacing w:after="0" w:line="17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Due to our fixed year end date of April 30, our first and fourth quarters each consist of approximately 13 weeks. The second and third quarters each consist of exactly 13 weeks. Our first three quarters end on a Saturday. Our 2026 fiscal year ends on April 30, 2026 and our fiscal quarters end on August 2, 2025, November 1, 2025 and January 31, 2026,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2026 Compared to Three Months Ended January 25, 2025</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080" w:type="dxa"/>
            <w:vAlign w:val="bottom"/>
            <w:gridSpan w:val="10"/>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6"/>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40" w:type="dxa"/>
            <w:vAlign w:val="bottom"/>
            <w:tcBorders>
              <w:top w:val="single" w:sz="8" w:color="auto"/>
            </w:tcBorders>
            <w:gridSpan w:val="2"/>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408,045</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309,251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104,437</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99,414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(268,440)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w w:val="92"/>
              </w:rPr>
              <w:t>(400)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(265,144)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(21,616)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 loss, net of tax</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(295)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(243,823)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4760" w:type="dxa"/>
            <w:vAlign w:val="bottom"/>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gridSpan w:val="1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January 31,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AxS</w:t>
            </w:r>
          </w:p>
        </w:tc>
        <w:tc>
          <w:tcPr>
            <w:tcW w:w="20" w:type="dxa"/>
            <w:vAlign w:val="bottom"/>
          </w:tcPr>
          <w:p>
            <w:pPr>
              <w:spacing w:after="0"/>
              <w:rPr>
                <w:sz w:val="15"/>
                <w:szCs w:val="15"/>
                <w:color w:val="auto"/>
              </w:rPr>
            </w:pPr>
          </w:p>
        </w:tc>
        <w:tc>
          <w:tcPr>
            <w:tcW w:w="460" w:type="dxa"/>
            <w:vAlign w:val="bottom"/>
            <w:gridSpan w:val="3"/>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SCDE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278,744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46,167</w:t>
            </w:r>
          </w:p>
        </w:tc>
        <w:tc>
          <w:tcPr>
            <w:tcW w:w="48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76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gridSpan w:val="1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January 25,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AxS</w:t>
            </w:r>
          </w:p>
        </w:tc>
        <w:tc>
          <w:tcPr>
            <w:tcW w:w="20" w:type="dxa"/>
            <w:vAlign w:val="bottom"/>
          </w:tcPr>
          <w:p>
            <w:pPr>
              <w:spacing w:after="0"/>
              <w:rPr>
                <w:sz w:val="15"/>
                <w:szCs w:val="15"/>
                <w:color w:val="auto"/>
              </w:rPr>
            </w:pPr>
          </w:p>
        </w:tc>
        <w:tc>
          <w:tcPr>
            <w:tcW w:w="460" w:type="dxa"/>
            <w:vAlign w:val="bottom"/>
            <w:gridSpan w:val="3"/>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SCDE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167,636</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48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January 31, 2026 was $408.0 million, as compared to $167.6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January 25, 2025, representing an increase of $240.4 million, or 143%. The increase in revenue was due to an increase in product revenue of $138.1 million and an increase in service revenue of $102.3 million. The increase in product revenue was primarily due to the $85.1 million of product revenue resulting from our acquisition of BlueHalo in May 2025. Legacy AV product revenue included in the AxS segment increased by $53.0 million driven by an increase in LMS, MacCready Works, SUAS, medium uncrewed aircraft systems (“MUAS”) and uncrewed ground vehicles (“UGV”) products due to increase in domestic and international demand. The increase in service revenue was primarily due to the $91.4 million service revenue resulting from our acquisition of BlueHalo. Legacy AV service revenue increased by $10.9 million driven by customer funded R&amp;D and engineering services increase of $10.2 million driven by an increase in SUAS customer funded R&amp;D awards. Proportion of service revenue to product revenue is expected to remain higher following the acquisition of BlueHalo.</w:t>
      </w:r>
    </w:p>
    <w:p>
      <w:pPr>
        <w:spacing w:after="0" w:line="18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January 31, 2026 was $309.3 million, as compared to $104.4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January 25, 2025, representing an increase of $204.9 million, or 196%. The increase in cost of sales was a result of an increase in product cost of sales of $119.0 million and an increase in service costs of sales of $85.9 million. The increase in product costs of sales was primarily due to an increase of approximately $63.1 million associated with the recently acquired BlueHalo product lines and an increase of approximately $9.4 million in intangible amortization primarily related to the BlueHalo acquisition. For legacy AV business, product cost of sales increased $46.5 million. The increase in legacy product costs of sales was primarily due to an increase of approximately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$30 million due to the increase in sales volume and approximately $17 million due to mix shift to a higher proportion of lower margin products driven by the increase in Switchblade production. The increase in service cost of sales was primarily due to an increase of approximately $87.2 million associated with the BlueHalo acquisition, partially offset by a decrease in legacy AV service cost of sales of $1.9 million primarily due to a mix shift of approximately $11 million due to a higher proportion of higher margin services driven by an increase in customer funded R&amp;D, partially offset by an increase of approximately $9 million due to the increase in service revenue. Cost of sales for the three months ended January 31, 2026 included $12.7 million of intangible amortization and other related non-cash purchase accounting expenses as compared to $3.7 million for the three months ended January 25, 2025. As a percentage of revenue, cost of sales increased from 62% to 76% primarily due to increased amortization and other non-cash purchase accounting expenses and an increase in the proportion of service revenue resulting from the effect of the BlueHalo acquisition, resulting in gross margin decreasing from 38% to 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60" w:right="2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three months ended January 31, 2026 was $99.4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 of revenue, as compared to SG&amp;A expense of $43.8 million, or 26% of revenue, for the three months ended January 25, 2025. The increase in SG&amp;A expense was primarily due to an increase of $30.1 million of intangible amortization expense related to the BlueHalo acquisition and an increase of approximately $7 million of employee related expenses related to the increase in headcount.</w:t>
      </w:r>
    </w:p>
    <w:p>
      <w:pPr>
        <w:spacing w:after="0" w:line="179"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January 31, 2026 was $27.1 million, or 7%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$22.5 million, or 13% of revenue, for the three months ended January 25, 2025. The increase was primarily related to the BlueHalo acquisition. R&amp;D expense is expected to continue to be 7% to 8% of revenue.</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Impairment of Goodwill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Impairment of goodwill for the three months ended January 31, 2026 was $240.7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2026, a stop-work order was received on the Company’s Other Transaction Agreement for the delivery of BADGER phased array antenna systems to support Space Force’s SCAR program. The Company concluded that the stop-work order represented a trigger event that indicated the carrying value of the Space reporting unit exceeded its fair value. As a result, we updated our estimates of the long-term cash flows of the Space reporting unit to reflect the reduced revenue associated with the stop-work order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$241 million in the Space reporting unit.</w:t>
      </w:r>
    </w:p>
    <w:p>
      <w:pPr>
        <w:spacing w:after="0" w:line="188"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(Expense), net. </w:t>
      </w:r>
      <w:r>
        <w:rPr>
          <w:rFonts w:ascii="Times New Roman" w:cs="Times New Roman" w:eastAsia="Times New Roman" w:hAnsi="Times New Roman"/>
          <w:sz w:val="18"/>
          <w:szCs w:val="18"/>
          <w:color w:val="auto"/>
        </w:rPr>
        <w:t>Interest income, net for the three months ended January 31, 2026 was $3.7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interest expense, net of $0.2 million for the three months ended January 25, 2025 due to a combination of higher cash and investment balances and lower interest bearing debt balances.</w:t>
      </w:r>
    </w:p>
    <w:p>
      <w:pPr>
        <w:spacing w:after="0" w:line="171"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net. </w:t>
      </w:r>
      <w:r>
        <w:rPr>
          <w:rFonts w:ascii="Times New Roman" w:cs="Times New Roman" w:eastAsia="Times New Roman" w:hAnsi="Times New Roman"/>
          <w:sz w:val="18"/>
          <w:szCs w:val="18"/>
          <w:color w:val="auto"/>
        </w:rPr>
        <w:t>Other expense, net, for the three months ended January 31, 2026 was $0.4 million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other income, net of $1.0 million for the three months ended January 25, 2025. The increase in other expense, net was driven by unrealized losses in equity security investments.</w:t>
      </w:r>
    </w:p>
    <w:p>
      <w:pPr>
        <w:spacing w:after="0" w:line="171" w:lineRule="exact"/>
        <w:rPr>
          <w:sz w:val="20"/>
          <w:szCs w:val="20"/>
          <w:color w:val="auto"/>
        </w:rPr>
      </w:pPr>
    </w:p>
    <w:p>
      <w:pPr>
        <w:ind w:left="60" w:right="3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Income Taxes. </w:t>
      </w:r>
      <w:r>
        <w:rPr>
          <w:rFonts w:ascii="Times New Roman" w:cs="Times New Roman" w:eastAsia="Times New Roman" w:hAnsi="Times New Roman"/>
          <w:sz w:val="18"/>
          <w:szCs w:val="18"/>
          <w:color w:val="auto"/>
        </w:rPr>
        <w:t>Our effective income tax rate was (8.2)% for the three months ended January 31, 2026,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(25.6)% for the three months ended January 25, 2025. The change in our effective income tax rate was primarily attributable to FDII, federal R&amp;D credits and non-deductible goodwill impairment loss for the quarter. The effective income tax rate for the three months ended January 31, 2026, was primarily attributable to non-deductible goodwill impairment loss</w:t>
      </w:r>
    </w:p>
    <w:p>
      <w:pPr>
        <w:spacing w:after="0" w:line="179"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Loss, net of Tax. </w:t>
      </w:r>
      <w:r>
        <w:rPr>
          <w:rFonts w:ascii="Times New Roman" w:cs="Times New Roman" w:eastAsia="Times New Roman" w:hAnsi="Times New Roman"/>
          <w:sz w:val="18"/>
          <w:szCs w:val="18"/>
          <w:color w:val="auto"/>
        </w:rPr>
        <w:t>Equity method investment loss, net of tax for the three months ended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2026 was $0.3 million as compared $0 for the three months ended January 25,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Autonomous Systems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7"/>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9"/>
                <w:szCs w:val="19"/>
                <w:color w:val="auto"/>
              </w:rPr>
            </w:pP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January 25,</w:t>
            </w:r>
          </w:p>
        </w:tc>
      </w:tr>
      <w:tr>
        <w:trPr>
          <w:trHeight w:val="199"/>
        </w:trPr>
        <w:tc>
          <w:tcPr>
            <w:tcW w:w="5860" w:type="dxa"/>
            <w:vAlign w:val="bottom"/>
            <w:tcBorders>
              <w:bottom w:val="single" w:sz="8" w:color="CCEEFF"/>
            </w:tcBorders>
          </w:tcPr>
          <w:p>
            <w:pPr>
              <w:ind w:left="56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278,744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167,636</w:t>
            </w: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w:t>
            </w:r>
          </w:p>
        </w:tc>
      </w:tr>
    </w:tbl>
    <w:p>
      <w:pPr>
        <w:spacing w:after="0" w:line="194"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January 31, 2026 was $278.7 million, as compared to $167.6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January 25, 2025, representing an increase of $111.1 million, or 66%. The increase in revenue was due to an increase in product revenue of $83.0 million and an increase in service revenue of $28.1 million. The increase in product revenue was primarily due to the $30.0 million of product revenue resulting from our acquisition of BlueHalo in May 2025. Legacy AV product revenue included in the AxS segment increased by $53.0 million driven by an increase in LMS, MacCready Works, SUAS, MUAS and UGV products due to increase in domestic and international demand. The increase in service revenue was primarily due to the $17.2 million service revenue resulting from our acquisition of BlueHalo. Legacy AV service revenue increased by $11.0 million driven by customer funded R&amp;D and engineering services increase of $10.2 million driven by an increase in SUAS customer funded R&amp;D awards. Proportion of service revenue to product revenue is expected to remain higher following the acquisition of BlueHalo.</w:t>
      </w:r>
    </w:p>
    <w:p>
      <w:pPr>
        <w:spacing w:after="0" w:line="185"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AxS Segment Adjusted EBITDA. </w:t>
      </w:r>
      <w:r>
        <w:rPr>
          <w:rFonts w:ascii="Times New Roman" w:cs="Times New Roman" w:eastAsia="Times New Roman" w:hAnsi="Times New Roman"/>
          <w:sz w:val="18"/>
          <w:szCs w:val="18"/>
          <w:color w:val="auto"/>
        </w:rPr>
        <w:t>AxS segment adjusted EBITDA for the three months January 31, 2026 was $46.2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$21.8 million for the three months ended January 25, 2025, representing an increase of $24.4 million, or 112%. The increase in AxS segment adjusted EBITDA was primarily due to an increase in revenue of $111.1 million. The increase in revenue was partially offset by an increase in adjusted cost of sales of $79.8 million, adjusted SG&amp;A of $6.2 million and R&amp;D of $1.6 million. The increase in adjusted cost of sales was primarily due to an increase of approximately $37 million associated with the recently acquired BlueHalo product lines, an increase of approximately $38 million due to the increase in sales volume and approximately $7 million due to mix shift to a higher proportion of lower margin products driven by the increase in Switchblade production.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Space, Cyber and Directed Energy</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7"/>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9"/>
                <w:szCs w:val="19"/>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January 25,</w:t>
            </w:r>
          </w:p>
        </w:tc>
      </w:tr>
      <w:tr>
        <w:trPr>
          <w:trHeight w:val="199"/>
        </w:trPr>
        <w:tc>
          <w:tcPr>
            <w:tcW w:w="5860" w:type="dxa"/>
            <w:vAlign w:val="bottom"/>
            <w:tcBorders>
              <w:bottom w:val="single" w:sz="8" w:color="CCEEFF"/>
            </w:tcBorders>
          </w:tcPr>
          <w:p>
            <w:pPr>
              <w:ind w:left="56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SCDE revenue for the three months ended January 31, 2026 was $129.3 million, as compared to $0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January 25, 2025. The SCDE segment consists of business units obtained in the BlueHalo acquisition on May 1, 2025, and the increase in revenue is a result of the acquisition.</w:t>
      </w:r>
    </w:p>
    <w:p>
      <w:pPr>
        <w:spacing w:after="0" w:line="171" w:lineRule="exact"/>
        <w:rPr>
          <w:sz w:val="20"/>
          <w:szCs w:val="20"/>
          <w:color w:val="auto"/>
        </w:rPr>
      </w:pPr>
    </w:p>
    <w:p>
      <w:pPr>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SCDE Segment Adjusted EBITDA. </w:t>
      </w:r>
      <w:r>
        <w:rPr>
          <w:rFonts w:ascii="Times New Roman" w:cs="Times New Roman" w:eastAsia="Times New Roman" w:hAnsi="Times New Roman"/>
          <w:sz w:val="18"/>
          <w:szCs w:val="18"/>
          <w:color w:val="auto"/>
        </w:rPr>
        <w:t>SCDE segment adjusted EBITDA for the three months January 31, 2026 was $(1.7)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$0 for the three months ended January 25, 2025. The SCDE segment consists of business units obtained in the BlueHalo acquisition on May 1, 2025, and the increase in segment adjusted EBITDA is a result of the acquisition.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January 31, 2026 Compared to nine Months Ended January 25, 2025</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80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0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1,335,229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1,037,212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327,273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(367,936)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 income, net of tax</w:t>
            </w:r>
          </w:p>
        </w:tc>
        <w:tc>
          <w:tcPr>
            <w:tcW w:w="18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January 31, 2026</w:t>
            </w:r>
          </w:p>
        </w:tc>
        <w:tc>
          <w:tcPr>
            <w:tcW w:w="86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AxS</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SCDE</w:t>
            </w:r>
          </w:p>
        </w:tc>
        <w:tc>
          <w:tcPr>
            <w:tcW w:w="5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865,642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469,587</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1,335,229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(4,010)</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145,988</w:t>
            </w:r>
          </w:p>
        </w:tc>
        <w:tc>
          <w:tcPr>
            <w:tcW w:w="0" w:type="dxa"/>
            <w:vAlign w:val="bottom"/>
          </w:tcPr>
          <w:p>
            <w:pPr>
              <w:spacing w:after="0"/>
              <w:rPr>
                <w:sz w:val="1"/>
                <w:szCs w:val="1"/>
                <w:color w:val="auto"/>
              </w:rPr>
            </w:pPr>
          </w:p>
        </w:tc>
      </w:tr>
      <w:tr>
        <w:trPr>
          <w:trHeight w:val="353"/>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January 25, 2025</w:t>
            </w:r>
          </w:p>
        </w:tc>
        <w:tc>
          <w:tcPr>
            <w:tcW w:w="86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AxS</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SCDE</w:t>
            </w:r>
          </w:p>
        </w:tc>
        <w:tc>
          <w:tcPr>
            <w:tcW w:w="5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84,806</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nine months ended January 31, 2026 was $1,335.2 million, as compared to $545.6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January 25, 2025, representing an increase of $789.6 million, or 145%. The increase in revenue was due to an increase in product revenue of $465.9 million and an increase in service revenue of $323.7 million. The increase in product revenue was primarily due to the $343.3 million of product revenue resulting from our acquisition of BlueHalo in May 2025. Legacy AV product revenue included in the AxS segment increased by $122.6 million driven by an increase in LMS, MUAS, MacCready Works, and UGV products due to increase in domestic and international demand, partially offset by a decrease in SUAS due to a decrease in international sales. The increase in service revenue was primarily due to the $313.6 million service revenue resulting from our acquisition of BlueHalo. Legacy AV service revenue, included in the AxS segment, increased by $10.1 million driven by an increase in customer funded R&amp;D and engineering services of $11.7 million. Proportion of service revenue to product revenue is expected to remain higher following the acquisition of BlueHalo.</w:t>
      </w:r>
    </w:p>
    <w:p>
      <w:pPr>
        <w:spacing w:after="0" w:line="18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nine months ended January 31, 2026 was $1,037.2 million, as compared to $327.3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nine months ended January 25, 2025, representing an increase of $709.9 million, or 217%. The increase in cost of sales was a result of an increase in product cost of sales of $418.5 million and an increase in service costs of sales of $291.4 million. The increase in product costs of sales was primarily due to an increase of approximately $242.1 million associated with the recently acquired BlueHalo product lines and an increase of $60.7 million intangible amortization related to the BlueHalo acquisition. For legacy AV business, product cost of sales increased $115.7 million. The increase in legacy product costs of sales was primarily due to an increase of approximately $67 million due to the increase in sales volume and approximately $52 million due to mix shift to a higher proportion of lower margin products driven by the increase in Switchblade production. The increase in service cost of sales was primarily due to an increase of $290.1 million associated with the BlueHalo acquisition and an increase of $5.3 million intangible amortization related to the BlueHalo acquisition, partially offset by a decrease in legacy AV service cost of sales of $4.0 million primarily due to a mix shift of approximately $11 million due to a higher proportion of higher margin services driven by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customer funded R&amp;D, partially offset by an increase of approximately $7 million due to an increase in service volume. Cost of sales for the nine months ended January 31, 2026 included $74.3 million of intangible amortization and other related non-cash purchase accounting expenses as compared to $11.1 million for the nine months ended January 25, 2025. As a percentage of revenue, cost of sales increased from 60% to 78% primarily due to increased amortization and other non-cash purchase accounting expenses and an increase in the proportion of service revenue resulting from the effect of the BlueHalo acquisition, resulting in gross margin decreasing from 40% to 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nine months ended January 31, 2026 was $329.0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 of revenue, as compared to SG&amp;A expense of $115.5 million, or 21% of revenue, for the nine months ended January 25, 2025. The increase in SG&amp;A expense was primarily due to an increase of $94.2 million of intangible amortization expense primarily related to the BlueHalo acquisition, an increase of approximately $34 million of employee related expenses related to the increase in headcount, and an increase of $32.5 million of acquisition related expenses related to the BlueHalo acquisition.</w:t>
      </w:r>
    </w:p>
    <w:p>
      <w:pPr>
        <w:spacing w:after="0" w:line="182"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nine months ended January 31, 2026 was $96.2 million, or 7%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$75.8 million, or 14% of revenue, for the nine months ended January 25, 2025. The increase was primarily related to the BlueHalo acquisition. R&amp;D expense is expected to continue to be 7% to 8% of revenue.</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Impairment of Goodwill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Impairment of goodwill for the nine months ended January 31, 2026 was $240.7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2026, a stop-work order was received on the Company’s Other Transaction Agreement for the delivery of BADGER phased array antenna systems to support Space Force’s SCAR program. The Company concluded that the stop-work order represented a trigger event that indicated the carrying value of the Space reporting unit exceeded its fair value. As a result, we updated our estimates of the long-term cash flows of the Space reporting unit to reflect the reduced revenue associated with the stop-work order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$241 million in the Space reporting unit.</w:t>
      </w:r>
    </w:p>
    <w:p>
      <w:pPr>
        <w:spacing w:after="0" w:line="188"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nine months ended January 31, 2026 was $9.1 million compared to $1.2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nine months ended January 25, 2025. The increase was driven by the interest expense related to the Term Loan and Revolver Facility obtained on May 1, 2025 in conjunction with the BlueHalo acquisition and the unamortized debt issuance costs allocated to the Term Loan Facility of $6.7 million, which were expensed upon repayment of the Term Loan Facility in July 2025 using the proceeds from the Notes and common stock issuances in July 2025.</w:t>
      </w:r>
    </w:p>
    <w:p>
      <w:pPr>
        <w:spacing w:after="0" w:line="179"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for the nine months ended January 31, 2026 was $6.9 million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net of $0.8 million for the nine months ended January 25, 2025. The increase was primarily due to unrealized gains associated with the fair market value of our equity security investments.</w:t>
      </w:r>
    </w:p>
    <w:p>
      <w:pPr>
        <w:spacing w:after="0" w:line="171"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Provision for Income Taxes. </w:t>
      </w:r>
      <w:r>
        <w:rPr>
          <w:rFonts w:ascii="Times New Roman" w:cs="Times New Roman" w:eastAsia="Times New Roman" w:hAnsi="Times New Roman"/>
          <w:sz w:val="18"/>
          <w:szCs w:val="18"/>
          <w:color w:val="auto"/>
        </w:rPr>
        <w:t>Our effective income tax rate was (10.6)% for the nine months ended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2026, as compared to 2.5% for the nine months ended January 25, 2025. The change in our effective income tax rate was primarily attributable to FDII, federal R&amp;D credits and non-deductible goodwill impairment loss. The effective income tax rate for the nine months ended January 31, 2026, was primarily attributable to non-deductible goodwill impairment loss.</w:t>
      </w:r>
    </w:p>
    <w:p>
      <w:pPr>
        <w:spacing w:after="0" w:line="179"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Income, net of Tax. </w:t>
      </w:r>
      <w:r>
        <w:rPr>
          <w:rFonts w:ascii="Times New Roman" w:cs="Times New Roman" w:eastAsia="Times New Roman" w:hAnsi="Times New Roman"/>
          <w:sz w:val="18"/>
          <w:szCs w:val="18"/>
          <w:color w:val="auto"/>
        </w:rPr>
        <w:t>Equity method investment income, net of tax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31, 2026 was $2.7 million as compared $1.1 million for the nine months ended January 25, 2025.</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Autonomous Systems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55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865,642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149,998</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AxS revenue for the nine months ended January 31, 2026 was $865.6 million, as compared to $545.6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January 25, 2025, representing an increase of $320.0 million, or 59%. The increase in revenue was due to an increase in product and service revenues of $262.5 million and $57.5 million, respectively. The increase in product revenue was primarily due to the $139.8 million of product revenue resulting from our acquisition of BlueHalo. Legacy AV product revenue included in the AxS segment increased by $122.6 million driven by an increase in LMS, MUAS, MacCready Works, and UGV products due to increase in domestic and international demand, partially offset by a decrease in SUAS due to a decrease in international sales. The increase in service revenue was primarily due to the $47.4 million of service revenue resulting from our acquisition of BlueHalo. Legacy AV service revenue, included in the AxS segment, increased by $10.1 million driven by an increase in customer funded R&amp;D and engineering services of $11.7 million. Proportion of service revenue to product revenue is expected to remain higher following the acquisition of BlueHalo.</w:t>
      </w:r>
    </w:p>
    <w:p>
      <w:pPr>
        <w:spacing w:after="0" w:line="182"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AxS Segment Adjusted EBITDA. </w:t>
      </w:r>
      <w:r>
        <w:rPr>
          <w:rFonts w:ascii="Times New Roman" w:cs="Times New Roman" w:eastAsia="Times New Roman" w:hAnsi="Times New Roman"/>
          <w:sz w:val="18"/>
          <w:szCs w:val="18"/>
          <w:color w:val="auto"/>
        </w:rPr>
        <w:t>AxS segment adjusted EBITDA for the nine months January 31, 2026 was $150.0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$84.8 million for the nine months ended January 25, 2025, representing an increase of $65.2 million, or 77%. The increase in AxS segment adjusted EBITDA was primarily due to an increase in revenue of $320.0 million. The increase in revenue was partially offset by an increase in adjusted cost of sales of $223.1 million, adjusted SG&amp;A of $20.2 million primarily due employee related costs driven by the increased headcount, and R&amp;D of $10.2 million. The increase in adjusted cost of sales was primarily due to an increase of approximately $117.9 million associated with the recently acquired BlueHalo product lines, an increase of approximately $77 million due to the increase in sales volume and approximately $38 million due to mix shift to a higher proportion of lower margin products driven by the increase in Switchblade production.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Space, Cyber and Directed Energy</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7"/>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9"/>
                <w:szCs w:val="19"/>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January 25,</w:t>
            </w:r>
          </w:p>
        </w:tc>
      </w:tr>
      <w:tr>
        <w:trPr>
          <w:trHeight w:val="199"/>
        </w:trPr>
        <w:tc>
          <w:tcPr>
            <w:tcW w:w="5860" w:type="dxa"/>
            <w:vAlign w:val="bottom"/>
            <w:tcBorders>
              <w:bottom w:val="single" w:sz="8" w:color="CCEEFF"/>
            </w:tcBorders>
          </w:tcPr>
          <w:p>
            <w:pPr>
              <w:ind w:left="56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(4,010)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SCDE revenue for the nine months ended January 31, 2026 was $469.6 million, as compared to $0 for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January 25, 2025. The SCDE segment consists of business units obtained in the BlueHalo acquisition on May 1, 2025, and the increase in revenue is a result of the acquisition.</w:t>
      </w:r>
    </w:p>
    <w:p>
      <w:pPr>
        <w:spacing w:after="0" w:line="171" w:lineRule="exact"/>
        <w:rPr>
          <w:sz w:val="20"/>
          <w:szCs w:val="20"/>
          <w:color w:val="auto"/>
        </w:rPr>
      </w:pPr>
    </w:p>
    <w:p>
      <w:pPr>
        <w:ind w:left="6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SCDE Segment Adjusted EBITDA. </w:t>
      </w:r>
      <w:r>
        <w:rPr>
          <w:rFonts w:ascii="Times New Roman" w:cs="Times New Roman" w:eastAsia="Times New Roman" w:hAnsi="Times New Roman"/>
          <w:sz w:val="18"/>
          <w:szCs w:val="18"/>
          <w:color w:val="auto"/>
        </w:rPr>
        <w:t>SCDE segment adjusted EBITDA for the nine months January 31, 2026 was $(4.0)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$0 for the nine months ended January 25,2025. The SCDE segment consists of business units obtained in the BlueHalo acquisition on May 1, 2025, and the increase in segment adjusted EBITDA is a result of the acquisition.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Consistent with ASC 606, we define funded backlog as remaining performance obligations under firm orders for which funding is currently appropriated to us under a customer contract. As of January 31, 2026, our funded backlog was approximately $1,120.7 million, as compared to $726.6 million as of April 30, 2025.</w:t>
      </w:r>
    </w:p>
    <w:p>
      <w:pPr>
        <w:spacing w:after="0" w:line="176"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color w:val="auto"/>
        </w:rPr>
        <w:t>In addition to our funded backlog, we also had unfunded backlog of $2,968.8 million as of January 31, 2026. Unfunded backlog does not meet the definition of a performance obligation under ASC 606. We define unfunded backlog as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total remaining value of awarded Cost Plus and FFP contracts with incremental funding. Unfunded backlog does not obligate the customer to purchase goods or services. There can be no assurance that unfunded backlog will result in any orders in any particular period, or at all. Unfunded backlog includes a $1,493.2 million of unexercised options related to the SCAR program which are no longer expected to be awarded.</w:t>
      </w:r>
    </w:p>
    <w:p>
      <w:pPr>
        <w:spacing w:after="0" w:line="180"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Additionally, all U.S. government contracts included in backlog, whether or not they are funded, may be terminated at the convenience of the U.S. government.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October 4, 2024, we amended the Credit Agreement to increase the Revolving Facility to $200 million, and the Term Loan Facility was repaid in full and removed from the Credit Agreement. Borrowings under the Amended Credit Agreement may be used for working capital and other general corporate purposes, including acquisitions that meet certain parameters. In February 2025, we borrowed $15.0 million under the Revolving Facility. In May 2025, in connection with the consummation of the BlueHalo Acquisition, the Company entered into a Fourth Amendment to Credit Agreement with BofA NA, the administrative agent and the swingline lender, JPM, U.S. Bank, Citibank, BMO, Citizens and RBC. The Amended Credit Agreement provides for an aggregate $700.0 million term loan and an aggregate $350.0 million revolving credit facility. Upon effectiveness of the Amended Credit Agreement, we drew $225.0 million from the amended Revolving Facility and the full $700.0 million of the Term Loan Facility. The proceeds from the Term Loan Facility and the Revolving Facility were used to repay certain outstanding indebtedness of BlueHalo and to pay for certain related transaction costs. In June 2025, we drew an additional $10.0 million under the Revolving Facility.</w:t>
      </w:r>
    </w:p>
    <w:p>
      <w:pPr>
        <w:spacing w:after="0" w:line="1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July 2025, we issued 4,057,460 shares of common stock at a public offering price of $248.00 per share (the “Common Stock Offering”) and issued $747,500,000 aggregate principal amount of 0% convertible senior notes due 2030 (the “Notes Offering”). The aggregate net proceeds from the Common Stock Offering and the Notes Offering, after deducting underwriting discounts and debt and equity issuance costs, was approximately $1.70 billion. The Company used approximately $965.3 million of the net proceeds from the Common Stock Offering and the Notes Offering to repay indebtedness under the Term Loan Facility and outstanding borrowings under the Revolving Credit Facility, and the remainder is expected to be used for general corporate purposes, including to increase manufacturing capacity.</w:t>
      </w:r>
    </w:p>
    <w:p>
      <w:pPr>
        <w:spacing w:after="0" w:line="189" w:lineRule="exact"/>
        <w:rPr>
          <w:sz w:val="20"/>
          <w:szCs w:val="20"/>
          <w:color w:val="auto"/>
        </w:rPr>
      </w:pPr>
    </w:p>
    <w:p>
      <w:pPr>
        <w:jc w:val="both"/>
        <w:ind w:left="60" w:right="99"/>
        <w:spacing w:after="0" w:line="272" w:lineRule="auto"/>
        <w:rPr>
          <w:sz w:val="20"/>
          <w:szCs w:val="20"/>
          <w:color w:val="auto"/>
        </w:rPr>
      </w:pPr>
      <w:r>
        <w:rPr>
          <w:rFonts w:ascii="Times New Roman" w:cs="Times New Roman" w:eastAsia="Times New Roman" w:hAnsi="Times New Roman"/>
          <w:sz w:val="17"/>
          <w:szCs w:val="17"/>
          <w:color w:val="auto"/>
        </w:rPr>
        <w:t>Our ability to borrow under the Revolving Facility is reduced by outstanding letters of credit of $11.0 million as of January 31, 2026. As of January 31, 2026, approximately $339.0 million was available under the Revolving Facility. Refer to Note 9—Debt to our unaudited condensed consolidated financial statements in Part I, Item 1 of this Quarterly Report on Form</w:t>
      </w:r>
    </w:p>
    <w:p>
      <w:pPr>
        <w:spacing w:after="0" w:line="2"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10-Q/A for further details. In addition, Telerob has a line of credit of €7.0 million ($8.2 million) available for issuing letters of credit of which €2.2 million ($2.6 million) was outstanding as of January 31, 2026.</w:t>
      </w:r>
    </w:p>
    <w:p>
      <w:pPr>
        <w:spacing w:after="0" w:line="181"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anticipate funding our normal recurring trade payables, accrued expenses, ongoing R&amp;D costs and obligations under the Credit Facilities through our existing working capital and funds provided by operating activities including those provided by our acquisition.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and future obligations related to the acquisition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is party to receivables purchase agreement with Citibank, N.A., with an aggregate capacity of $100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January 31, 2026, no receivables have been sold, proceeds collected, or purchase discount fees incurred.</w:t>
      </w:r>
    </w:p>
    <w:p>
      <w:pPr>
        <w:spacing w:after="0" w:line="207" w:lineRule="exact"/>
        <w:rPr>
          <w:sz w:val="20"/>
          <w:szCs w:val="20"/>
          <w:color w:val="auto"/>
        </w:rPr>
      </w:pPr>
    </w:p>
    <w:p>
      <w:pPr>
        <w:ind w:left="60" w:right="559"/>
        <w:spacing w:after="0" w:line="281" w:lineRule="auto"/>
        <w:rPr>
          <w:sz w:val="20"/>
          <w:szCs w:val="20"/>
          <w:color w:val="auto"/>
        </w:rPr>
      </w:pPr>
      <w:r>
        <w:rPr>
          <w:rFonts w:ascii="Times New Roman" w:cs="Times New Roman" w:eastAsia="Times New Roman" w:hAnsi="Times New Roman"/>
          <w:sz w:val="17"/>
          <w:szCs w:val="17"/>
          <w:color w:val="auto"/>
        </w:rPr>
        <w:t>Our primary recurring liquidity needs are for financing working capital, investing in capital expenditures, supporting product development efforts, introducing new products and enhancing existing products, marketing acceptance and adoption of our products and services, and possible acquisitions of entities or strategic assets. Our future capital requirements, to a certain extent, are also subject to general conditions in or affecting the defense industry and are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the Amended Credit Agreement. In addition, we may also need to seek additional equity funding or debt financing if we become a party to any agreement or letter of intent for potential investments in, or acquisitions of, businesses, services or technologies.</w:t>
      </w:r>
    </w:p>
    <w:p>
      <w:pPr>
        <w:spacing w:after="0" w:line="18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 Plus and T&amp;M contracts, we typically bill our incurred costs and fees monthly as work progresses, and therefore working capital investment is minimal. On FFP contracts, we typically are paid as we deliver products, and working capital is needed to fund labor and expenses incurred during the lead time from contract award until contract deliveries begin. Certain contracts have negotiated progress payments, which facilitates billing and collection as work is completed.</w:t>
      </w:r>
    </w:p>
    <w:p>
      <w:pPr>
        <w:spacing w:after="0" w:line="183"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Due to the July 2025 reconciliation bill, commonly known as the One Big Beautiful Bill Act, which allows R&amp;D expenditures to be deducted, we expect our cash taxes paid for U.S. federal income taxes to be significantly reduced for the fiscal year ending April 30,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cash flow data for the nine months ended January 31, 2026 and January 25, 2025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vMerge w:val="continue"/>
          </w:tcPr>
          <w:p>
            <w:pPr>
              <w:spacing w:after="0"/>
              <w:rPr>
                <w:sz w:val="15"/>
                <w:szCs w:val="15"/>
                <w:color w:val="auto"/>
              </w:rPr>
            </w:pPr>
          </w:p>
        </w:tc>
        <w:tc>
          <w:tcPr>
            <w:tcW w:w="9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4"/>
          </w:tcPr>
          <w:p>
            <w:pPr>
              <w:jc w:val="right"/>
              <w:ind w:right="67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(1,224,921)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1,647,210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Operating Activities. </w:t>
      </w:r>
      <w:r>
        <w:rPr>
          <w:rFonts w:ascii="Times New Roman" w:cs="Times New Roman" w:eastAsia="Times New Roman" w:hAnsi="Times New Roman"/>
          <w:sz w:val="18"/>
          <w:szCs w:val="18"/>
          <w:color w:val="auto"/>
        </w:rPr>
        <w:t>Net cash used in operating activities for the nine months ended January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$172.9 million to $(173.9) million, as compared to $(1.1) million for the nine months ended January 25, 2025. The increase in net cash used in operating activities was primarily due to a decrease in cash as a result of changes in operating assets and liabilities of $260.3 million, largely related to increases in unbilled receivables and retentions due to year over year timing differences as well as increases in inventory to meet demand. The increase in cash used in operating activities was also driven by a decrease in net income of $355.3 million, partially offset by an increase in depreciation and amortization of $175.8 million, largely due to the intangibles and acquired property and equipment from the BlueHalo acquisition, and goodwill impairment of the Space reporting unit of $240.7 million.</w:t>
      </w:r>
    </w:p>
    <w:p>
      <w:pPr>
        <w:spacing w:after="0" w:line="185"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increased by $1,208.3 million to $(1,224.9)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nine months ended January 31, 2026, as compared to $16.6 million for the nine months ended January 25, 2025. The increase in net cash used in investing activities was primarily due to the cash consideration for the acquisition of BlueHalo, net of cash acquired of $844.6 million and the net purchase of available-for-sale securities of $313.7 million.</w:t>
      </w:r>
    </w:p>
    <w:p>
      <w:pPr>
        <w:spacing w:after="0" w:line="176" w:lineRule="exact"/>
        <w:rPr>
          <w:sz w:val="20"/>
          <w:szCs w:val="20"/>
          <w:color w:val="auto"/>
        </w:rPr>
      </w:pPr>
    </w:p>
    <w:p>
      <w:pPr>
        <w:ind w:left="60" w:right="1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Cash Provided by (Used in) Financing Activities. </w:t>
      </w:r>
      <w:r>
        <w:rPr>
          <w:rFonts w:ascii="Times New Roman" w:cs="Times New Roman" w:eastAsia="Times New Roman" w:hAnsi="Times New Roman"/>
          <w:sz w:val="17"/>
          <w:szCs w:val="17"/>
          <w:color w:val="auto"/>
        </w:rPr>
        <w:t>Net cash provided by financing activities increased by $1,655.6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$1,647.2 million for the nine months ended January 31, 2026, as compared to net cash used in financing activities of $8.4 million for the nine months ended January 25, 2025. The increase in net cash provided by financing activities was primarily due to proceeds from issuance of common shares of $968.5 million, net of underwriter costs and proceeds from the issuance of Notes of $726.9 million, net of underwriter costs. Part of the proceeds were used to repay the outstanding balances of the Term Loan Facility and Revolving Facility drawn in conjunction with the acquisition of BlueHalo.</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0" w:right="559"/>
        <w:spacing w:after="0" w:line="312" w:lineRule="auto"/>
        <w:rPr>
          <w:sz w:val="20"/>
          <w:szCs w:val="20"/>
          <w:color w:val="auto"/>
        </w:rPr>
      </w:pPr>
      <w:r>
        <w:rPr>
          <w:rFonts w:ascii="Times New Roman" w:cs="Times New Roman" w:eastAsia="Times New Roman" w:hAnsi="Times New Roman"/>
          <w:sz w:val="17"/>
          <w:szCs w:val="17"/>
          <w:color w:val="auto"/>
        </w:rPr>
        <w:t>Since the acquisition of BlueHalo, we have been working to integrate the computer systems of Legacy BlueHalo and Legacy AV, and we expect to have an integrated system that complies with the Department of Defense’s CMMC</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cybersecurity requirements by summer 2026. During the course of this integration effort, we became aware of potential issues concerning Legacy AV’s compliance with certain cybersecurity requirements. Accordingly, in February 2026, we initiated an internal investigation, led by external counsel, regarding Legacy AV’s compliance with cybersecurity requirements in certain Department of Defense contracts and subcontracts, to include an evaluation of the accuracy of Legacy AV’s cybersecurity information in the Supplier Performance Risk System (SPRS). We are committed to complying with all applicable cybersecurity requirements, and depending on the outcome of the evaluation, we will update SPRS as needed.</w:t>
      </w:r>
    </w:p>
    <w:p>
      <w:pPr>
        <w:spacing w:after="0" w:line="18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investigation is ongoing, and we cannot predict whether it will lead to any adverse impact, nor can we predict the timing, outcome, or nature of any possible impact. It is possible that, for a period of time, Legacy AV’s ability to receive certain new Department of Defense contracts, subcontracts, or follow-on work could be affected. Additionally, the U.S. Government or other customers could terminate Legacy AV’s existing contracts, cease doing business with Legacy AV, or impose additional requirements. We also could be subject to significant penalties, damages, criminal fines, and suspension or debarment from U.S. Government contracting. Any of these potential consequences could materially and adversely affect our business, prospects, financial condition,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jc w:val="both"/>
        <w:ind w:left="60" w:right="33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exposed to various market risk factors, including fluctuations in interest rates, changes in general economic conditions, domestic and foreign competition, and foreign currency exchange rates. For a discussion of market risks at April 30, 2025, refer to Item 7A in our 2025 annual report on Form 10-K. During the nine months ended January 26, 2026, there were no material changes or developments that would materially alter the market risk assessment performed as of April 30, 2025, except as discussed below.</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In July 2025, we issued $747.5 million of Notes. The Notes have a zero percent coupon rate. We used the proceeds from the Notes Offering as well as the Common Stock Offering to repay indebtedness under our Term Loan Facility and outstanding borrowings under the Revolving Facility. The Revolving Facility has no current outstanding balance.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January 31, 2026, the end of the period covered by this Quarterly Report on Form 10-Q/A.</w:t>
      </w:r>
    </w:p>
    <w:p>
      <w:pPr>
        <w:spacing w:after="0" w:line="166" w:lineRule="exact"/>
        <w:rPr>
          <w:sz w:val="20"/>
          <w:szCs w:val="20"/>
          <w:color w:val="auto"/>
        </w:rPr>
      </w:pPr>
    </w:p>
    <w:p>
      <w:pPr>
        <w:ind w:left="60" w:right="439"/>
        <w:spacing w:after="0" w:line="281" w:lineRule="auto"/>
        <w:rPr>
          <w:sz w:val="20"/>
          <w:szCs w:val="20"/>
          <w:color w:val="auto"/>
        </w:rPr>
      </w:pPr>
      <w:r>
        <w:rPr>
          <w:rFonts w:ascii="Times New Roman" w:cs="Times New Roman" w:eastAsia="Times New Roman" w:hAnsi="Times New Roman"/>
          <w:sz w:val="17"/>
          <w:szCs w:val="17"/>
          <w:color w:val="auto"/>
        </w:rPr>
        <w:t>In connection with the restatement of our unaudited condensed consolidated financial statements for the period ended January 31, 2026, our principal executive officer and principal financial officer have re-assessed their conclusion on disclosure controls and procedures, concluding that, due to the material weakness in our internal control over financial reporting as described below, our disclosure controls and procedures were not effective as of January 31, 2026.</w:t>
      </w:r>
    </w:p>
    <w:p>
      <w:pPr>
        <w:spacing w:after="0" w:line="164"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weaknesses described below in Material Weakness in Connection with the Restatement and Acquisition of BlueHalo, management has concluded that the financial statements included in this Quarterly Report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present fairly, in all material respects, our financial position, results of operations and cash flows in conformity with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GAAP.</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Connection with the Restatement</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determined that the error resulting in the restatement of our unaudited condensed consolidated financial statements for the quarter ended January 31, 2026 in this Form 10-Q/A originated from a newly identified material weakness. The material weakness relates to the design of controls over the preparation and review of our goodwill impairment analysis. Specifically, we did not have a properly designed control requiring preparation and review of a reconciliation of goodwill by reporting unit.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in Connection with the Restatement</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are in the process of, and continue to focus on, designing and implementing effective measures to strengthen our internal control over the reconciliation of goodwill by reporting unit and remediate the material weakness. Our planned remediation is to implement a control over the preparation and review of a quarterly reconciliation of goodwill by reporting unit.</w:t>
      </w:r>
    </w:p>
    <w:p>
      <w:pPr>
        <w:spacing w:after="0" w:line="18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the measure described above will remediate the material weakness identified and strengthen our internal control over financial reporting. However, remedial controls must operate for a sufficient period of time and management must determine, through testing, that the deficiencies have been remediated. Management can give no assurance that the planned measure will remediate the identified material weakness or that additional material weaknesses will not arise in the future. Management will continue to monitor the effectiveness of this and other processes, procedures, and controls and will make any further changes that management determines to be appropriate.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BlueHalo</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On May 1, 2025, we completed the acquisition of BlueHalo, a U.S. non-public reporting company. Prior to the acquisition, in connection with the preparation of its audited consolidated financial statements for the year ended December 31, 2024, BlueHalo identified three material weaknesses in its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First, BlueHalo did not design and maintain effective information technology (“IT”) general controls for information systems that are relevant to the preparation of its financial statements. Specifically, BlueHalo did not design and maintain: (i) program change management controls to ensure that program and data changes are identified, tested, authorized, and implemented appropriately; and (ii) user access controls to ensure appropriate segregation of duties and to adequately restrict user and privileged access to appropriate personnel. Second, BlueHalo did not design and maintain an effective control environment commensurate with our financial reporting requirements. Specifically, it did not maintain a sufficient complement of personnel with an appropriate degree of internal controls and accounting knowledge, experience, and training commensurate with its accounting and financial reporting requirements. The limited personnel resulted in an inability to consistently establish appropriate authorities and responsibilities in pursuit of financial reporting objectives, as demonstrated by, among other things, insufficient segregation of duties in the finance and accounting functions. Third, BlueHalo did not design and maintain effective monitoring activities of the design and operation of controls on a timely basis, or take necessary corrective action to ensure that controls continue to operate effectively and are modified for changes in conditions as appropriate.</w:t>
      </w:r>
    </w:p>
    <w:p>
      <w:pPr>
        <w:spacing w:after="0" w:line="192" w:lineRule="exact"/>
        <w:rPr>
          <w:sz w:val="20"/>
          <w:szCs w:val="20"/>
          <w:color w:val="auto"/>
        </w:rPr>
      </w:pPr>
    </w:p>
    <w:p>
      <w:pPr>
        <w:ind w:left="60" w:right="579"/>
        <w:spacing w:after="0" w:line="266" w:lineRule="auto"/>
        <w:rPr>
          <w:sz w:val="20"/>
          <w:szCs w:val="20"/>
          <w:color w:val="auto"/>
        </w:rPr>
      </w:pPr>
      <w:r>
        <w:rPr>
          <w:rFonts w:ascii="Times New Roman" w:cs="Times New Roman" w:eastAsia="Times New Roman" w:hAnsi="Times New Roman"/>
          <w:sz w:val="18"/>
          <w:szCs w:val="18"/>
          <w:color w:val="auto"/>
        </w:rPr>
        <w:t>Management’s remediation efforts are ongoing, and management has committed to a remediation plan to address the deficiencies and enhance the internal control environment. The remediation plan includes, but is not limited to the following activities which have been performed or are in process:</w:t>
      </w:r>
    </w:p>
    <w:p>
      <w:pPr>
        <w:spacing w:after="0" w:line="176" w:lineRule="exact"/>
        <w:rPr>
          <w:sz w:val="20"/>
          <w:szCs w:val="20"/>
          <w:color w:val="auto"/>
        </w:rPr>
      </w:pPr>
    </w:p>
    <w:p>
      <w:pPr>
        <w:ind w:left="720" w:right="4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restricted administrator-level access to financial systems, ensuring that elevated privileges are granted only to authorized personnel with a documented business need;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9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periodic user access reviews to verify appropriateness of access rights and to promptly remove access for terminated or transferred employees;</w:t>
      </w:r>
    </w:p>
    <w:p>
      <w:pPr>
        <w:ind w:left="720" w:right="15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management review of audit logs relating to critical data and processes, such as vendor master file changes, user role modifications, and rate changes;</w:t>
      </w:r>
    </w:p>
    <w:p>
      <w:pPr>
        <w:ind w:left="720" w:right="639" w:hanging="319"/>
        <w:spacing w:after="0" w:line="265" w:lineRule="auto"/>
        <w:tabs>
          <w:tab w:leader="none" w:pos="7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authentication controls by utilizing Okta and Single Sign-On (SSO) to centralize authentication, strengthen password and multi-factor authentication controls, and improve monitoring of user activity;</w:t>
      </w:r>
    </w:p>
    <w:p>
      <w:pPr>
        <w:ind w:left="720" w:right="101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processes utilizing the ticketing system to document, approve, and track system changes, configuration updates, and data modifications;</w:t>
      </w:r>
    </w:p>
    <w:p>
      <w:pPr>
        <w:ind w:left="720" w:right="101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systems for integration with enterprise-wide monitoring tools, enabling real-time alerts for unauthorized access or unusual activity;</w:t>
      </w:r>
    </w:p>
    <w:p>
      <w:pPr>
        <w:ind w:left="720" w:right="45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segregation of duties reviews within key business cycles to ensure that no single individual has control over all aspects of a financial transaction;</w:t>
      </w:r>
    </w:p>
    <w:p>
      <w:pPr>
        <w:ind w:left="720" w:right="33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targeted training to personnel on internal control requirements, documentation standards, and change management protocols;</w:t>
      </w:r>
    </w:p>
    <w:p>
      <w:pPr>
        <w:ind w:left="720" w:right="259" w:hanging="319"/>
        <w:spacing w:after="0" w:line="26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internal skill sets and are actively recruiting experienced personnel with expertise in internal controls and accounting;</w:t>
      </w:r>
    </w:p>
    <w:p>
      <w:pPr>
        <w:spacing w:after="0" w:line="181"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However, remedial controls must operate for a sufficient period of time and management must determine, through testing, that the deficiencies have been remediated. Management can give no assurance that the measures it has undertaken have remediated the material weaknesses that it has identified or that additional material weaknesses will not arise in the future. Management will continue to monitor the effectiveness of these and other processes, procedures, and controls and will make any further changes that management determines to be appropriate.</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Other than the identification of the material weakness described above, there were no changes in our internal control over financial reporting or in other factors identified in connection with the evaluation required by paragraph (d) of Rules 13a-15 or 15d-15 under the Exchange Act that occurred during the quarter ended January 31, 2026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w:t>
      </w:r>
    </w:p>
    <w:p>
      <w:pPr>
        <w:spacing w:after="0" w:line="170"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On March 29, 2024, a former employee filed a complaint against AeroVironment in the Ventura County Superior Court in California, alleging violations of the California Labor Code related to wages, meal breaks, overtime, unreimbursed business expenses and other recordkeeping matters and seeking penalties recoverable under California Labor Code section 2698, et. seq., Private Attorney General Act of 2004 (“PAGA”) and all other remedies available under PAGA. The complaint seeks civil penalties on behalf of the plaintiff and similarly situations persons pursuant to PAGA. We filed our answer on June 20, 2024.</w:t>
      </w:r>
    </w:p>
    <w:p>
      <w:pPr>
        <w:spacing w:after="0" w:line="174"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June 11, 2025, the parties reached an agreement in principle to settle all claims in the class action complaint and PAGA complaint pursuant to a mediator’s proposal made on such a date by the mediator from a May 8, 2025 mediation session held for the class action litigation. A court must approve the terms of the settlement before we will pay any amounts pursuant to the settlement. The parties executed a non-binding memorandum of understanding outlining the materials terms of a proposed settlement agreement and are working on a written settlement agreement consistent with the memorandum of understanding to present to the court for approval. The estimated settlement was accrued in our consolidated statements of income(loss) for the year ended April 30, 2025.</w:t>
      </w:r>
    </w:p>
    <w:p>
      <w:pPr>
        <w:spacing w:after="0" w:line="175" w:lineRule="exact"/>
        <w:rPr>
          <w:sz w:val="20"/>
          <w:szCs w:val="20"/>
          <w:color w:val="auto"/>
        </w:rPr>
      </w:pPr>
    </w:p>
    <w:p>
      <w:pPr>
        <w:jc w:val="both"/>
        <w:ind w:left="60" w:right="139"/>
        <w:spacing w:after="0" w:line="289" w:lineRule="auto"/>
        <w:rPr>
          <w:sz w:val="20"/>
          <w:szCs w:val="20"/>
          <w:color w:val="auto"/>
        </w:rPr>
      </w:pPr>
      <w:r>
        <w:rPr>
          <w:rFonts w:ascii="Times New Roman" w:cs="Times New Roman" w:eastAsia="Times New Roman" w:hAnsi="Times New Roman"/>
          <w:sz w:val="17"/>
          <w:szCs w:val="17"/>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disclosed under Part I, Item 1A, “Risk Factors,” of our Annual Report on Form 10-K for the fiscal year ended April 30, 2025. Please refer to that section for disclosures regarding the risks and uncertainties related to our business.</w:t>
      </w:r>
    </w:p>
    <w:p>
      <w:pPr>
        <w:spacing w:after="0" w:line="64"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identified a material weakness in our internal control over financial reporting, and if we are unable to remediate this material weakness, or if we experience additional material weaknesses or other deficiencies in the future or otherwise fail to maintain an effective system of internal control, we may not be able to accurately and timely report our financial results.</w:t>
      </w:r>
    </w:p>
    <w:p>
      <w:pPr>
        <w:spacing w:after="0" w:line="16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consolidated financial statements may not be prevented or detected on a timely basis. In connection with the preparation of the Company’s consolidated financial statements as of and for the year ended April 30, 2026, the Company identified an error in the calculation of the carrying value used in the goodwill impairment analysis for the Space reporting unit. The Company determined that this error originated from a newly identified material weakness related to the preparation and review of the goodwill impairment analysis.</w:t>
      </w:r>
    </w:p>
    <w:p>
      <w:pPr>
        <w:spacing w:after="0" w:line="175"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7"/>
          <w:szCs w:val="17"/>
          <w:color w:val="auto"/>
        </w:rPr>
        <w:t>Remediation efforts place a significant burden on management and add increased pressure to our financial resources and processes. As a result, we may not be successful in making the improvements necessary to remediate the material weakness identified by management, be able to do so in a timely manner, or be able to identify and remediate additional control deficiencies, including material weaknesses, in the future. Additionally, completion of remediation does not provide assurance that our remediation or other controls will continue to operate properly or remain adequate and we cannot assure you that we will not identify additional material weaknesses in our internal control over financial reporting in the future.</w:t>
      </w:r>
    </w:p>
    <w:p>
      <w:pPr>
        <w:spacing w:after="0" w:line="5" w:lineRule="exact"/>
        <w:rPr>
          <w:sz w:val="20"/>
          <w:szCs w:val="20"/>
          <w:color w:val="auto"/>
        </w:rPr>
      </w:pPr>
    </w:p>
    <w:p>
      <w:pPr>
        <w:ind w:left="60" w:right="439"/>
        <w:spacing w:after="0" w:line="290" w:lineRule="auto"/>
        <w:rPr>
          <w:sz w:val="20"/>
          <w:szCs w:val="20"/>
          <w:color w:val="auto"/>
        </w:rPr>
      </w:pPr>
      <w:r>
        <w:rPr>
          <w:rFonts w:ascii="Times New Roman" w:cs="Times New Roman" w:eastAsia="Times New Roman" w:hAnsi="Times New Roman"/>
          <w:sz w:val="17"/>
          <w:szCs w:val="17"/>
          <w:color w:val="auto"/>
        </w:rPr>
        <w:t>If we are unable to successfully remediate our existing material weakness or any future material weaknesses or other deficiencies in our internal control over financial reporting or disclosure controls and procedures, our ability to record,</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process and report financial information accurately, and to prepare financial statements within the time periods specified by the rules and forms of the SEC, could be adversely affected. This failure could negatively affect the market price and trading liquidity of our common stock, cause investors to lose confidence in our reported financial information, subject us to civil and criminal investigations and penalties and generally materially and adversely impact our business and financial condition.</w:t>
      </w:r>
    </w:p>
    <w:p>
      <w:pPr>
        <w:spacing w:after="0" w:line="179"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federal, state and international laws and regulations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spacing w:after="0" w:line="7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our business, we receive, collect, process and retain certain sensitive and confidential customer information. As a result, we are subject to increasingly rigorous federal, state and international laws regarding privacy and data protection. Personal privacy, data protection and information security are significant issues in the United States and the other jurisdictions where we offer our products and services. The regulatory framework for privacy and security issues worldwide is rapidly evolving and is likely to remain uncertain for the foreseeable future. Our handling of data is subject to a variety of laws and regulations, including regulation by various government agencies, including the United States Federal Trade Commission (“FTC”) and various state, local and foreign bodies and agencies. We also execute confidentiality agreements with various parties under which we are required to protect their confidential information.</w:t>
      </w:r>
    </w:p>
    <w:p>
      <w:pPr>
        <w:spacing w:after="0" w:line="19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United States federal and various state and foreign governments have adopted or proposed limitations on the collection, distribution, use and storage of personal information of individuals, including end-customers and employees. In the United States, the FTC and many state attorneys general are applying federal and state consumer protection laws to the online collection, use and dissemination of data. Additionally, many foreign countries and governmental bodies, and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and, in some cases, obtain individuals’ consent to use personal information for certain purposes.</w:t>
      </w:r>
    </w:p>
    <w:p>
      <w:pPr>
        <w:spacing w:after="0" w:line="194"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the European Union and other jurisdictions, and we cannot yet determine the impact of such future laws, regulations and standards may have on our business. For example, the California Consumer Privacy Act, which became effective in 2020, provides certain data privacy rights for consumers and employees and new operational requirements for companies. Additionally, we expect that existing laws, regulations and standards may be interpreted differently in the future. There remains significant uncertainty surrounding the regulatory framework for the future of personal data transfers from the European Union to the United States with regulations such as the General Data Protection Regulation (“GDPR”), which imposes stringent E.U. data protection requirements, provides an enforcement authority, and imposes large penalties for noncompliance, including for the transfer of personal data between the company and our German subsidiary, Telerob. Future laws, regulations, standards and other obligations, including the adoption of the GDPR, as well as changes in the interpretation of existing laws, regulations, standards and other obligations could impair our ability to collect, use or disclose information relating to individuals, which could decrease demand for our products, require us to restrict our business operations, increase our costs and impair our ability to maintain and grow our customer base and increase our revenue.</w:t>
      </w:r>
    </w:p>
    <w:p>
      <w:pPr>
        <w:spacing w:after="0" w:line="197" w:lineRule="exact"/>
        <w:rPr>
          <w:sz w:val="20"/>
          <w:szCs w:val="20"/>
          <w:color w:val="auto"/>
        </w:rPr>
      </w:pPr>
    </w:p>
    <w:p>
      <w:pPr>
        <w:ind w:left="60" w:right="459"/>
        <w:spacing w:after="0" w:line="289" w:lineRule="auto"/>
        <w:rPr>
          <w:sz w:val="20"/>
          <w:szCs w:val="20"/>
          <w:color w:val="auto"/>
        </w:rPr>
      </w:pPr>
      <w:r>
        <w:rPr>
          <w:rFonts w:ascii="Times New Roman" w:cs="Times New Roman" w:eastAsia="Times New Roman" w:hAnsi="Times New Roman"/>
          <w:sz w:val="17"/>
          <w:szCs w:val="17"/>
          <w:color w:val="auto"/>
        </w:rPr>
        <w:t>Our business operations are subject to the evolving requirements of the U.S. DoD Cybersecurity Maturity Model Certification (“CMMC”) program. Our ongoing compliance with the CMMC framework is critical, and the associated costs of CMMC compliance are significant and may increase in the future, potentially affecting our operating results.</w:t>
      </w:r>
    </w:p>
    <w:p>
      <w:pPr>
        <w:spacing w:after="0" w:line="15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If we are unable to comply with the CMMC requirements, our ability to receive certain new Department of Defense contracts, subcontracts, or follow-on work could be affected. Additionally, non-compliance with requirements imposed on government contractors may result in the US Government or other customers terminating our existing contracts, ceasing to do business with us, or imposing additional requirements. We also could be subject to significant penalties, damages, criminal fines, and suspension or debarment from U.S. Government contracting. Any of these potential consequences could materially and adversely affect our business, prospects, financial condition, and results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operations. See “Management’s Discussion and Analysis of Financial Condition and Results of Operations – Recent Developments.”</w:t>
      </w:r>
    </w:p>
    <w:p>
      <w:pPr>
        <w:spacing w:after="0" w:line="16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Although we endeavor to comply with those federal, state and foreign laws and regulations, industry standards, contractual obligations and other legal obligations that apply to us, such laws, regulations, standards and obligations are evolving and may be modified, interpreted and applied in an inconsistent manner from one jurisdiction to another, and may conflict with one another, other requirements or legal obligations, our practices or the features of our products. As such, we cannot ensure ongoing compliance with all such laws or regulations, industry standards, contractual obligations and other legal obligations, and our efforts to do so may cause us to incur significant costs or require changes to our business practices, which could adversely affect our business and operating results.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 and operating results.</w:t>
      </w:r>
    </w:p>
    <w:p>
      <w:pPr>
        <w:spacing w:after="0" w:line="192"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indebtedness represented by our Notes could limit the cash flow available for our operations, expose us to risks that could adversely affect our business, financial condition and results of operations and impair our ability to satisfy our obligations under the Notes.</w:t>
      </w:r>
    </w:p>
    <w:p>
      <w:pPr>
        <w:spacing w:after="0" w:line="67"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As of January 31, 2026, we had total indebtedness of approximately $727 million consisting of aggregate principal of our Notes. We may incur additional indebtedness to meet future financing needs. The indebtedness represented by our Notes and obligations under the Indenture pursuant to which the Notes were issued could have significant negative consequences for our security holders and our business, results of operations and financial condition by, among other things:</w:t>
      </w:r>
    </w:p>
    <w:p>
      <w:pPr>
        <w:spacing w:after="0" w:line="164"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9" w:lineRule="exact"/>
        <w:rPr>
          <w:rFonts w:ascii="Times New Roman" w:cs="Times New Roman" w:eastAsia="Times New Roman" w:hAnsi="Times New Roman"/>
          <w:sz w:val="18"/>
          <w:szCs w:val="18"/>
          <w:color w:val="auto"/>
        </w:rPr>
      </w:pPr>
    </w:p>
    <w:p>
      <w:pPr>
        <w:ind w:left="720" w:right="41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9" w:lineRule="exact"/>
        <w:rPr>
          <w:rFonts w:ascii="Times New Roman" w:cs="Times New Roman" w:eastAsia="Times New Roman" w:hAnsi="Times New Roman"/>
          <w:sz w:val="18"/>
          <w:szCs w:val="18"/>
          <w:color w:val="auto"/>
        </w:rPr>
      </w:pPr>
    </w:p>
    <w:p>
      <w:pPr>
        <w:ind w:left="720" w:right="7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Notes; and</w:t>
      </w:r>
    </w:p>
    <w:p>
      <w:pPr>
        <w:ind w:left="720" w:right="259" w:hanging="319"/>
        <w:spacing w:after="0" w:line="26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73"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Notes, and our cash needs may increase in the future. In addition, the Indenture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 and the Notes.</w:t>
      </w:r>
    </w:p>
    <w:p>
      <w:pPr>
        <w:spacing w:after="0" w:line="15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may conduct future offerings of common stock, preferred stock or other securities that are convertible into, or exercisable or exchangeable for, our common stock to finance our operations or fund acquisitions, or for other purposes. In addition, we have shares reserved and available for issuance pursuant to our 2023 Employee Stock Purchase Plan and our Amended and Restated 2021 Equity Incentive Plan and issued 17,425,849 shares of common stock as consideration for the BlueHalo acquisition, substantially all of which are subject to a lock-up, or earlier if approved by us, but will be eligible for resale upon expiration of the applicable lock-up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Indenture for the Notes does not restrict our ability to issue additional equity securities in the future. If we issue additional shares of our common stock or rights to acquire shares of our common stock, if any of our existing stockholders sell a substantial amount of our common stock, or if the market perceives that such issuances or sales may occur, then the trading price of our common stock and, accordingly, the Notes may significantly decline. In addition, any issuance of additional shares of common stock will dilute the ownership interests of our existing common stockholders, including Noteholders who have received shares of our common stock upon conversion of their Notes.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of Notes could impair our financial position and liquidity.</w:t>
      </w:r>
    </w:p>
    <w:p>
      <w:pPr>
        <w:spacing w:after="0" w:line="12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Because we must settle at least a portion of our conversion obligation in cash, the conversion of Notes could materially and adversely affect our financial position and liquidity. Before April 15, 2030, Noteholders will have the right to convert their Notes only upon the occurrence of certain events. From and after April 15, 2030, Noteholders may convert their Notes at any time at their election until the close of business on the second scheduled trading day immediately before the maturity date. However, many of the conditions that permit the conversion of Notes before April 15, 2030 are beyond our control. We could be required to expend a significant amount of cash to settle conversions, which could significantly harm our financial position and liquidity.</w:t>
      </w:r>
    </w:p>
    <w:p>
      <w:pPr>
        <w:spacing w:after="0" w:line="18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U.S. and other government budgets, changes in spending or budgetary priorities, delays in contract awards or in the release of approved funds may significantly and adversely affect our future revenue.</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Because we generate a significant portion of our total sales from the U.S. government and its agencies and from foreign governments, our results of operations could be adversely affected by government spending caps, delays in the government budget process, program starts, the award of contracts or orders under existing contracts, or in the release of funds by the federal government. Delays in the definitization of a contract could result in delayed funding, billing and payment. Our business may be adversely impacted by shifts in the political environment and resulting changes in government and agency leadership positions and priorities for funding. We cannot assure you that current levels of congressional funding for our products and services will continue and that our business will not decline, or that such funding will be accessible consistent with previously realized timelines due to federal budgetary review activities and potential freezes on or cancellation of various governmental programs from time to time. If annual budget appropriations or continuing resolutions are not enacted timely, we could face U.S. government shutdowns, which could adversely impact our programs and contracts with the U.S. government, our ability to receive timely payment from U.S. government entities, our ability to provide services to the U.S. government resulting in lost or delayed revenue under our services contracts (the volume of which materially increased with our BlueHalo acquisition), and our ability to timely obtain export licenses for our products and services to fulfill contracts with our international customers.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Trading Plan</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informed us of the adoption or termination of a “Rule 10b5-1 trading arrangement” or “non-Rule 10b5-1 trading arrangement,” as those terms are defined in Regulation S-K, Item 408 during the three-month period ended January 31,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9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80" w:type="dxa"/>
            <w:vAlign w:val="bottom"/>
            <w:gridSpan w:val="15"/>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4"/>
                <w:szCs w:val="14"/>
                <w:color w:val="auto"/>
              </w:rPr>
            </w:pPr>
          </w:p>
        </w:tc>
        <w:tc>
          <w:tcPr>
            <w:tcW w:w="7880" w:type="dxa"/>
            <w:vAlign w:val="bottom"/>
            <w:tcBorders>
              <w:top w:val="single" w:sz="8" w:color="auto"/>
              <w:bottom w:val="single" w:sz="8" w:color="0000EE"/>
            </w:tcBorders>
            <w:gridSpan w:val="14"/>
          </w:tcPr>
          <w:p>
            <w:pPr>
              <w:spacing w:after="0" w:line="169"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Amended and Restated Certificate of Incorporation of AeroVironment, Inc. (incorporated by reference herein</w:t>
              </w:r>
            </w:hyperlink>
          </w:p>
        </w:tc>
        <w:tc>
          <w:tcPr>
            <w:tcW w:w="140" w:type="dxa"/>
            <w:vAlign w:val="bottom"/>
            <w:tcBorders>
              <w:top w:val="single" w:sz="8" w:color="auto"/>
            </w:tcBorders>
            <w:gridSpan w:val="4"/>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to Exhibit 3.1 to the Company’s Current Report on Form 8-K filed with the SEC on October 3, 2024)</w:t>
              </w:r>
            </w:hyperlink>
          </w:p>
        </w:tc>
        <w:tc>
          <w:tcPr>
            <w:tcW w:w="720" w:type="dxa"/>
            <w:vAlign w:val="bottom"/>
            <w:gridSpan w:val="10"/>
          </w:tcPr>
          <w:p>
            <w:pPr>
              <w:spacing w:after="0"/>
              <w:rPr>
                <w:sz w:val="17"/>
                <w:szCs w:val="17"/>
                <w:color w:val="auto"/>
              </w:rPr>
            </w:pPr>
          </w:p>
        </w:tc>
      </w:tr>
      <w:tr>
        <w:trPr>
          <w:trHeight w:val="196"/>
        </w:trPr>
        <w:tc>
          <w:tcPr>
            <w:tcW w:w="6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17"/>
                <w:szCs w:val="17"/>
                <w:color w:val="auto"/>
              </w:rPr>
            </w:pPr>
          </w:p>
        </w:tc>
        <w:tc>
          <w:tcPr>
            <w:tcW w:w="70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Sixth Amended and Restated Bylaws of AeroVironment, Inc., amended as of November 20, 2025.</w:t>
              </w:r>
            </w:hyperlink>
          </w:p>
        </w:tc>
        <w:tc>
          <w:tcPr>
            <w:tcW w:w="94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20" w:type="dxa"/>
            <w:vAlign w:val="bottom"/>
            <w:gridSpan w:val="18"/>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(incorporated by reference herein to Exhibit 3.1 to the Company’s Current Report on Form 8-K filed with the</w:t>
              </w:r>
            </w:hyperlink>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SEC on November 25, 2025)</w:t>
              </w:r>
            </w:hyperlink>
          </w:p>
        </w:tc>
        <w:tc>
          <w:tcPr>
            <w:tcW w:w="13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17"/>
                <w:szCs w:val="17"/>
                <w:color w:val="auto"/>
              </w:rPr>
            </w:pPr>
          </w:p>
        </w:tc>
        <w:tc>
          <w:tcPr>
            <w:tcW w:w="76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Indenture, dated as of July 3, 2025, between AeroVironment, Inc. and U.S. Bank Trust Company, National</w:t>
              </w:r>
            </w:hyperlink>
          </w:p>
        </w:tc>
        <w:tc>
          <w:tcPr>
            <w:tcW w:w="34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20" w:type="dxa"/>
            <w:vAlign w:val="bottom"/>
            <w:gridSpan w:val="18"/>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Association, as trustee (incorporated by reference to Exhibit 4.1 to the Company’s Current Report on Form 8-</w:t>
              </w:r>
            </w:hyperlink>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K filed with the SEC on July 3, 2025)</w:t>
              </w:r>
            </w:hyperlink>
          </w:p>
        </w:tc>
        <w:tc>
          <w:tcPr>
            <w:tcW w:w="13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200" w:type="dxa"/>
            <w:vAlign w:val="bottom"/>
          </w:tcPr>
          <w:p>
            <w:pPr>
              <w:spacing w:after="0"/>
              <w:rPr>
                <w:sz w:val="17"/>
                <w:szCs w:val="17"/>
                <w:color w:val="auto"/>
              </w:rPr>
            </w:pPr>
          </w:p>
        </w:tc>
        <w:tc>
          <w:tcPr>
            <w:tcW w:w="8020" w:type="dxa"/>
            <w:vAlign w:val="bottom"/>
            <w:gridSpan w:val="18"/>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First Supplemental Indenture, dated as of July 3, 2025, between AeroVironment, Inc. and U.S. Bank Trust</w:t>
              </w:r>
            </w:hyperlink>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Company, National Association, as trustee (incorporated by reference to Exhibit 4.2 to the Company’s Current</w:t>
              </w:r>
            </w:hyperlink>
          </w:p>
        </w:tc>
        <w:tc>
          <w:tcPr>
            <w:tcW w:w="6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Report on Form 8-K filed with the SEC on July 3, 2025)</w:t>
              </w:r>
            </w:hyperlink>
          </w:p>
        </w:tc>
        <w:tc>
          <w:tcPr>
            <w:tcW w:w="394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w:t>
            </w:r>
          </w:p>
        </w:tc>
        <w:tc>
          <w:tcPr>
            <w:tcW w:w="200" w:type="dxa"/>
            <w:vAlign w:val="bottom"/>
          </w:tcPr>
          <w:p>
            <w:pPr>
              <w:spacing w:after="0"/>
              <w:rPr>
                <w:sz w:val="17"/>
                <w:szCs w:val="17"/>
                <w:color w:val="auto"/>
              </w:rPr>
            </w:pPr>
          </w:p>
        </w:tc>
        <w:tc>
          <w:tcPr>
            <w:tcW w:w="7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Lease, dated December 18, 2025, between AeroVironment, Inc. and QOZ 201CC TWO, LLC, for the property</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20" w:type="dxa"/>
            <w:vAlign w:val="bottom"/>
            <w:gridSpan w:val="1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located at 4387 West 2100 South, West Valley City, Utah 84120</w:t>
              </w:r>
            </w:hyperlink>
          </w:p>
        </w:tc>
      </w:tr>
      <w:tr>
        <w:trPr>
          <w:trHeight w:val="20"/>
        </w:trPr>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196"/>
        </w:trPr>
        <w:tc>
          <w:tcPr>
            <w:tcW w:w="6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200" w:type="dxa"/>
            <w:vAlign w:val="bottom"/>
          </w:tcPr>
          <w:p>
            <w:pPr>
              <w:spacing w:after="0"/>
              <w:rPr>
                <w:sz w:val="17"/>
                <w:szCs w:val="17"/>
                <w:color w:val="auto"/>
              </w:rPr>
            </w:pPr>
          </w:p>
        </w:tc>
        <w:tc>
          <w:tcPr>
            <w:tcW w:w="8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 and Rule 15d-14(a) of the Securities</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amended.</w:t>
            </w:r>
          </w:p>
        </w:tc>
        <w:tc>
          <w:tcPr>
            <w:tcW w:w="1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17"/>
                <w:szCs w:val="17"/>
                <w:color w:val="auto"/>
              </w:rPr>
            </w:pPr>
          </w:p>
        </w:tc>
        <w:tc>
          <w:tcPr>
            <w:tcW w:w="8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and Rule 15d-14(a) of the Securities</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amended.</w:t>
            </w:r>
          </w:p>
        </w:tc>
        <w:tc>
          <w:tcPr>
            <w:tcW w:w="1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7"/>
                <w:szCs w:val="17"/>
                <w:color w:val="auto"/>
              </w:rPr>
            </w:pPr>
          </w:p>
        </w:tc>
        <w:tc>
          <w:tcPr>
            <w:tcW w:w="8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 as</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c>
          <w:tcPr>
            <w:tcW w:w="280" w:type="dxa"/>
            <w:vAlign w:val="bottom"/>
            <w:gridSpan w:val="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gridSpan w:val="6"/>
            <w:shd w:val="clear" w:color="auto" w:fill="0000EE"/>
          </w:tcPr>
          <w:p>
            <w:pPr>
              <w:spacing w:after="0" w:line="20" w:lineRule="exact"/>
              <w:rPr>
                <w:sz w:val="1"/>
                <w:szCs w:val="1"/>
                <w:color w:val="auto"/>
              </w:rPr>
            </w:pPr>
          </w:p>
        </w:tc>
        <w:tc>
          <w:tcPr>
            <w:tcW w:w="3100" w:type="dxa"/>
            <w:vAlign w:val="bottom"/>
            <w:gridSpan w:val="12"/>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101.SCH</w:t>
            </w:r>
          </w:p>
        </w:tc>
        <w:tc>
          <w:tcPr>
            <w:tcW w:w="200" w:type="dxa"/>
            <w:vAlign w:val="bottom"/>
          </w:tcPr>
          <w:p>
            <w:pPr>
              <w:spacing w:after="0"/>
              <w:rPr>
                <w:sz w:val="18"/>
                <w:szCs w:val="18"/>
                <w:color w:val="auto"/>
              </w:rPr>
            </w:pPr>
          </w:p>
        </w:tc>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101.CAL</w:t>
            </w:r>
          </w:p>
        </w:tc>
        <w:tc>
          <w:tcPr>
            <w:tcW w:w="200" w:type="dxa"/>
            <w:vAlign w:val="bottom"/>
          </w:tcPr>
          <w:p>
            <w:pPr>
              <w:spacing w:after="0"/>
              <w:rPr>
                <w:sz w:val="18"/>
                <w:szCs w:val="18"/>
                <w:color w:val="auto"/>
              </w:rPr>
            </w:pPr>
          </w:p>
        </w:tc>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101.DEF</w:t>
            </w:r>
          </w:p>
        </w:tc>
        <w:tc>
          <w:tcPr>
            <w:tcW w:w="200" w:type="dxa"/>
            <w:vAlign w:val="bottom"/>
          </w:tcPr>
          <w:p>
            <w:pPr>
              <w:spacing w:after="0"/>
              <w:rPr>
                <w:sz w:val="18"/>
                <w:szCs w:val="18"/>
                <w:color w:val="auto"/>
              </w:rPr>
            </w:pPr>
          </w:p>
        </w:tc>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101.LAB</w:t>
            </w:r>
          </w:p>
        </w:tc>
        <w:tc>
          <w:tcPr>
            <w:tcW w:w="200" w:type="dxa"/>
            <w:vAlign w:val="bottom"/>
          </w:tcPr>
          <w:p>
            <w:pPr>
              <w:spacing w:after="0"/>
              <w:rPr>
                <w:sz w:val="18"/>
                <w:szCs w:val="18"/>
                <w:color w:val="auto"/>
              </w:rPr>
            </w:pPr>
          </w:p>
        </w:tc>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101.PRE</w:t>
            </w:r>
          </w:p>
        </w:tc>
        <w:tc>
          <w:tcPr>
            <w:tcW w:w="200" w:type="dxa"/>
            <w:vAlign w:val="bottom"/>
          </w:tcPr>
          <w:p>
            <w:pPr>
              <w:spacing w:after="0"/>
              <w:rPr>
                <w:sz w:val="20"/>
                <w:szCs w:val="20"/>
                <w:color w:val="auto"/>
              </w:rPr>
            </w:pPr>
          </w:p>
        </w:tc>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60" w:right="1659" w:firstLine="198"/>
        <w:spacing w:after="0" w:line="367" w:lineRule="auto"/>
        <w:tabs>
          <w:tab w:leader="none" w:pos="9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360" w:hanging="310"/>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Original Form 10-Q.</w:t>
      </w:r>
    </w:p>
    <w:p>
      <w:pPr>
        <w:spacing w:after="0" w:line="207" w:lineRule="exact"/>
        <w:rPr>
          <w:sz w:val="20"/>
          <w:szCs w:val="20"/>
          <w:color w:val="auto"/>
        </w:rPr>
      </w:pPr>
    </w:p>
    <w:p>
      <w:pPr>
        <w:ind w:left="380" w:right="79" w:hanging="330"/>
        <w:spacing w:after="0" w:line="258" w:lineRule="auto"/>
        <w:tabs>
          <w:tab w:leader="none" w:pos="3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
        <w:spacing w:after="0"/>
        <w:tabs>
          <w:tab w:leader="none" w:pos="486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7"/>
          <w:szCs w:val="17"/>
          <w:color w:val="auto"/>
        </w:rPr>
        <w:t>AEROVIRONMENT, INC.</w:t>
      </w:r>
    </w:p>
    <w:p>
      <w:pPr>
        <w:spacing w:after="0" w:line="27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26035</wp:posOffset>
            </wp:positionV>
            <wp:extent cx="2588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Sean T. Woodward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26035</wp:posOffset>
            </wp:positionV>
            <wp:extent cx="2588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Sean T. Woodward</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26035</wp:posOffset>
            </wp:positionV>
            <wp:extent cx="2588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225" w:lineRule="exact"/>
        <w:rPr>
          <w:sz w:val="20"/>
          <w:szCs w:val="20"/>
          <w:color w:val="auto"/>
        </w:rPr>
      </w:pPr>
    </w:p>
    <w:p>
      <w:pPr>
        <w:ind w:left="360" w:hanging="316"/>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Sean T. Woodward, certify that:</w:t>
      </w:r>
    </w:p>
    <w:p>
      <w:pPr>
        <w:spacing w:after="0" w:line="225" w:lineRule="exact"/>
        <w:rPr>
          <w:sz w:val="20"/>
          <w:szCs w:val="20"/>
          <w:color w:val="auto"/>
        </w:rPr>
      </w:pPr>
    </w:p>
    <w:p>
      <w:pPr>
        <w:ind w:left="360" w:hanging="316"/>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Sean T. Woodward</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Sean T. Woodward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-130810</wp:posOffset>
            </wp:positionV>
            <wp:extent cx="28289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6" w:name="page57"/>
    <w:bookmarkEnd w:id="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jc w:val="both"/>
        <w:ind w:left="40" w:right="119" w:firstLine="48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62" w:lineRule="exact"/>
        <w:rPr>
          <w:sz w:val="20"/>
          <w:szCs w:val="20"/>
          <w:color w:val="auto"/>
        </w:rPr>
      </w:pPr>
    </w:p>
    <w:p>
      <w:pPr>
        <w:ind w:left="40" w:right="139" w:firstLine="486"/>
        <w:spacing w:after="0" w:line="261" w:lineRule="auto"/>
        <w:rPr>
          <w:sz w:val="20"/>
          <w:szCs w:val="20"/>
          <w:color w:val="auto"/>
        </w:rPr>
      </w:pPr>
      <w:r>
        <w:rPr>
          <w:rFonts w:ascii="Times New Roman" w:cs="Times New Roman" w:eastAsia="Times New Roman" w:hAnsi="Times New Roman"/>
          <w:sz w:val="18"/>
          <w:szCs w:val="18"/>
          <w:color w:val="auto"/>
        </w:rPr>
        <w:t>This Amendment No. 1 on Form 10-Q/A (“Form 10-Q/A”) for the quarter ended January 31, 2026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9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Sean T. Woodward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Sean T. Woodward</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June 22, 2026</w:t>
      </w:r>
    </w:p>
    <w:p>
      <w:pPr>
        <w:spacing w:after="0" w:line="225" w:lineRule="exact"/>
        <w:rPr>
          <w:sz w:val="20"/>
          <w:szCs w:val="20"/>
          <w:color w:val="auto"/>
        </w:rPr>
      </w:pPr>
    </w:p>
    <w:p>
      <w:pPr>
        <w:ind w:left="40" w:right="299" w:firstLine="486"/>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7"/>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lvl w:ilvl="1">
      <w:lvlJc w:val="left"/>
      <w:lvlText w:val="%2"/>
      <w:numFmt w:val="decimal"/>
      <w:start w:val="104"/>
    </w:lvl>
  </w:abstractNum>
  <w:abstractNum w:abstractNumId="11">
    <w:nsid w:val="DED7263"/>
    <w:multiLevelType w:val="hybridMultilevel"/>
    <w:lvl w:ilvl="0">
      <w:lvlJc w:val="left"/>
      <w:lvlText w:val="**"/>
      <w:numFmt w:val="bullet"/>
      <w:start w:val="1"/>
    </w:lvl>
    <w:lvl w:ilvl="1">
      <w:lvlJc w:val="left"/>
      <w:lvlText w:val="%2"/>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72" Type="http://schemas.openxmlformats.org/officeDocument/2006/relationships/hyperlink" Target="https://www.sec.gov/Archives/edgar/data/1368622/000110465924105632/tm2425465d1_ex3-1.htm" TargetMode="External"/><Relationship Id="rId73" Type="http://schemas.openxmlformats.org/officeDocument/2006/relationships/hyperlink" Target="https://www.sec.gov/Archives/edgar/data/1368622/000110465925115756/tm2532104d1_ex3-1.htm" TargetMode="External"/><Relationship Id="rId74" Type="http://schemas.openxmlformats.org/officeDocument/2006/relationships/hyperlink" Target="https://www.sec.gov/Archives/edgar/data/1368622/000110465925065778/tm2519048d11_ex4-1.htm" TargetMode="External"/><Relationship Id="rId75" Type="http://schemas.openxmlformats.org/officeDocument/2006/relationships/hyperlink" Target="https://www.sec.gov/Archives/edgar/data/1368622/000110465925065778/tm2519048d11_ex4-2.htm" TargetMode="External"/><Relationship Id="rId76" Type="http://schemas.openxmlformats.org/officeDocument/2006/relationships/hyperlink" Target="https://www.sec.gov/Archives/edgar/data/1368622/000110465926025979/avav-2026013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2026-06-22T08:17:02Z</dcterms:created>
  <dcterms:modified xsi:type="dcterms:W3CDTF">2026-06-22T08:17:02Z</dcterms:modified>
</cp:coreProperties>
</file>