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June 29, 2026</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AEROVIRONMENT,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9019"/>
          </w:cols>
          <w:pgMar w:left="1440" w:top="564" w:right="1440" w:bottom="1440" w:gutter="0" w:footer="0" w:header="0"/>
        </w:sectPr>
      </w:pPr>
    </w:p>
    <w:p>
      <w:pPr>
        <w:spacing w:after="0" w:line="176"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7"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001-33261</w:t>
      </w:r>
    </w:p>
    <w:p>
      <w:pPr>
        <w:spacing w:after="0" w:line="2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4"/>
          <w:szCs w:val="14"/>
          <w:b w:val="1"/>
          <w:bCs w:val="1"/>
          <w:color w:val="auto"/>
        </w:rPr>
        <w:t>95-2705790</w:t>
      </w:r>
    </w:p>
    <w:p>
      <w:pPr>
        <w:spacing w:after="0" w:line="27"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84" w:lineRule="exact"/>
        <w:rPr>
          <w:sz w:val="24"/>
          <w:szCs w:val="24"/>
          <w:color w:val="auto"/>
        </w:rPr>
      </w:pPr>
    </w:p>
    <w:p>
      <w:pPr>
        <w:sectPr>
          <w:pgSz w:w="11900" w:h="16838" w:orient="portrait"/>
          <w:cols w:equalWidth="0" w:num="3">
            <w:col w:w="3000" w:space="720"/>
            <w:col w:w="1940" w:space="720"/>
            <w:col w:w="2639"/>
          </w:cols>
          <w:pgMar w:left="1440" w:top="564"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4"/>
          <w:szCs w:val="14"/>
          <w:color w:val="auto"/>
        </w:rPr>
        <w:t>incorporation or organization)</w:t>
      </w:r>
    </w:p>
    <w:p>
      <w:pPr>
        <w:sectPr>
          <w:pgSz w:w="11900" w:h="16838" w:orient="portrait"/>
          <w:cols w:equalWidth="0" w:num="1">
            <w:col w:w="9019"/>
          </w:cols>
          <w:pgMar w:left="1440" w:top="564" w:right="1440" w:bottom="1440" w:gutter="0" w:footer="0" w:header="0"/>
          <w:type w:val="continuous"/>
        </w:sectPr>
      </w:pPr>
    </w:p>
    <w:p>
      <w:pPr>
        <w:spacing w:after="0" w:line="2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241 18th Street South, Suite 650</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Arlington, Virginia</w:t>
      </w:r>
    </w:p>
    <w:p>
      <w:pPr>
        <w:spacing w:after="0" w:line="1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jc w:val="center"/>
        <w:ind w:right="1999"/>
        <w:spacing w:after="0"/>
        <w:rPr>
          <w:sz w:val="20"/>
          <w:szCs w:val="20"/>
          <w:color w:val="auto"/>
        </w:rPr>
      </w:pPr>
      <w:r>
        <w:rPr>
          <w:rFonts w:ascii="Times New Roman" w:cs="Times New Roman" w:eastAsia="Times New Roman" w:hAnsi="Times New Roman"/>
          <w:sz w:val="14"/>
          <w:szCs w:val="14"/>
          <w:b w:val="1"/>
          <w:bCs w:val="1"/>
          <w:color w:val="auto"/>
        </w:rPr>
        <w:t>22202</w:t>
      </w:r>
    </w:p>
    <w:p>
      <w:pPr>
        <w:spacing w:after="0" w:line="27" w:lineRule="exact"/>
        <w:rPr>
          <w:sz w:val="24"/>
          <w:szCs w:val="24"/>
          <w:color w:val="auto"/>
        </w:rPr>
      </w:pPr>
    </w:p>
    <w:p>
      <w:pPr>
        <w:jc w:val="center"/>
        <w:ind w:right="1999"/>
        <w:spacing w:after="0"/>
        <w:rPr>
          <w:sz w:val="20"/>
          <w:szCs w:val="20"/>
          <w:color w:val="auto"/>
        </w:rPr>
      </w:pPr>
      <w:r>
        <w:rPr>
          <w:rFonts w:ascii="Times New Roman" w:cs="Times New Roman" w:eastAsia="Times New Roman" w:hAnsi="Times New Roman"/>
          <w:sz w:val="14"/>
          <w:szCs w:val="14"/>
          <w:color w:val="auto"/>
        </w:rPr>
        <w:t>(Zip Code)</w:t>
      </w:r>
    </w:p>
    <w:p>
      <w:pPr>
        <w:spacing w:after="0" w:line="168" w:lineRule="exact"/>
        <w:rPr>
          <w:sz w:val="24"/>
          <w:szCs w:val="24"/>
          <w:color w:val="auto"/>
        </w:rPr>
      </w:pPr>
    </w:p>
    <w:p>
      <w:pPr>
        <w:sectPr>
          <w:pgSz w:w="11900" w:h="16838" w:orient="portrait"/>
          <w:cols w:equalWidth="0" w:num="2">
            <w:col w:w="5660" w:space="720"/>
            <w:col w:w="2639"/>
          </w:cols>
          <w:pgMar w:left="1440" w:top="564"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(703) 418-2828</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03" w:lineRule="exact"/>
        <w:rPr>
          <w:sz w:val="24"/>
          <w:szCs w:val="24"/>
          <w:color w:val="auto"/>
        </w:rPr>
      </w:pPr>
    </w:p>
    <w:tbl>
      <w:tblPr>
        <w:tblLayout w:type="fixed"/>
        <w:tblInd w:w="200" w:type="dxa"/>
        <w:tblCellMar>
          <w:top w:w="0" w:type="dxa"/>
          <w:left w:w="0" w:type="dxa"/>
          <w:bottom w:w="0" w:type="dxa"/>
          <w:right w:w="0" w:type="dxa"/>
        </w:tblCellMar>
      </w:tblPr>
      <w:tr>
        <w:trPr>
          <w:trHeight w:val="172"/>
        </w:trPr>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540" w:type="dxa"/>
            <w:vAlign w:val="bottom"/>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3140" w:type="dxa"/>
            <w:vAlign w:val="bottom"/>
          </w:tcPr>
          <w:p>
            <w:pPr>
              <w:jc w:val="center"/>
              <w:ind w:left="223"/>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50"/>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Common Stock, par value $0.0001 per share</w:t>
            </w:r>
          </w:p>
        </w:tc>
        <w:tc>
          <w:tcPr>
            <w:tcW w:w="100" w:type="dxa"/>
            <w:vAlign w:val="bottom"/>
          </w:tcPr>
          <w:p>
            <w:pPr>
              <w:spacing w:after="0"/>
              <w:rPr>
                <w:sz w:val="13"/>
                <w:szCs w:val="13"/>
                <w:color w:val="auto"/>
              </w:rPr>
            </w:pPr>
          </w:p>
        </w:tc>
        <w:tc>
          <w:tcPr>
            <w:tcW w:w="2540" w:type="dxa"/>
            <w:vAlign w:val="bottom"/>
            <w:tcBorders>
              <w:top w:val="single" w:sz="8" w:color="auto"/>
            </w:tcBorders>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w w:val="87"/>
              </w:rPr>
              <w:t>AVAV</w:t>
            </w:r>
          </w:p>
        </w:tc>
        <w:tc>
          <w:tcPr>
            <w:tcW w:w="3140" w:type="dxa"/>
            <w:vAlign w:val="bottom"/>
            <w:tcBorders>
              <w:top w:val="single" w:sz="8" w:color="auto"/>
            </w:tcBorders>
          </w:tcPr>
          <w:p>
            <w:pPr>
              <w:jc w:val="center"/>
              <w:ind w:left="223"/>
              <w:spacing w:after="0"/>
              <w:rPr>
                <w:sz w:val="20"/>
                <w:szCs w:val="20"/>
                <w:color w:val="auto"/>
              </w:rPr>
            </w:pPr>
            <w:r>
              <w:rPr>
                <w:rFonts w:ascii="Times New Roman" w:cs="Times New Roman" w:eastAsia="Times New Roman" w:hAnsi="Times New Roman"/>
                <w:sz w:val="11"/>
                <w:szCs w:val="11"/>
                <w:b w:val="1"/>
                <w:bCs w:val="1"/>
                <w:color w:val="auto"/>
              </w:rPr>
              <w:t>The NASDAQ Stock Market LLC</w:t>
            </w:r>
          </w:p>
        </w:tc>
      </w:tr>
    </w:tbl>
    <w:p>
      <w:pPr>
        <w:spacing w:after="0" w:line="201" w:lineRule="exact"/>
        <w:rPr>
          <w:sz w:val="24"/>
          <w:szCs w:val="24"/>
          <w:color w:val="auto"/>
        </w:rPr>
      </w:pPr>
    </w:p>
    <w:p>
      <w:pPr>
        <w:ind w:left="200" w:right="419"/>
        <w:spacing w:after="0" w:line="293"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General Instruction A.2. below):</w:t>
      </w:r>
    </w:p>
    <w:p>
      <w:pPr>
        <w:spacing w:after="0" w:line="113" w:lineRule="exact"/>
        <w:rPr>
          <w:sz w:val="24"/>
          <w:szCs w:val="24"/>
          <w:color w:val="auto"/>
        </w:rPr>
      </w:pPr>
    </w:p>
    <w:p>
      <w:pPr>
        <w:ind w:left="420" w:hanging="228"/>
        <w:spacing w:after="0"/>
        <w:tabs>
          <w:tab w:leader="none" w:pos="4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83" w:lineRule="exact"/>
        <w:rPr>
          <w:rFonts w:ascii="MS PGothic" w:cs="MS PGothic" w:eastAsia="MS PGothic" w:hAnsi="MS PGothic"/>
          <w:sz w:val="14"/>
          <w:szCs w:val="14"/>
          <w:color w:val="auto"/>
        </w:rPr>
      </w:pPr>
    </w:p>
    <w:p>
      <w:pPr>
        <w:ind w:left="460" w:hanging="268"/>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00" w:lineRule="exact"/>
        <w:rPr>
          <w:rFonts w:ascii="MS PGothic" w:cs="MS PGothic" w:eastAsia="MS PGothic" w:hAnsi="MS PGothic"/>
          <w:sz w:val="14"/>
          <w:szCs w:val="14"/>
          <w:color w:val="auto"/>
        </w:rPr>
      </w:pPr>
    </w:p>
    <w:p>
      <w:pPr>
        <w:spacing w:after="0" w:line="220" w:lineRule="exact"/>
        <w:rPr>
          <w:rFonts w:ascii="MS PGothic" w:cs="MS PGothic" w:eastAsia="MS PGothic" w:hAnsi="MS PGothic"/>
          <w:sz w:val="14"/>
          <w:szCs w:val="14"/>
          <w:color w:val="auto"/>
        </w:rPr>
      </w:pPr>
    </w:p>
    <w:p>
      <w:pPr>
        <w:ind w:left="460" w:hanging="268"/>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2" w:lineRule="exact"/>
        <w:rPr>
          <w:rFonts w:ascii="MS PGothic" w:cs="MS PGothic" w:eastAsia="MS PGothic" w:hAnsi="MS PGothic"/>
          <w:sz w:val="14"/>
          <w:szCs w:val="14"/>
          <w:color w:val="auto"/>
        </w:rPr>
      </w:pPr>
    </w:p>
    <w:p>
      <w:pPr>
        <w:ind w:left="460" w:hanging="268"/>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05" w:lineRule="exact"/>
        <w:rPr>
          <w:sz w:val="24"/>
          <w:szCs w:val="24"/>
          <w:color w:val="auto"/>
        </w:rPr>
      </w:pPr>
    </w:p>
    <w:p>
      <w:pPr>
        <w:ind w:left="200" w:right="279"/>
        <w:spacing w:after="0" w:line="27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ind w:left="20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36" w:lineRule="exact"/>
        <w:rPr>
          <w:sz w:val="24"/>
          <w:szCs w:val="24"/>
          <w:color w:val="auto"/>
        </w:rPr>
      </w:pPr>
    </w:p>
    <w:p>
      <w:pPr>
        <w:ind w:left="200" w:right="279"/>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120015</wp:posOffset>
            </wp:positionH>
            <wp:positionV relativeFrom="paragraph">
              <wp:posOffset>252730</wp:posOffset>
            </wp:positionV>
            <wp:extent cx="5479415"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79415" cy="20320"/>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type w:val="continuous"/>
        </w:sectPr>
      </w:pPr>
    </w:p>
    <w:bookmarkStart w:id="1" w:name="page2"/>
    <w:bookmarkEnd w:id="1"/>
    <w:p>
      <w:pPr>
        <w:ind w:left="200"/>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185" w:lineRule="exact"/>
        <w:rPr>
          <w:sz w:val="20"/>
          <w:szCs w:val="20"/>
          <w:color w:val="auto"/>
        </w:rPr>
      </w:pPr>
    </w:p>
    <w:p>
      <w:pPr>
        <w:ind w:left="200" w:right="279" w:firstLine="516"/>
        <w:spacing w:after="0" w:line="293" w:lineRule="auto"/>
        <w:rPr>
          <w:sz w:val="20"/>
          <w:szCs w:val="20"/>
          <w:color w:val="auto"/>
        </w:rPr>
      </w:pPr>
      <w:r>
        <w:rPr>
          <w:rFonts w:ascii="Times New Roman" w:cs="Times New Roman" w:eastAsia="Times New Roman" w:hAnsi="Times New Roman"/>
          <w:sz w:val="14"/>
          <w:szCs w:val="14"/>
          <w:color w:val="auto"/>
        </w:rPr>
        <w:t>On June 29, 2026, AeroVironment, Inc. (the “Company”) issued a press release announcing fourth quarter results for the period ended April 30, 2026, a copy of which is attached hereto as Exhibit 99.1.</w:t>
      </w:r>
    </w:p>
    <w:p>
      <w:pPr>
        <w:spacing w:after="0" w:line="143" w:lineRule="exact"/>
        <w:rPr>
          <w:sz w:val="20"/>
          <w:szCs w:val="20"/>
          <w:color w:val="auto"/>
        </w:rPr>
      </w:pPr>
    </w:p>
    <w:p>
      <w:pPr>
        <w:ind w:left="200"/>
        <w:spacing w:after="0"/>
        <w:tabs>
          <w:tab w:leader="none" w:pos="920" w:val="left"/>
        </w:tabs>
        <w:rPr>
          <w:sz w:val="20"/>
          <w:szCs w:val="20"/>
          <w:color w:val="auto"/>
        </w:rPr>
      </w:pPr>
      <w:r>
        <w:rPr>
          <w:rFonts w:ascii="Times New Roman" w:cs="Times New Roman" w:eastAsia="Times New Roman" w:hAnsi="Times New Roman"/>
          <w:sz w:val="14"/>
          <w:szCs w:val="14"/>
          <w:b w:val="1"/>
          <w:bCs w:val="1"/>
          <w:color w:val="auto"/>
        </w:rPr>
        <w:t>Item 7.01.</w:t>
        <w:tab/>
        <w:t>Regulation FD Disclosure</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The information under Item 2.02 above is incorporated herein by reference.</w:t>
      </w:r>
    </w:p>
    <w:p>
      <w:pPr>
        <w:spacing w:after="0" w:line="205" w:lineRule="exact"/>
        <w:rPr>
          <w:sz w:val="20"/>
          <w:szCs w:val="20"/>
          <w:color w:val="auto"/>
        </w:rPr>
      </w:pPr>
    </w:p>
    <w:p>
      <w:pPr>
        <w:ind w:left="200" w:right="259" w:firstLine="516"/>
        <w:spacing w:after="0" w:line="263" w:lineRule="auto"/>
        <w:rPr>
          <w:sz w:val="20"/>
          <w:szCs w:val="20"/>
          <w:color w:val="auto"/>
        </w:rPr>
      </w:pPr>
      <w:r>
        <w:rPr>
          <w:rFonts w:ascii="Times New Roman" w:cs="Times New Roman" w:eastAsia="Times New Roman" w:hAnsi="Times New Roman"/>
          <w:sz w:val="14"/>
          <w:szCs w:val="14"/>
          <w:color w:val="auto"/>
        </w:rPr>
        <w:t>Attached as Exhibit 99.2 hereto is a presentation containing additional information regarding the Company’s fourth quarter fiscal 2026 financial results for the period ended April 30, 2026. A copy of the presentation is also available on the investor relations section of the Company’s website at https://investor.avinc.com/events-and-presentations. The information contained on the Company’s website is not incorporated by reference into, and does not form a part of, this Current Report on Form 8-K.</w:t>
      </w:r>
    </w:p>
    <w:p>
      <w:pPr>
        <w:spacing w:after="0" w:line="144" w:lineRule="exact"/>
        <w:rPr>
          <w:sz w:val="20"/>
          <w:szCs w:val="20"/>
          <w:color w:val="auto"/>
        </w:rPr>
      </w:pPr>
    </w:p>
    <w:p>
      <w:pPr>
        <w:ind w:left="200" w:right="219" w:firstLine="516"/>
        <w:spacing w:after="0" w:line="268" w:lineRule="auto"/>
        <w:rPr>
          <w:sz w:val="20"/>
          <w:szCs w:val="20"/>
          <w:color w:val="auto"/>
        </w:rPr>
      </w:pPr>
      <w:r>
        <w:rPr>
          <w:rFonts w:ascii="Times New Roman" w:cs="Times New Roman" w:eastAsia="Times New Roman" w:hAnsi="Times New Roman"/>
          <w:sz w:val="14"/>
          <w:szCs w:val="14"/>
          <w:color w:val="auto"/>
        </w:rPr>
        <w:t>The information in this Current Report on Form 8-K, including the exhibits, is furnished pursuant to Items 2.02 and 7.01 and shall not be deemed “filed” for purposes of Section 18 of the Securities Exchange Act of 1934, as amended (the “Exchange Act”), or otherwise subject to the liabilities of that section, nor shall it be deemed incorporated by reference in any filing of AeroVironment, Inc. under the Securities Act of 1933, as amended, or the Exchange Act, whether made before or after the date hereof, except as shall be expressly set forth by specific reference in such filing.</w:t>
      </w:r>
    </w:p>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(d) Exhibits.</w:t>
      </w: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140"/>
        </w:trPr>
        <w:tc>
          <w:tcPr>
            <w:tcW w:w="8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800" w:type="dxa"/>
            <w:vAlign w:val="bottom"/>
          </w:tcPr>
          <w:p>
            <w:pPr>
              <w:spacing w:after="0"/>
              <w:rPr>
                <w:sz w:val="12"/>
                <w:szCs w:val="12"/>
                <w:color w:val="auto"/>
              </w:rPr>
            </w:pPr>
          </w:p>
        </w:tc>
        <w:tc>
          <w:tcPr>
            <w:tcW w:w="2480" w:type="dxa"/>
            <w:vAlign w:val="bottom"/>
          </w:tcPr>
          <w:p>
            <w:pPr>
              <w:spacing w:after="0"/>
              <w:rPr>
                <w:sz w:val="12"/>
                <w:szCs w:val="12"/>
                <w:color w:val="auto"/>
              </w:rPr>
            </w:pPr>
          </w:p>
        </w:tc>
      </w:tr>
      <w:tr>
        <w:trPr>
          <w:trHeight w:val="150"/>
        </w:trPr>
        <w:tc>
          <w:tcPr>
            <w:tcW w:w="8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280" w:type="dxa"/>
            <w:vAlign w:val="bottom"/>
            <w:gridSpan w:val="2"/>
          </w:tcPr>
          <w:p>
            <w:pPr>
              <w:ind w:left="360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81"/>
        </w:trPr>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color w:val="auto"/>
              </w:rPr>
              <w:t>99.1</w:t>
            </w:r>
          </w:p>
        </w:tc>
        <w:tc>
          <w:tcPr>
            <w:tcW w:w="38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Press release issued by AeroVironment, Inc., dated June 29, 2026.</w:t>
            </w:r>
          </w:p>
        </w:tc>
        <w:tc>
          <w:tcPr>
            <w:tcW w:w="2480" w:type="dxa"/>
            <w:vAlign w:val="bottom"/>
          </w:tcPr>
          <w:p>
            <w:pPr>
              <w:spacing w:after="0"/>
              <w:rPr>
                <w:sz w:val="15"/>
                <w:szCs w:val="15"/>
                <w:color w:val="auto"/>
              </w:rPr>
            </w:pPr>
          </w:p>
        </w:tc>
      </w:tr>
      <w:tr>
        <w:trPr>
          <w:trHeight w:val="152"/>
        </w:trPr>
        <w:tc>
          <w:tcPr>
            <w:tcW w:w="840" w:type="dxa"/>
            <w:vAlign w:val="bottom"/>
          </w:tcPr>
          <w:p>
            <w:pPr>
              <w:jc w:val="right"/>
              <w:ind w:right="315"/>
              <w:spacing w:after="0" w:line="152" w:lineRule="exact"/>
              <w:rPr>
                <w:sz w:val="20"/>
                <w:szCs w:val="20"/>
                <w:color w:val="auto"/>
              </w:rPr>
            </w:pPr>
            <w:r>
              <w:rPr>
                <w:rFonts w:ascii="Times New Roman" w:cs="Times New Roman" w:eastAsia="Times New Roman" w:hAnsi="Times New Roman"/>
                <w:sz w:val="14"/>
                <w:szCs w:val="14"/>
                <w:color w:val="auto"/>
              </w:rPr>
              <w:t>99.2</w:t>
            </w:r>
          </w:p>
        </w:tc>
        <w:tc>
          <w:tcPr>
            <w:tcW w:w="6280" w:type="dxa"/>
            <w:vAlign w:val="bottom"/>
            <w:tcBorders>
              <w:bottom w:val="single" w:sz="8" w:color="0000EE"/>
            </w:tcBorders>
            <w:gridSpan w:val="2"/>
          </w:tcPr>
          <w:p>
            <w:pPr>
              <w:spacing w:after="0" w:line="152" w:lineRule="exact"/>
              <w:rPr>
                <w:sz w:val="20"/>
                <w:szCs w:val="20"/>
                <w:color w:val="auto"/>
              </w:rPr>
            </w:pPr>
            <w:r>
              <w:rPr>
                <w:rFonts w:ascii="Times New Roman" w:cs="Times New Roman" w:eastAsia="Times New Roman" w:hAnsi="Times New Roman"/>
                <w:sz w:val="14"/>
                <w:szCs w:val="14"/>
                <w:color w:val="0000EE"/>
              </w:rPr>
              <w:t>Presentation regarding AeroVironment, Inc.’s fourth quarter fiscal 2026 financial results dated June 29, 2026.</w:t>
            </w:r>
          </w:p>
        </w:tc>
      </w:tr>
    </w:tbl>
    <w:p>
      <w:pPr>
        <w:spacing w:after="0" w:line="28" w:lineRule="exact"/>
        <w:rPr>
          <w:sz w:val="20"/>
          <w:szCs w:val="20"/>
          <w:color w:val="auto"/>
        </w:rPr>
      </w:pPr>
    </w:p>
    <w:p>
      <w:pPr>
        <w:ind w:left="1040" w:hanging="611"/>
        <w:spacing w:after="0"/>
        <w:tabs>
          <w:tab w:leader="none" w:pos="1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72" w:lineRule="exact"/>
        <w:rPr>
          <w:rFonts w:ascii="Times New Roman" w:cs="Times New Roman" w:eastAsia="Times New Roman" w:hAnsi="Times New Roman"/>
          <w:sz w:val="14"/>
          <w:szCs w:val="14"/>
          <w:color w:val="auto"/>
        </w:rPr>
      </w:pPr>
    </w:p>
    <w:p>
      <w:pPr>
        <w:ind w:left="4460"/>
        <w:spacing w:after="0"/>
        <w:rPr>
          <w:rFonts w:ascii="Times New Roman" w:cs="Times New Roman" w:eastAsia="Times New Roman" w:hAnsi="Times New Roman"/>
          <w:sz w:val="14"/>
          <w:szCs w:val="14"/>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283210</wp:posOffset>
            </wp:positionV>
            <wp:extent cx="5479415"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79415" cy="1397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5" w:lineRule="exact"/>
        <w:rPr>
          <w:sz w:val="20"/>
          <w:szCs w:val="20"/>
          <w:color w:val="auto"/>
        </w:rPr>
      </w:pPr>
    </w:p>
    <w:p>
      <w:pPr>
        <w:ind w:left="200" w:right="279" w:firstLine="516"/>
        <w:spacing w:after="0" w:line="29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9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AEROVIRONMENT, INC.</w:t>
      </w:r>
    </w:p>
    <w:p>
      <w:pPr>
        <w:spacing w:after="0" w:line="351" w:lineRule="exact"/>
        <w:rPr>
          <w:sz w:val="20"/>
          <w:szCs w:val="20"/>
          <w:color w:val="auto"/>
        </w:rPr>
      </w:pPr>
    </w:p>
    <w:p>
      <w:pPr>
        <w:ind w:left="200"/>
        <w:spacing w:after="0"/>
        <w:tabs>
          <w:tab w:leader="none" w:pos="4480" w:val="left"/>
          <w:tab w:leader="none" w:pos="4800" w:val="left"/>
        </w:tabs>
        <w:rPr>
          <w:sz w:val="20"/>
          <w:szCs w:val="20"/>
          <w:color w:val="auto"/>
        </w:rPr>
      </w:pPr>
      <w:r>
        <w:rPr>
          <w:rFonts w:ascii="Times New Roman" w:cs="Times New Roman" w:eastAsia="Times New Roman" w:hAnsi="Times New Roman"/>
          <w:sz w:val="14"/>
          <w:szCs w:val="14"/>
          <w:color w:val="auto"/>
        </w:rPr>
        <w:t>Date: J</w:t>
      </w:r>
      <w:r>
        <w:rPr>
          <w:rFonts w:ascii="Times New Roman" w:cs="Times New Roman" w:eastAsia="Times New Roman" w:hAnsi="Times New Roman"/>
          <w:sz w:val="15"/>
          <w:szCs w:val="15"/>
          <w:color w:val="auto"/>
        </w:rPr>
        <w:t>une 29</w:t>
      </w:r>
      <w:r>
        <w:rPr>
          <w:rFonts w:ascii="Times New Roman" w:cs="Times New Roman" w:eastAsia="Times New Roman" w:hAnsi="Times New Roman"/>
          <w:sz w:val="14"/>
          <w:szCs w:val="14"/>
          <w:color w:val="auto"/>
        </w:rPr>
        <w:t>, 2026</w:t>
      </w:r>
      <w:r>
        <w:rPr>
          <w:sz w:val="20"/>
          <w:szCs w:val="20"/>
          <w:color w:val="auto"/>
        </w:rPr>
        <w:tab/>
      </w:r>
      <w:r>
        <w:rPr>
          <w:rFonts w:ascii="Times New Roman" w:cs="Times New Roman" w:eastAsia="Times New Roman" w:hAnsi="Times New Roman"/>
          <w:sz w:val="14"/>
          <w:szCs w:val="14"/>
          <w:color w:val="auto"/>
        </w:rPr>
        <w:t>By:</w:t>
        <w:tab/>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18415</wp:posOffset>
            </wp:positionV>
            <wp:extent cx="25349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4920" cy="6985"/>
                    </a:xfrm>
                    <a:prstGeom prst="rect">
                      <a:avLst/>
                    </a:prstGeom>
                    <a:noFill/>
                  </pic:spPr>
                </pic:pic>
              </a:graphicData>
            </a:graphic>
          </wp:anchor>
        </w:drawing>
      </w:r>
    </w:p>
    <w:p>
      <w:pPr>
        <w:spacing w:after="0" w:line="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color w:val="auto"/>
        </w:rPr>
        <w:t>Wahid Nawabi</w:t>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283210</wp:posOffset>
            </wp:positionV>
            <wp:extent cx="5479415"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79415" cy="203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111760</wp:posOffset>
            </wp:positionV>
            <wp:extent cx="4612005" cy="587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12005" cy="58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1F4F79"/>
        </w:rPr>
        <w:t>AeroVironment Announces Fiscal 2026 Fourth Quarter and Fiscal Year Results</w:t>
      </w:r>
    </w:p>
    <w:p>
      <w:pPr>
        <w:spacing w:after="0" w:line="254"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b w:val="1"/>
          <w:bCs w:val="1"/>
          <w:color w:val="auto"/>
        </w:rPr>
        <w:t xml:space="preserve">ARLINGTON, VA, June 29, 2026 </w:t>
      </w:r>
      <w:r>
        <w:rPr>
          <w:rFonts w:ascii="Arial" w:cs="Arial" w:eastAsia="Arial" w:hAnsi="Arial"/>
          <w:sz w:val="14"/>
          <w:szCs w:val="14"/>
          <w:color w:val="auto"/>
        </w:rPr>
        <w:t>— AeroVironment, Inc. (NASDAQ: AVAV) (“AeroVironment” or the “Company”) reported today financial results for the fiscal</w:t>
      </w:r>
      <w:r>
        <w:rPr>
          <w:rFonts w:ascii="Arial" w:cs="Arial" w:eastAsia="Arial" w:hAnsi="Arial"/>
          <w:sz w:val="14"/>
          <w:szCs w:val="14"/>
          <w:b w:val="1"/>
          <w:bCs w:val="1"/>
          <w:color w:val="auto"/>
        </w:rPr>
        <w:t xml:space="preserve"> </w:t>
      </w:r>
      <w:r>
        <w:rPr>
          <w:rFonts w:ascii="Arial" w:cs="Arial" w:eastAsia="Arial" w:hAnsi="Arial"/>
          <w:sz w:val="14"/>
          <w:szCs w:val="14"/>
          <w:color w:val="auto"/>
        </w:rPr>
        <w:t>fourth quarter and year ended April 30, 2026.</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Fourth Quarter Highlights:</w:t>
      </w:r>
    </w:p>
    <w:p>
      <w:pPr>
        <w:spacing w:after="0" w:line="162" w:lineRule="exact"/>
        <w:rPr>
          <w:sz w:val="20"/>
          <w:szCs w:val="20"/>
          <w:color w:val="auto"/>
        </w:rPr>
      </w:pPr>
    </w:p>
    <w:p>
      <w:pPr>
        <w:ind w:left="520" w:hanging="253"/>
        <w:spacing w:after="0"/>
        <w:tabs>
          <w:tab w:leader="none" w:pos="52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4"/>
          <w:szCs w:val="14"/>
          <w:color w:val="auto"/>
        </w:rPr>
        <w:t>Record fourth quarter revenue of $641.6 million and fiscal year revenue of $1,976.8 million, up 133% and 141% year-over-year, respectively</w:t>
      </w:r>
    </w:p>
    <w:p>
      <w:pPr>
        <w:spacing w:after="0" w:line="18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4"/>
          <w:szCs w:val="14"/>
          <w:color w:val="auto"/>
        </w:rPr>
        <w:t>Bookings of $2.7 billion and book-to-bill ratio of 1.4 for the fiscal year</w:t>
      </w:r>
    </w:p>
    <w:p>
      <w:pPr>
        <w:spacing w:after="0" w:line="18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4"/>
          <w:szCs w:val="14"/>
          <w:color w:val="auto"/>
        </w:rPr>
        <w:t>Funded backlog of $1.2 billion</w:t>
      </w:r>
    </w:p>
    <w:p>
      <w:pPr>
        <w:spacing w:after="0" w:line="183" w:lineRule="exact"/>
        <w:rPr>
          <w:sz w:val="20"/>
          <w:szCs w:val="20"/>
          <w:color w:val="auto"/>
        </w:rPr>
      </w:pPr>
    </w:p>
    <w:p>
      <w:pPr>
        <w:ind w:right="60"/>
        <w:spacing w:after="0" w:line="254" w:lineRule="auto"/>
        <w:rPr>
          <w:sz w:val="20"/>
          <w:szCs w:val="20"/>
          <w:color w:val="auto"/>
        </w:rPr>
      </w:pPr>
      <w:r>
        <w:rPr>
          <w:rFonts w:ascii="Arial" w:cs="Arial" w:eastAsia="Arial" w:hAnsi="Arial"/>
          <w:sz w:val="14"/>
          <w:szCs w:val="14"/>
          <w:color w:val="auto"/>
        </w:rPr>
        <w:t>“Fiscal 2026 marked a transformational year for AV, which included the completion of our largest acquisition, meaningful investments toward diversifying our portfolio in critical areas aligned to our customer’s highest priorities, and the strongest financial performance in our history,” said Wahid Nawabi, AeroVironment chairman, president and chief executive officer. “We are confident our proven ability to deliver at speed will continue to drive opportunities for AV across our global customer base.”</w:t>
      </w:r>
    </w:p>
    <w:p>
      <w:pPr>
        <w:spacing w:after="0" w:line="125"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“We remain focused on executing with excellence and strengthening our supply chain to accelerate the commercialization of our platforms. AV is well-positioned to capture the rising global demand across lethal and non-lethal drones, counter-UAS, space and advanced technologies and deliver long-term shareholder value.”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2026 FOURTH QUARTER RESULTS</w:t>
      </w:r>
    </w:p>
    <w:p>
      <w:pPr>
        <w:spacing w:after="0" w:line="162"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Revenue for the fourth quarter of fiscal 2026 was $641.6 million and $2.0 billion for the fiscal year. Revenue for fourth quarter of fiscal 2026 increased 133% as compared to $275.1 million for the fourth quarter of fiscal 2025, due to higher product sales of $256.7 million and higher service revenue of $109.8 million. The combined acquisitions of BlueHalo on May 1, 2025 and Empirical Systems Aerospace, Inc. on March 16, 2026 contributed $282.3 million of revenue to the current quarter. From a segment standpoint, Autonomous Systems (“AxS”) recorded revenue of $492.4 million and Space, Cyber and Directed Energy (“SCDE”) recorded revenue of $149.2 million.</w:t>
      </w:r>
    </w:p>
    <w:p>
      <w:pPr>
        <w:spacing w:after="0" w:line="126"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Gross margin for the fourth quarter of fiscal 2026 was $ 202.6 million, an increase of 102% as compared to $100.3 million for the fourth quarter of fiscal 2025, reflecting higher product margin of $120.3 million offset by lower service margin of $(18.0) million. Fiscal 2026 fourth quarter gross margin was negatively impacted by $ 18.4 million of intangible amortization expense and other related non-cash purchase accounting expenses, as compared to $ 8.3 million in the fourth quarter of fiscal 2025. As a percentage of revenue, gross margin fell to 32% from 36%, primarily due to an increase in the proportion of service revenue resulting from the BlueHalo acquisition and the increased amortization and other non-cash purchase accounting expenses.</w:t>
      </w:r>
    </w:p>
    <w:p>
      <w:pPr>
        <w:spacing w:after="0" w:line="126" w:lineRule="exact"/>
        <w:rPr>
          <w:sz w:val="20"/>
          <w:szCs w:val="20"/>
          <w:color w:val="auto"/>
        </w:rPr>
      </w:pPr>
    </w:p>
    <w:p>
      <w:pPr>
        <w:ind w:right="160"/>
        <w:spacing w:after="0" w:line="249" w:lineRule="auto"/>
        <w:rPr>
          <w:sz w:val="20"/>
          <w:szCs w:val="20"/>
          <w:color w:val="auto"/>
        </w:rPr>
      </w:pPr>
      <w:r>
        <w:rPr>
          <w:rFonts w:ascii="Arial" w:cs="Arial" w:eastAsia="Arial" w:hAnsi="Arial"/>
          <w:sz w:val="14"/>
          <w:szCs w:val="14"/>
          <w:color w:val="auto"/>
        </w:rPr>
        <w:t>Income from operations for the fourth quarter of fiscal 2026 was $56.9 million as compared to income from operations of $13.8 million for the fourth quarter of last fiscal year. The current quarter was negatively impacted by $51.4 million of intangible amortization and other related non-cash purchase accounting expenses as compared to $9.0 million in the fourth quarter of fiscal 2025. The increase year-over-year was primarily due to an increase in gross margin of $102.3 million and a decrease in goodwill impairment of $18.4 million related to the UGV goodwill impairment in the fourth quarter of last fiscal year. The increase was partially offset by an increase in selling, general and administrative expense of $71.0 million, which includes an increase of $33.0 million of intangible amortization expense and incremental headcount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282575</wp:posOffset>
            </wp:positionV>
            <wp:extent cx="631317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3170" cy="20320"/>
                    </a:xfrm>
                    <a:prstGeom prst="rect">
                      <a:avLst/>
                    </a:prstGeom>
                    <a:noFill/>
                  </pic:spPr>
                </pic:pic>
              </a:graphicData>
            </a:graphic>
          </wp:anchor>
        </w:drawing>
      </w:r>
    </w:p>
    <w:p>
      <w:pPr>
        <w:sectPr>
          <w:pgSz w:w="11900" w:h="16838" w:orient="portrait"/>
          <w:cols w:equalWidth="0" w:num="1">
            <w:col w:w="9960"/>
          </w:cols>
          <w:pgMar w:left="960" w:top="126" w:right="979"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auto"/>
        </w:rPr>
        <w:t>resulting from our acquisition of BlueHalo which closed on May 1, 2025, and an increase in research and development (“R&amp;D”) expense of $6.6 million.</w:t>
      </w:r>
    </w:p>
    <w:p>
      <w:pPr>
        <w:spacing w:after="0" w:line="161"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Other income, net for the fourth quarter of fiscal 2026 was $7.5 million, as compared to other loss, net of $(0.7) million for the fourth quarter of fiscal 2025. The increase year-over-year was primarily due to the realized gains from the sale of equity securities and an increase in interest income due to a combination of higher cash and investment balances and lower interest bearing debt balances.</w:t>
      </w:r>
    </w:p>
    <w:p>
      <w:pPr>
        <w:spacing w:after="0" w:line="118"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Provision for income taxes for the fourth quarter of fiscal 2026 was $16.0 million, as compared to $ 0.2 million for the fourth quarter of last fiscal year. The increase year-over-year was primarily due to the increase in current quarter income before income taxes relative to the pretax loss for the first three quarters of fiscal year 2026.</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Net income for the fourth quarter of fiscal 2026 was $63.2 million, or $1.25 per diluted share, as compared to net income of $16.7 million, or $0.59 per diluted share, in the prior-year period, respectively. The current quarter was negatively impacted by $ 51.4 million, or $ 0.80 per diluted share, of intangible amortization and other related non-cash purchase accounting expenses as compared to $9.0 million, or $0.25 per diluted share, in the fourth quarter of fiscal 2025.</w:t>
      </w:r>
    </w:p>
    <w:p>
      <w:pPr>
        <w:spacing w:after="0" w:line="292"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Non-GAAP adjusted EBITDA for the fourth quarter of fiscal 2026 was $140.1 million and non-GAAP earnings per diluted share were $1.84, as compared to $61.6 million and $1.61, respectively, for the fourth quarter of fiscal 2025.</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BACKLOG</w:t>
      </w:r>
    </w:p>
    <w:p>
      <w:pPr>
        <w:spacing w:after="0" w:line="162"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As of April 30, 2026, funded backlog (defined as remaining performance obligations under firm orders for which funding is currently appropriated to us under a customer contract) was $1.2 billion, as compared to $726.6 million as of April 30, 2025.</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2027 — OUTLOOK FOR THE FULL YEAR</w:t>
      </w:r>
    </w:p>
    <w:p>
      <w:pPr>
        <w:spacing w:after="0" w:line="162" w:lineRule="exact"/>
        <w:rPr>
          <w:sz w:val="20"/>
          <w:szCs w:val="20"/>
          <w:color w:val="auto"/>
        </w:rPr>
      </w:pPr>
    </w:p>
    <w:p>
      <w:pPr>
        <w:jc w:val="both"/>
        <w:ind w:right="320"/>
        <w:spacing w:after="0" w:line="262" w:lineRule="auto"/>
        <w:rPr>
          <w:sz w:val="20"/>
          <w:szCs w:val="20"/>
          <w:color w:val="auto"/>
        </w:rPr>
      </w:pPr>
      <w:r>
        <w:rPr>
          <w:rFonts w:ascii="Arial" w:cs="Arial" w:eastAsia="Arial" w:hAnsi="Arial"/>
          <w:sz w:val="14"/>
          <w:szCs w:val="14"/>
          <w:color w:val="auto"/>
        </w:rPr>
        <w:t>For fiscal year 2027, the Company expects revenue of between $2.125 billion and $2.225 billion, net income of between $8 million and $24 million, non-GAAP adjusted EBITDA of between $305 million and $325 million, earnings per diluted share of between $0.16 and $0.48 and non-GAAP earnings per diluted share, which excludes amortization of intangible assets, other non-cash purchase accounting expenses, of between $3.02 and $3.34.</w:t>
      </w:r>
    </w:p>
    <w:p>
      <w:pPr>
        <w:spacing w:after="0" w:line="118"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The foregoing estimates are forward-looking and reflect management’s view of current and future market conditions, subject to certain risks and uncertainties, including certain assumptions with respect to our ability to efficiently and on a timely basis integrate acquisitions, obtain and retain government contracts, changes in the timing and/or amount of government spending, react to changes in the demand for our products and services, activities of competitors, changes in the regulatory environment, and general economic and business conditions in the United States and elsewhere in the world. Investors are reminded that actual results may differ materially from these estimates and investors should review all risks related to achievement of the guidance reflected under “forward-looking statements” below and in the Company’s filings with the Securities and Exchange Commission.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CONFERENCE CALL AND PRESENTATION</w:t>
      </w:r>
    </w:p>
    <w:p>
      <w:pPr>
        <w:spacing w:after="0" w:line="162"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In conjunction with this release, AeroVironment, Inc. will host a conference call today, Monday, June 29, 2026, at 4:30 pm Eastern Time that will be webcast live. Wahid Nawabi, chairman, president and chief executive officer, Sean T. Woodward, executive vice president and chief financial officer, and Denise Pacioni, investor relations director, will host the call.</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Investors may access the call by registering via the following participant registration link up to ten minutes prior to the start time.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Participant registration URL:</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https://register-conf.media-server.com/register/BI1812701cade046388be08d47ca9d1de6</w:t>
      </w:r>
    </w:p>
    <w:p>
      <w:pPr>
        <w:spacing w:after="0" w:line="148"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Investors may also listen to the live audio webcast via the Investor Relations page of the AeroVironment, Inc. website, http://investor.avinc.com. Please allow 15 minutes prior to the call to download and install any necessary audio software.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282575</wp:posOffset>
            </wp:positionV>
            <wp:extent cx="631317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3170" cy="20320"/>
                    </a:xfrm>
                    <a:prstGeom prst="rect">
                      <a:avLst/>
                    </a:prstGeom>
                    <a:noFill/>
                  </pic:spPr>
                </pic:pic>
              </a:graphicData>
            </a:graphic>
          </wp:anchor>
        </w:drawing>
      </w:r>
    </w:p>
    <w:p>
      <w:pPr>
        <w:sectPr>
          <w:pgSz w:w="11900" w:h="16838" w:orient="portrait"/>
          <w:cols w:equalWidth="0" w:num="1">
            <w:col w:w="9940"/>
          </w:cols>
          <w:pgMar w:left="960" w:top="126" w:right="999"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auto"/>
        </w:rPr>
        <w:t>A supplementary investor presentation for the third quarter fiscal year 2026 can be accessed at https://investor.avinc.com/events-and-presentations.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Audio Replay</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An audio replay of the event will be archived on the Investor Relations section of the Company's website at http://investor.avinc.com.</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AEROVIRONMENT, INC.</w:t>
      </w:r>
    </w:p>
    <w:p>
      <w:pPr>
        <w:spacing w:after="0" w:line="248" w:lineRule="exact"/>
        <w:rPr>
          <w:sz w:val="20"/>
          <w:szCs w:val="20"/>
          <w:color w:val="auto"/>
        </w:rPr>
      </w:pPr>
    </w:p>
    <w:p>
      <w:pPr>
        <w:ind w:right="460"/>
        <w:spacing w:after="0" w:line="251" w:lineRule="auto"/>
        <w:rPr>
          <w:sz w:val="20"/>
          <w:szCs w:val="20"/>
          <w:color w:val="auto"/>
        </w:rPr>
      </w:pPr>
      <w:r>
        <w:rPr>
          <w:rFonts w:ascii="Arial" w:cs="Arial" w:eastAsia="Arial" w:hAnsi="Arial"/>
          <w:sz w:val="14"/>
          <w:szCs w:val="14"/>
          <w:color w:val="auto"/>
        </w:rPr>
        <w:t>AeroVironment (“AV”) (NASDAQ: AVAV) is a defense technology leader delivering integrated capabilities across air, land, sea, space, and cyber. The company develops and deploys autonomous systems, precision strike systems, counter-UAS technologies, space-based platforms, directed energy systems, and cyber and electronic warfare capabilities—built to meet the mission needs of today’s warfighter and tomorrow’s conflicts. With a national manufacturing footprint and a deep innovation pipeline, AV delivers proven systems and future-defining capabilities with speed, scale, and operational relevance. For more information visit: www.avinc.com.</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62"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This press release contains "forward-looking statements" as that term is defined in the Private Securities Litigation Reform Act of 1995. Forward-looking statements include, without limitation, any statement that may predict, forecast, indicate or imply future results, performance or achievements, and may contain words such as “will,” “believe,” “anticipate,” “expect,” “estimate,” “intend,” “project,” “plan,” or words or phrases with similar meaning. Forward-looking statements are based on current expectations, forecasts and assumptions that involve risks and uncertainties, including, but not limited to, economic, competitive, governmental and technological factors outside of our control, that may cause our business, strategy or actual results to differ materially from the forward-looking statements.</w:t>
      </w:r>
    </w:p>
    <w:p>
      <w:pPr>
        <w:spacing w:after="0" w:line="128"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Factors that could cause actual results to differ materially from the forward-looking statements include, but are not limited to, the impact of our ability to successfully close and integrate acquisitions into our operations and avoid disruptions from acquisition transactions that will harm our business; the recording of goodwill and other intangible assets as part of acquisitions that are subject to potential impairments in the future and any realization of such impairments; any actual or threatened disruptions to our relationships with our distributors, suppliers, customers and employees, including shortages in components for our products, whether due to restrictions and sanctions imposed by foreign governments or otherwise; the ability to timely and sufficiently integrate international operations into our ongoing business and compliance programs; reliance on sales to the U.S. government, including uncertainties in classification, pricing or potentially burdensome imposed terms for certain types of government contracts; availability of U.S. government funding for defense procurement and R&amp;D programs; our ability to win U.S. and international government R&amp;D and procurement programs, including foreign military financing aid; changes in the timing and/or amount of government spending, including due to continuing resolutions and/or changing government priorities; adverse impacts of any U.S. government shutdown; our ability to realize the anticipated benefits of the BlueHalo transaction or other acquisitions; our ability to execute contracts for anticipated sales, perform under such contracts and other existing contracts and obtain new contracts; risks related to our international business, including compliance with export control laws; the extensive and increasing regulatory requirements governing our contracts with the U.S. government and international customers; the consequences to our financial position, business and reputation that could result from failing to comply with applicable law, regulatory requirements, and contractual obligations; unexpected technical and marketing difficulties inherent in major research and product development efforts; the impact of potential security and cyber threats or the risk of unauthorized access to and resulting misuse of our, our customers’ and/or our suppliers’ information and systems; failure to remain a market innovator, to create new market opportunities or to expand into new markets; our ability to increase production capacity to support anticipated growth; unexpected changes in significant operating expenses, including components and raw materials; failure to develop new products or integrate new technology into current products; any increase in litigation activity or unfavorable results in legal proceedings, including pending class actions, or litigation that may arise from or in conjunction with our recent acquisitions; our ability to respond and adapt to legal, regulatory and government budgetary changes; our ability to comply with the covenants in our loan documents, outstanding convertible notes or acquisition and merger agreements for acquisitions; our ability to attract and retain skilled employees, including retention of employees of acquired companies; the impact of inflation; and general economic and business conditions in the United States and elsewhere in the world; and the failure to establish and maintain effective internal control over financial reporting. For a further list and description of such risks and uncertainties, see the reports we file with the Securities and Exchange Commission. We do not intend, and undertake no obligation, to update any forward-looking statements, whether as a result of new information, future events or otherwise.</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282575</wp:posOffset>
            </wp:positionV>
            <wp:extent cx="631317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3170" cy="20320"/>
                    </a:xfrm>
                    <a:prstGeom prst="rect">
                      <a:avLst/>
                    </a:prstGeom>
                    <a:noFill/>
                  </pic:spPr>
                </pic:pic>
              </a:graphicData>
            </a:graphic>
          </wp:anchor>
        </w:drawing>
      </w:r>
    </w:p>
    <w:p>
      <w:pPr>
        <w:sectPr>
          <w:pgSz w:w="11900" w:h="16838" w:orient="portrait"/>
          <w:cols w:equalWidth="0" w:num="1">
            <w:col w:w="9960"/>
          </w:cols>
          <w:pgMar w:left="960" w:top="125" w:right="97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NON-GAAP MEASURES</w:t>
      </w:r>
    </w:p>
    <w:p>
      <w:pPr>
        <w:spacing w:after="0" w:line="162"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 addition to the financial measures prepared in accordance with generally accepted accounting principles (GAAP), this earnings release also contains non-GAAP financial measures. See in the financial tables below the calculation of these measures, the reasons why we believe these measures provide useful information to investors, and a reconciliation of these measures to the most directly comparable GAAP measures.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Financial Tables Follow –</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282575</wp:posOffset>
            </wp:positionV>
            <wp:extent cx="63131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3170" cy="20320"/>
                    </a:xfrm>
                    <a:prstGeom prst="rect">
                      <a:avLst/>
                    </a:prstGeom>
                    <a:noFill/>
                  </pic:spPr>
                </pic:pic>
              </a:graphicData>
            </a:graphic>
          </wp:anchor>
        </w:drawing>
      </w:r>
    </w:p>
    <w:p>
      <w:pPr>
        <w:sectPr>
          <w:pgSz w:w="11900" w:h="16838" w:orient="portrait"/>
          <w:cols w:equalWidth="0" w:num="1">
            <w:col w:w="9900"/>
          </w:cols>
          <w:pgMar w:left="960" w:top="286" w:right="10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jc w:val="right"/>
              <w:ind w:right="277"/>
              <w:spacing w:after="0" w:line="112" w:lineRule="exact"/>
              <w:rPr>
                <w:sz w:val="20"/>
                <w:szCs w:val="20"/>
                <w:color w:val="auto"/>
              </w:rPr>
            </w:pPr>
            <w:r>
              <w:rPr>
                <w:rFonts w:ascii="Times New Roman" w:cs="Times New Roman" w:eastAsia="Times New Roman" w:hAnsi="Times New Roman"/>
                <w:sz w:val="11"/>
                <w:szCs w:val="11"/>
                <w:b w:val="1"/>
                <w:bCs w:val="1"/>
                <w:color w:val="auto"/>
              </w:rPr>
              <w:t>April 30,</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jc w:val="right"/>
              <w:ind w:right="276"/>
              <w:spacing w:after="0" w:line="112" w:lineRule="exact"/>
              <w:rPr>
                <w:sz w:val="20"/>
                <w:szCs w:val="20"/>
                <w:color w:val="auto"/>
              </w:rPr>
            </w:pPr>
            <w:r>
              <w:rPr>
                <w:rFonts w:ascii="Times New Roman" w:cs="Times New Roman" w:eastAsia="Times New Roman" w:hAnsi="Times New Roman"/>
                <w:sz w:val="11"/>
                <w:szCs w:val="11"/>
                <w:b w:val="1"/>
                <w:bCs w:val="1"/>
                <w:color w:val="auto"/>
              </w:rPr>
              <w:t>April 30,</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jc w:val="right"/>
              <w:ind w:right="297"/>
              <w:spacing w:after="0" w:line="112" w:lineRule="exact"/>
              <w:rPr>
                <w:sz w:val="20"/>
                <w:szCs w:val="20"/>
                <w:color w:val="auto"/>
              </w:rPr>
            </w:pPr>
            <w:r>
              <w:rPr>
                <w:rFonts w:ascii="Times New Roman" w:cs="Times New Roman" w:eastAsia="Times New Roman" w:hAnsi="Times New Roman"/>
                <w:sz w:val="11"/>
                <w:szCs w:val="11"/>
                <w:b w:val="1"/>
                <w:bCs w:val="1"/>
                <w:color w:val="auto"/>
              </w:rPr>
              <w:t>April 30,</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jc w:val="right"/>
              <w:ind w:right="276"/>
              <w:spacing w:after="0" w:line="112" w:lineRule="exact"/>
              <w:rPr>
                <w:sz w:val="20"/>
                <w:szCs w:val="20"/>
                <w:color w:val="auto"/>
              </w:rPr>
            </w:pPr>
            <w:r>
              <w:rPr>
                <w:rFonts w:ascii="Times New Roman" w:cs="Times New Roman" w:eastAsia="Times New Roman" w:hAnsi="Times New Roman"/>
                <w:sz w:val="11"/>
                <w:szCs w:val="11"/>
                <w:b w:val="1"/>
                <w:bCs w:val="1"/>
                <w:color w:val="auto"/>
              </w:rPr>
              <w:t>April 30,</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tcPr>
          <w:p>
            <w:pPr>
              <w:ind w:left="468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3"/>
          </w:tcPr>
          <w:p>
            <w:pPr>
              <w:jc w:val="right"/>
              <w:ind w:right="6"/>
              <w:spacing w:after="0" w:line="110"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3"/>
          </w:tcPr>
          <w:p>
            <w:pPr>
              <w:jc w:val="right"/>
              <w:ind w:right="26"/>
              <w:spacing w:after="0" w:line="110"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3"/>
                <w:szCs w:val="13"/>
                <w:color w:val="auto"/>
              </w:rPr>
              <w:t>Product sales</w:t>
            </w:r>
          </w:p>
        </w:tc>
        <w:tc>
          <w:tcPr>
            <w:tcW w:w="220" w:type="dxa"/>
            <w:vAlign w:val="bottom"/>
            <w:gridSpan w:val="2"/>
          </w:tcPr>
          <w:p>
            <w:pPr>
              <w:jc w:val="right"/>
              <w:ind w:right="8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498,965</w:t>
            </w:r>
          </w:p>
        </w:tc>
        <w:tc>
          <w:tcPr>
            <w:tcW w:w="440" w:type="dxa"/>
            <w:vAlign w:val="bottom"/>
            <w:gridSpan w:val="2"/>
          </w:tcPr>
          <w:p>
            <w:pPr>
              <w:jc w:val="right"/>
              <w:ind w:right="16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242,234</w:t>
            </w:r>
          </w:p>
        </w:tc>
        <w:tc>
          <w:tcPr>
            <w:tcW w:w="360" w:type="dxa"/>
            <w:vAlign w:val="bottom"/>
            <w:gridSpan w:val="2"/>
          </w:tcPr>
          <w:p>
            <w:pPr>
              <w:jc w:val="right"/>
              <w:ind w:right="8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1,415,349</w:t>
            </w:r>
          </w:p>
        </w:tc>
        <w:tc>
          <w:tcPr>
            <w:tcW w:w="440" w:type="dxa"/>
            <w:vAlign w:val="bottom"/>
            <w:gridSpan w:val="2"/>
          </w:tcPr>
          <w:p>
            <w:pPr>
              <w:jc w:val="right"/>
              <w:ind w:right="16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692,722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Contract services</w:t>
            </w: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142,651</w:t>
            </w:r>
          </w:p>
        </w:tc>
        <w:tc>
          <w:tcPr>
            <w:tcW w:w="1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32,816</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561,496</w:t>
            </w:r>
          </w:p>
        </w:tc>
        <w:tc>
          <w:tcPr>
            <w:tcW w:w="1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127,905</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641,616</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275,050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1,976,845</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820,627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3"/>
                <w:szCs w:val="13"/>
                <w:color w:val="auto"/>
              </w:rPr>
              <w:t>Product sales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287,173</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150,775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959,230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404,347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Contract services</w:t>
            </w: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151,818</w:t>
            </w:r>
          </w:p>
        </w:tc>
        <w:tc>
          <w:tcPr>
            <w:tcW w:w="1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23,943</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516,973</w:t>
            </w:r>
          </w:p>
        </w:tc>
        <w:tc>
          <w:tcPr>
            <w:tcW w:w="1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97,644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438,991</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174,718</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1,476,203</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501,991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margin:</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3"/>
                <w:szCs w:val="13"/>
                <w:color w:val="auto"/>
              </w:rPr>
              <w:t>Product sales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211,792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91,459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456,119</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288,375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Contract services</w:t>
            </w: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(9,167)</w:t>
            </w:r>
          </w:p>
        </w:tc>
        <w:tc>
          <w:tcPr>
            <w:tcW w:w="1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8,873</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44,523</w:t>
            </w:r>
          </w:p>
        </w:tc>
        <w:tc>
          <w:tcPr>
            <w:tcW w:w="1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30,261</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7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202,625</w:t>
            </w:r>
          </w:p>
        </w:tc>
        <w:tc>
          <w:tcPr>
            <w:tcW w:w="1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100,332</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500,642</w:t>
            </w:r>
          </w:p>
        </w:tc>
        <w:tc>
          <w:tcPr>
            <w:tcW w:w="1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318,636</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7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114,225</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43,254</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443,251</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158,753</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31,459</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24,902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127,678</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100,729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Impairment of goodwill</w:t>
            </w: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18,359</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240,708</w:t>
            </w:r>
          </w:p>
        </w:tc>
        <w:tc>
          <w:tcPr>
            <w:tcW w:w="1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18,359</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8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Income (loss) from operations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56,941</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13,817</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(310,995)</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40,795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(loss):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income (expense), net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3,437</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(5,613)</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income, net</w:t>
            </w: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4,074</w:t>
            </w:r>
          </w:p>
        </w:tc>
        <w:tc>
          <w:tcPr>
            <w:tcW w:w="1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10,986</w:t>
            </w:r>
          </w:p>
        </w:tc>
        <w:tc>
          <w:tcPr>
            <w:tcW w:w="1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8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Income (loss) before income taxes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64,452</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13,105</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(305,622)</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39,664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16,031</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(23,059)</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Equity method investment income, net of tax</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14,753</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3,782</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17,441</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4,837</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63,174</w:t>
            </w:r>
          </w:p>
        </w:tc>
        <w:tc>
          <w:tcPr>
            <w:tcW w:w="1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16,664</w:t>
            </w: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(265,122)</w:t>
            </w:r>
          </w:p>
        </w:tc>
        <w:tc>
          <w:tcPr>
            <w:tcW w:w="1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43,619</w:t>
            </w:r>
          </w:p>
        </w:tc>
        <w:tc>
          <w:tcPr>
            <w:tcW w:w="1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Net income (loss) per share</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7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Basic</w:t>
            </w:r>
          </w:p>
        </w:tc>
        <w:tc>
          <w:tcPr>
            <w:tcW w:w="2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4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36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4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220" w:type="dxa"/>
            <w:vAlign w:val="bottom"/>
            <w:gridSpan w:val="2"/>
          </w:tcPr>
          <w:p>
            <w:pPr>
              <w:jc w:val="right"/>
              <w:ind w:right="8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440" w:type="dxa"/>
            <w:vAlign w:val="bottom"/>
            <w:gridSpan w:val="2"/>
          </w:tcPr>
          <w:p>
            <w:pPr>
              <w:jc w:val="right"/>
              <w:ind w:right="16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360" w:type="dxa"/>
            <w:vAlign w:val="bottom"/>
            <w:gridSpan w:val="2"/>
          </w:tcPr>
          <w:p>
            <w:pPr>
              <w:jc w:val="right"/>
              <w:ind w:right="8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440" w:type="dxa"/>
            <w:vAlign w:val="bottom"/>
            <w:gridSpan w:val="2"/>
          </w:tcPr>
          <w:p>
            <w:pPr>
              <w:jc w:val="right"/>
              <w:ind w:right="16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shares outstanding:</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Basic</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50,097,894</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28,068,584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49,087,346</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28,018,656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50,486,838</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28,264,953</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49,087,346</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28,173,488</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282575</wp:posOffset>
            </wp:positionV>
            <wp:extent cx="631317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13170" cy="20320"/>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April 30,</w:t>
            </w: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660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96"/>
              <w:spacing w:after="0" w:line="120" w:lineRule="exact"/>
              <w:rPr>
                <w:sz w:val="20"/>
                <w:szCs w:val="20"/>
                <w:color w:val="auto"/>
              </w:rPr>
            </w:pPr>
            <w:r>
              <w:rPr>
                <w:rFonts w:ascii="Times New Roman" w:cs="Times New Roman" w:eastAsia="Times New Roman" w:hAnsi="Times New Roman"/>
                <w:sz w:val="11"/>
                <w:szCs w:val="11"/>
                <w:b w:val="1"/>
                <w:bCs w:val="1"/>
                <w:color w:val="auto"/>
              </w:rPr>
              <w:t>2026</w:t>
            </w: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16"/>
              <w:spacing w:after="0" w:line="120"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bottom w:val="single" w:sz="8" w:color="CCEEFF"/>
            </w:tcBorders>
          </w:tcPr>
          <w:p>
            <w:pPr>
              <w:spacing w:after="0"/>
              <w:rPr>
                <w:sz w:val="10"/>
                <w:szCs w:val="10"/>
                <w:color w:val="auto"/>
              </w:rPr>
            </w:pPr>
          </w:p>
        </w:tc>
      </w:tr>
      <w:tr>
        <w:trPr>
          <w:trHeight w:val="141"/>
        </w:trPr>
        <w:tc>
          <w:tcPr>
            <w:tcW w:w="20" w:type="dxa"/>
            <w:vAlign w:val="bottom"/>
          </w:tcPr>
          <w:p>
            <w:pPr>
              <w:spacing w:after="0"/>
              <w:rPr>
                <w:sz w:val="12"/>
                <w:szCs w:val="12"/>
                <w:color w:val="auto"/>
              </w:rPr>
            </w:pPr>
          </w:p>
        </w:tc>
        <w:tc>
          <w:tcPr>
            <w:tcW w:w="6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Assets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6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377,325</w:t>
            </w:r>
          </w:p>
        </w:tc>
        <w:tc>
          <w:tcPr>
            <w:tcW w:w="620" w:type="dxa"/>
            <w:vAlign w:val="bottom"/>
            <w:gridSpan w:val="4"/>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40,862</w:t>
            </w:r>
          </w:p>
        </w:tc>
        <w:tc>
          <w:tcPr>
            <w:tcW w:w="14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Short-term investments</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254,972</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receivable, net of allowance for credit losses of $1,961 at April 30, 2026 and $203 at April 30, 2025</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316,167</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101,967</w:t>
            </w:r>
          </w:p>
        </w:tc>
        <w:tc>
          <w:tcPr>
            <w:tcW w:w="14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Unbilled receivables and retentions</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570,408</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290,009</w:t>
            </w:r>
          </w:p>
        </w:tc>
        <w:tc>
          <w:tcPr>
            <w:tcW w:w="1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Inventories, net</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312,856</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144,090</w:t>
            </w:r>
          </w:p>
        </w:tc>
        <w:tc>
          <w:tcPr>
            <w:tcW w:w="14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Income taxes receivable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6,210</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1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7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52,485</w:t>
            </w:r>
          </w:p>
        </w:tc>
        <w:tc>
          <w:tcPr>
            <w:tcW w:w="40" w:type="dxa"/>
            <w:vAlign w:val="bottom"/>
            <w:tcBorders>
              <w:bottom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28,966</w:t>
            </w:r>
          </w:p>
        </w:tc>
        <w:tc>
          <w:tcPr>
            <w:tcW w:w="140" w:type="dxa"/>
            <w:vAlign w:val="bottom"/>
            <w:shd w:val="clear" w:color="auto" w:fill="CCEEFF"/>
          </w:tcPr>
          <w:p>
            <w:pPr>
              <w:spacing w:after="0"/>
              <w:rPr>
                <w:sz w:val="14"/>
                <w:szCs w:val="14"/>
                <w:color w:val="auto"/>
              </w:rPr>
            </w:pPr>
          </w:p>
        </w:tc>
      </w:tr>
      <w:tr>
        <w:trPr>
          <w:trHeight w:val="152"/>
        </w:trPr>
        <w:tc>
          <w:tcPr>
            <w:tcW w:w="662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Total current assets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1,890,423</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606,516</w:t>
            </w:r>
          </w:p>
        </w:tc>
        <w:tc>
          <w:tcPr>
            <w:tcW w:w="14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investments</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81,128</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31,627</w:t>
            </w:r>
          </w:p>
        </w:tc>
        <w:tc>
          <w:tcPr>
            <w:tcW w:w="14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166,719</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50,704</w:t>
            </w:r>
          </w:p>
        </w:tc>
        <w:tc>
          <w:tcPr>
            <w:tcW w:w="1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100,392</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31,879</w:t>
            </w:r>
          </w:p>
        </w:tc>
        <w:tc>
          <w:tcPr>
            <w:tcW w:w="14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61,460</w:t>
            </w:r>
          </w:p>
        </w:tc>
        <w:tc>
          <w:tcPr>
            <w:tcW w:w="1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Intangibles, net</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929,826</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48,711</w:t>
            </w:r>
          </w:p>
        </w:tc>
        <w:tc>
          <w:tcPr>
            <w:tcW w:w="14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2,493,678</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256,781</w:t>
            </w:r>
          </w:p>
        </w:tc>
        <w:tc>
          <w:tcPr>
            <w:tcW w:w="1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7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54,576</w:t>
            </w:r>
          </w:p>
        </w:tc>
        <w:tc>
          <w:tcPr>
            <w:tcW w:w="40" w:type="dxa"/>
            <w:vAlign w:val="bottom"/>
            <w:tcBorders>
              <w:bottom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32,889</w:t>
            </w:r>
          </w:p>
        </w:tc>
        <w:tc>
          <w:tcPr>
            <w:tcW w:w="140" w:type="dxa"/>
            <w:vAlign w:val="bottom"/>
            <w:shd w:val="clear" w:color="auto" w:fill="CCEEFF"/>
          </w:tcPr>
          <w:p>
            <w:pPr>
              <w:spacing w:after="0"/>
              <w:rPr>
                <w:sz w:val="14"/>
                <w:szCs w:val="14"/>
                <w:color w:val="auto"/>
              </w:rPr>
            </w:pPr>
          </w:p>
        </w:tc>
      </w:tr>
      <w:tr>
        <w:trPr>
          <w:trHeight w:val="192"/>
        </w:trPr>
        <w:tc>
          <w:tcPr>
            <w:tcW w:w="6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720" w:type="dxa"/>
            <w:vAlign w:val="bottom"/>
          </w:tcPr>
          <w:p>
            <w:pPr>
              <w:spacing w:after="0"/>
              <w:rPr>
                <w:sz w:val="16"/>
                <w:szCs w:val="16"/>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5,716,742</w:t>
            </w:r>
          </w:p>
        </w:tc>
        <w:tc>
          <w:tcPr>
            <w:tcW w:w="40" w:type="dxa"/>
            <w:vAlign w:val="bottom"/>
            <w:tcBorders>
              <w:bottom w:val="single" w:sz="8" w:color="auto"/>
            </w:tcBorders>
          </w:tcPr>
          <w:p>
            <w:pPr>
              <w:spacing w:after="0"/>
              <w:rPr>
                <w:sz w:val="16"/>
                <w:szCs w:val="16"/>
                <w:color w:val="auto"/>
              </w:rPr>
            </w:pPr>
          </w:p>
        </w:tc>
        <w:tc>
          <w:tcPr>
            <w:tcW w:w="280" w:type="dxa"/>
            <w:vAlign w:val="bottom"/>
            <w:gridSpan w:val="2"/>
          </w:tcPr>
          <w:p>
            <w:pPr>
              <w:spacing w:after="0"/>
              <w:rPr>
                <w:sz w:val="16"/>
                <w:szCs w:val="16"/>
                <w:color w:val="auto"/>
              </w:rPr>
            </w:pPr>
          </w:p>
        </w:tc>
        <w:tc>
          <w:tcPr>
            <w:tcW w:w="3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1,120,567</w:t>
            </w:r>
          </w:p>
        </w:tc>
        <w:tc>
          <w:tcPr>
            <w:tcW w:w="140" w:type="dxa"/>
            <w:vAlign w:val="bottom"/>
          </w:tcPr>
          <w:p>
            <w:pPr>
              <w:spacing w:after="0"/>
              <w:rPr>
                <w:sz w:val="16"/>
                <w:szCs w:val="16"/>
                <w:color w:val="auto"/>
              </w:rPr>
            </w:pPr>
          </w:p>
        </w:tc>
      </w:tr>
      <w:tr>
        <w:trPr>
          <w:trHeight w:val="123"/>
        </w:trPr>
        <w:tc>
          <w:tcPr>
            <w:tcW w:w="20" w:type="dxa"/>
            <w:vAlign w:val="bottom"/>
          </w:tcPr>
          <w:p>
            <w:pPr>
              <w:spacing w:after="0"/>
              <w:rPr>
                <w:sz w:val="10"/>
                <w:szCs w:val="10"/>
                <w:color w:val="auto"/>
              </w:rPr>
            </w:pPr>
          </w:p>
        </w:tc>
        <w:tc>
          <w:tcPr>
            <w:tcW w:w="6600" w:type="dxa"/>
            <w:vAlign w:val="bottom"/>
            <w:tcBorders>
              <w:top w:val="single" w:sz="8" w:color="CCEEFF"/>
            </w:tcBorders>
            <w:shd w:val="clear" w:color="auto" w:fill="CCEEFF"/>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7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payable</w:t>
            </w:r>
          </w:p>
        </w:tc>
        <w:tc>
          <w:tcPr>
            <w:tcW w:w="96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160,507</w:t>
            </w:r>
          </w:p>
        </w:tc>
        <w:tc>
          <w:tcPr>
            <w:tcW w:w="620" w:type="dxa"/>
            <w:vAlign w:val="bottom"/>
            <w:gridSpan w:val="4"/>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72,462</w:t>
            </w:r>
          </w:p>
        </w:tc>
        <w:tc>
          <w:tcPr>
            <w:tcW w:w="14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Wages and related accruals</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98,056</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44,253</w:t>
            </w:r>
          </w:p>
        </w:tc>
        <w:tc>
          <w:tcPr>
            <w:tcW w:w="1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Customer advances</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79,607</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15,952</w:t>
            </w:r>
          </w:p>
        </w:tc>
        <w:tc>
          <w:tcPr>
            <w:tcW w:w="14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Current operating lease liabilities</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17,594</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10,479</w:t>
            </w:r>
          </w:p>
        </w:tc>
        <w:tc>
          <w:tcPr>
            <w:tcW w:w="1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Income taxes payable</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4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7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82,949</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28,659</w:t>
            </w:r>
          </w:p>
        </w:tc>
        <w:tc>
          <w:tcPr>
            <w:tcW w:w="140" w:type="dxa"/>
            <w:vAlign w:val="bottom"/>
            <w:tcBorders>
              <w:bottom w:val="single" w:sz="8" w:color="CCEEFF"/>
            </w:tcBorders>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66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 current liabilities</w:t>
            </w: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439,237</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172,161</w:t>
            </w:r>
          </w:p>
        </w:tc>
        <w:tc>
          <w:tcPr>
            <w:tcW w:w="140" w:type="dxa"/>
            <w:vAlign w:val="bottom"/>
            <w:shd w:val="clear" w:color="auto" w:fill="CCEEFF"/>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728,967</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Non-current operating lease liabilities</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88,228</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23,812</w:t>
            </w:r>
          </w:p>
        </w:tc>
        <w:tc>
          <w:tcPr>
            <w:tcW w:w="14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1,986</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1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Liability for uncertain tax positions</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7,430</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6,061</w:t>
            </w:r>
          </w:p>
        </w:tc>
        <w:tc>
          <w:tcPr>
            <w:tcW w:w="14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50,494</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Preferred stock, $0.0001 par value:</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Authorized shares—10,000,000; none issued or outstanding at April 30, 2026 and April 30,2025</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Common stock, $0.0001 par value:</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Authorized shares—100,000,000</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Issued and outstanding shares—50,610,514 shares at April 30, 2026 and 28,267,517 shares at April 30, 2025</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4,396,845</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618,711</w:t>
            </w:r>
          </w:p>
        </w:tc>
        <w:tc>
          <w:tcPr>
            <w:tcW w:w="1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(5,635)</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(6,514)</w:t>
            </w:r>
          </w:p>
        </w:tc>
        <w:tc>
          <w:tcPr>
            <w:tcW w:w="14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Retained earnings</w:t>
            </w:r>
          </w:p>
        </w:tc>
        <w:tc>
          <w:tcPr>
            <w:tcW w:w="7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9,184</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274,306</w:t>
            </w:r>
          </w:p>
        </w:tc>
        <w:tc>
          <w:tcPr>
            <w:tcW w:w="140" w:type="dxa"/>
            <w:vAlign w:val="bottom"/>
            <w:tcBorders>
              <w:bottom w:val="single" w:sz="8" w:color="CCEEFF"/>
            </w:tcBorders>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66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 stockholders’ equity</w:t>
            </w:r>
          </w:p>
        </w:tc>
        <w:tc>
          <w:tcPr>
            <w:tcW w:w="7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4,400,400</w:t>
            </w:r>
          </w:p>
        </w:tc>
        <w:tc>
          <w:tcPr>
            <w:tcW w:w="4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886,507</w:t>
            </w:r>
          </w:p>
        </w:tc>
        <w:tc>
          <w:tcPr>
            <w:tcW w:w="140" w:type="dxa"/>
            <w:vAlign w:val="bottom"/>
            <w:shd w:val="clear" w:color="auto" w:fill="CCEEFF"/>
          </w:tcPr>
          <w:p>
            <w:pPr>
              <w:spacing w:after="0"/>
              <w:rPr>
                <w:sz w:val="13"/>
                <w:szCs w:val="13"/>
                <w:color w:val="auto"/>
              </w:rPr>
            </w:pPr>
          </w:p>
        </w:tc>
      </w:tr>
      <w:tr>
        <w:trPr>
          <w:trHeight w:val="152"/>
        </w:trPr>
        <w:tc>
          <w:tcPr>
            <w:tcW w:w="6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720" w:type="dxa"/>
            <w:vAlign w:val="bottom"/>
          </w:tcPr>
          <w:p>
            <w:pPr>
              <w:spacing w:after="0"/>
              <w:rPr>
                <w:sz w:val="13"/>
                <w:szCs w:val="13"/>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5,716,742</w:t>
            </w:r>
          </w:p>
        </w:tc>
        <w:tc>
          <w:tcPr>
            <w:tcW w:w="4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300" w:type="dxa"/>
            <w:vAlign w:val="bottom"/>
          </w:tcPr>
          <w:p>
            <w:pPr>
              <w:jc w:val="right"/>
              <w:ind w:right="233"/>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1,120,567</w:t>
            </w:r>
          </w:p>
        </w:tc>
        <w:tc>
          <w:tcPr>
            <w:tcW w:w="1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282575</wp:posOffset>
            </wp:positionV>
            <wp:extent cx="631317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13170" cy="20320"/>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1"/>
          <w:szCs w:val="11"/>
          <w:b w:val="1"/>
          <w:bCs w:val="1"/>
          <w:color w:val="auto"/>
        </w:rPr>
        <w:t>AeroVironment, Inc.</w:t>
      </w:r>
    </w:p>
    <w:p>
      <w:pPr>
        <w:jc w:val="center"/>
        <w:spacing w:after="0" w:line="236" w:lineRule="auto"/>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April 30,</w:t>
            </w: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right"/>
              <w:ind w:right="323"/>
              <w:spacing w:after="0" w:line="110" w:lineRule="exact"/>
              <w:rPr>
                <w:sz w:val="20"/>
                <w:szCs w:val="20"/>
                <w:color w:val="auto"/>
              </w:rPr>
            </w:pPr>
            <w:r>
              <w:rPr>
                <w:rFonts w:ascii="Times New Roman" w:cs="Times New Roman" w:eastAsia="Times New Roman" w:hAnsi="Times New Roman"/>
                <w:sz w:val="11"/>
                <w:szCs w:val="11"/>
                <w:b w:val="1"/>
                <w:bCs w:val="1"/>
                <w:color w:val="auto"/>
              </w:rPr>
              <w:t>2026</w:t>
            </w:r>
          </w:p>
        </w:tc>
        <w:tc>
          <w:tcPr>
            <w:tcW w:w="200" w:type="dxa"/>
            <w:vAlign w:val="bottom"/>
          </w:tcPr>
          <w:p>
            <w:pPr>
              <w:ind w:left="60"/>
              <w:spacing w:after="0" w:line="110"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ind w:right="323"/>
              <w:spacing w:after="0" w:line="110" w:lineRule="exact"/>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9"/>
                <w:szCs w:val="9"/>
                <w:color w:val="auto"/>
              </w:rPr>
            </w:pPr>
          </w:p>
        </w:tc>
        <w:tc>
          <w:tcPr>
            <w:tcW w:w="460" w:type="dxa"/>
            <w:vAlign w:val="bottom"/>
            <w:gridSpan w:val="2"/>
          </w:tcPr>
          <w:p>
            <w:pPr>
              <w:jc w:val="right"/>
              <w:ind w:right="337"/>
              <w:spacing w:after="0" w:line="110" w:lineRule="exact"/>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ind w:right="343"/>
              <w:spacing w:after="0" w:line="110"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9"/>
                <w:szCs w:val="9"/>
                <w:color w:val="auto"/>
              </w:rPr>
            </w:pPr>
          </w:p>
        </w:tc>
      </w:tr>
      <w:tr>
        <w:trPr>
          <w:trHeight w:val="120"/>
        </w:trPr>
        <w:tc>
          <w:tcPr>
            <w:tcW w:w="20" w:type="dxa"/>
            <w:vAlign w:val="bottom"/>
          </w:tcPr>
          <w:p>
            <w:pPr>
              <w:spacing w:after="0"/>
              <w:rPr>
                <w:sz w:val="10"/>
                <w:szCs w:val="10"/>
                <w:color w:val="auto"/>
              </w:rPr>
            </w:pPr>
          </w:p>
        </w:tc>
        <w:tc>
          <w:tcPr>
            <w:tcW w:w="4920" w:type="dxa"/>
            <w:vAlign w:val="bottom"/>
            <w:tcBorders>
              <w:top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Operating activities</w:t>
            </w:r>
          </w:p>
        </w:tc>
        <w:tc>
          <w:tcPr>
            <w:tcW w:w="13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1"/>
                <w:szCs w:val="11"/>
                <w:color w:val="auto"/>
              </w:rPr>
              <w:t>Net (loss) income</w:t>
            </w:r>
          </w:p>
        </w:tc>
        <w:tc>
          <w:tcPr>
            <w:tcW w:w="1540" w:type="dxa"/>
            <w:vAlign w:val="bottom"/>
            <w:gridSpan w:val="2"/>
          </w:tcPr>
          <w:p>
            <w:pPr>
              <w:jc w:val="right"/>
              <w:ind w:right="13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(265,122)</w:t>
            </w:r>
          </w:p>
        </w:tc>
        <w:tc>
          <w:tcPr>
            <w:tcW w:w="200" w:type="dxa"/>
            <w:vAlign w:val="bottom"/>
          </w:tcPr>
          <w:p>
            <w:pPr>
              <w:spacing w:after="0"/>
              <w:rPr>
                <w:sz w:val="11"/>
                <w:szCs w:val="11"/>
                <w:color w:val="auto"/>
              </w:rPr>
            </w:pPr>
          </w:p>
        </w:tc>
        <w:tc>
          <w:tcPr>
            <w:tcW w:w="30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43,619</w:t>
            </w:r>
          </w:p>
        </w:tc>
        <w:tc>
          <w:tcPr>
            <w:tcW w:w="40" w:type="dxa"/>
            <w:vAlign w:val="bottom"/>
          </w:tcPr>
          <w:p>
            <w:pPr>
              <w:spacing w:after="0"/>
              <w:rPr>
                <w:sz w:val="11"/>
                <w:szCs w:val="11"/>
                <w:color w:val="auto"/>
              </w:rPr>
            </w:pPr>
          </w:p>
        </w:tc>
        <w:tc>
          <w:tcPr>
            <w:tcW w:w="460" w:type="dxa"/>
            <w:vAlign w:val="bottom"/>
            <w:gridSpan w:val="2"/>
          </w:tcPr>
          <w:p>
            <w:pPr>
              <w:jc w:val="right"/>
              <w:ind w:right="15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59,666</w:t>
            </w: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Adjustments to reconcile net (loss) income to cash used in operating activities:</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265,037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40,998</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35,749</w:t>
            </w: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Impairment of goodwill</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240,708</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18,359</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20" w:type="dxa"/>
            <w:vAlign w:val="bottom"/>
          </w:tcPr>
          <w:p>
            <w:pPr>
              <w:spacing w:after="0"/>
              <w:rPr>
                <w:sz w:val="11"/>
                <w:szCs w:val="11"/>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(Gain)/Loss from equity method investments</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(17,441)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(4,837)</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1,674</w:t>
            </w: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Amortization of debt issuance costs</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11,408</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1,195</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1,009</w:t>
            </w:r>
          </w:p>
        </w:tc>
        <w:tc>
          <w:tcPr>
            <w:tcW w:w="140" w:type="dxa"/>
            <w:vAlign w:val="bottom"/>
            <w:shd w:val="clear" w:color="auto" w:fill="CCEEFF"/>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Reserve for inventory excess and obsolescence</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8,460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2,882</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13,937</w:t>
            </w:r>
          </w:p>
        </w:tc>
        <w:tc>
          <w:tcPr>
            <w:tcW w:w="140" w:type="dxa"/>
            <w:vAlign w:val="bottom"/>
            <w:shd w:val="clear" w:color="auto" w:fill="CCEEFF"/>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Other non-cash expense, net</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5,306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2,606</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1,316</w:t>
            </w: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Non-cash lease expense</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25,426</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10,163</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10,400</w:t>
            </w:r>
          </w:p>
        </w:tc>
        <w:tc>
          <w:tcPr>
            <w:tcW w:w="140" w:type="dxa"/>
            <w:vAlign w:val="bottom"/>
            <w:shd w:val="clear" w:color="auto" w:fill="CCEEFF"/>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Loss on foreign currency transactions</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(Gain) loss on sale of equity securities, net</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(11,720)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3,945</w:t>
            </w:r>
          </w:p>
        </w:tc>
        <w:tc>
          <w:tcPr>
            <w:tcW w:w="140" w:type="dxa"/>
            <w:vAlign w:val="bottom"/>
            <w:shd w:val="clear" w:color="auto" w:fill="CCEEFF"/>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Deferred income taxes</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(27,111)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(20,157)</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(23,290)</w:t>
            </w: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Stock-based compensation</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38,334</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21,461</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17,069</w:t>
            </w:r>
          </w:p>
        </w:tc>
        <w:tc>
          <w:tcPr>
            <w:tcW w:w="140" w:type="dxa"/>
            <w:vAlign w:val="bottom"/>
            <w:shd w:val="clear" w:color="auto" w:fill="CCEEFF"/>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Loss on disposal of property and equipment</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Amortization of debt securities</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(879)</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20" w:type="dxa"/>
            <w:vAlign w:val="bottom"/>
          </w:tcPr>
          <w:p>
            <w:pPr>
              <w:spacing w:after="0"/>
              <w:rPr>
                <w:sz w:val="11"/>
                <w:szCs w:val="11"/>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Changes in operating assets and liabilities, net of acquisitions:</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Accounts receivable</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(128,697)</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(31,761)</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19,208</w:t>
            </w:r>
          </w:p>
        </w:tc>
        <w:tc>
          <w:tcPr>
            <w:tcW w:w="140" w:type="dxa"/>
            <w:vAlign w:val="bottom"/>
            <w:shd w:val="clear" w:color="auto" w:fill="CCEEFF"/>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Unbilled receivables and retentions</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(158,980)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(90,514)</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(92,850)</w:t>
            </w: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Inventories</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(111,610)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2,966</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(23,045)</w:t>
            </w:r>
          </w:p>
        </w:tc>
        <w:tc>
          <w:tcPr>
            <w:tcW w:w="140" w:type="dxa"/>
            <w:vAlign w:val="bottom"/>
            <w:shd w:val="clear" w:color="auto" w:fill="CCEEFF"/>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Income taxes receivable</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(590)</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(19,940)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(21,010)</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(20,279)</w:t>
            </w:r>
          </w:p>
        </w:tc>
        <w:tc>
          <w:tcPr>
            <w:tcW w:w="140" w:type="dxa"/>
            <w:vAlign w:val="bottom"/>
            <w:shd w:val="clear" w:color="auto" w:fill="CCEEFF"/>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Accounts payable</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28,081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22,331</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12,968</w:t>
            </w: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Other liabilities</w:t>
            </w:r>
          </w:p>
        </w:tc>
        <w:tc>
          <w:tcPr>
            <w:tcW w:w="13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37,560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(2,832)</w:t>
            </w:r>
          </w:p>
        </w:tc>
        <w:tc>
          <w:tcPr>
            <w:tcW w:w="140" w:type="dxa"/>
            <w:vAlign w:val="bottom"/>
            <w:shd w:val="clear" w:color="auto" w:fill="CCEEFF"/>
          </w:tcPr>
          <w:p>
            <w:pPr>
              <w:spacing w:after="0"/>
              <w:rPr>
                <w:sz w:val="11"/>
                <w:szCs w:val="11"/>
                <w:color w:val="auto"/>
              </w:rPr>
            </w:pPr>
          </w:p>
        </w:tc>
      </w:tr>
      <w:tr>
        <w:trPr>
          <w:trHeight w:val="120"/>
        </w:trPr>
        <w:tc>
          <w:tcPr>
            <w:tcW w:w="4940" w:type="dxa"/>
            <w:vAlign w:val="bottom"/>
            <w:gridSpan w:val="2"/>
          </w:tcPr>
          <w:p>
            <w:pPr>
              <w:spacing w:after="0" w:line="120" w:lineRule="exact"/>
              <w:rPr>
                <w:sz w:val="20"/>
                <w:szCs w:val="20"/>
                <w:color w:val="auto"/>
              </w:rPr>
            </w:pPr>
            <w:r>
              <w:rPr>
                <w:rFonts w:ascii="Times New Roman" w:cs="Times New Roman" w:eastAsia="Times New Roman" w:hAnsi="Times New Roman"/>
                <w:sz w:val="11"/>
                <w:szCs w:val="11"/>
                <w:color w:val="auto"/>
              </w:rPr>
              <w:t>Net cash (used in) provided by operating activities</w:t>
            </w:r>
          </w:p>
        </w:tc>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(78,404)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(1,318)</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15,292</w:t>
            </w:r>
          </w:p>
        </w:tc>
        <w:tc>
          <w:tcPr>
            <w:tcW w:w="140" w:type="dxa"/>
            <w:vAlign w:val="bottom"/>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1"/>
                <w:szCs w:val="11"/>
                <w:color w:val="auto"/>
              </w:rPr>
              <w:t>Acquisition of property and equipment</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(62,544)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(19,547)</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(22,983)</w:t>
            </w: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Acquisition of capitalized software to be sold</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(23,674)</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(3,269)</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1"/>
                <w:szCs w:val="11"/>
                <w:color w:val="auto"/>
              </w:rPr>
              <w:t>Contributions in equity method investments</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(5,674)</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(3,074)</w:t>
            </w: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Purchase of available-for-sale investments</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(369,867)</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1"/>
                <w:szCs w:val="11"/>
                <w:color w:val="auto"/>
              </w:rPr>
              <w:t>Redemption of available-for-sale investments</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94,500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Purchase of equity and debt investments</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1"/>
                <w:szCs w:val="11"/>
                <w:color w:val="auto"/>
              </w:rPr>
              <w:t>Proceeds from sale of equity securities</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19,214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Exercise of warrants</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1"/>
                <w:szCs w:val="11"/>
                <w:color w:val="auto"/>
              </w:rPr>
              <w:t>Acquisition of intangibles</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Business acquisitions, net of cash acquired</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(871,507)</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(24,157)</w:t>
            </w:r>
          </w:p>
        </w:tc>
        <w:tc>
          <w:tcPr>
            <w:tcW w:w="140" w:type="dxa"/>
            <w:vAlign w:val="bottom"/>
            <w:shd w:val="clear" w:color="auto" w:fill="CCEEFF"/>
          </w:tcPr>
          <w:p>
            <w:pPr>
              <w:spacing w:after="0"/>
              <w:rPr>
                <w:sz w:val="11"/>
                <w:szCs w:val="11"/>
                <w:color w:val="auto"/>
              </w:rPr>
            </w:pPr>
          </w:p>
        </w:tc>
      </w:tr>
      <w:tr>
        <w:trPr>
          <w:trHeight w:val="120"/>
        </w:trPr>
        <w:tc>
          <w:tcPr>
            <w:tcW w:w="4940" w:type="dxa"/>
            <w:vAlign w:val="bottom"/>
            <w:gridSpan w:val="2"/>
          </w:tcPr>
          <w:p>
            <w:pPr>
              <w:spacing w:after="0" w:line="120" w:lineRule="exact"/>
              <w:rPr>
                <w:sz w:val="20"/>
                <w:szCs w:val="20"/>
                <w:color w:val="auto"/>
              </w:rPr>
            </w:pPr>
            <w:r>
              <w:rPr>
                <w:rFonts w:ascii="Times New Roman" w:cs="Times New Roman" w:eastAsia="Times New Roman" w:hAnsi="Times New Roman"/>
                <w:sz w:val="11"/>
                <w:szCs w:val="11"/>
                <w:color w:val="auto"/>
              </w:rPr>
              <w:t>Net cash used in investing activities</w:t>
            </w:r>
          </w:p>
        </w:tc>
        <w:tc>
          <w:tcPr>
            <w:tcW w:w="1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(1,232,671)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(28,490)</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(51,714)</w:t>
            </w:r>
          </w:p>
        </w:tc>
        <w:tc>
          <w:tcPr>
            <w:tcW w:w="140" w:type="dxa"/>
            <w:vAlign w:val="bottom"/>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Financing activities</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1"/>
                <w:szCs w:val="11"/>
                <w:color w:val="auto"/>
              </w:rPr>
              <w:t>Proceeds from revolving credit facility</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233,939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40,000</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Principal payments of term loan</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(700,000)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(28,000)</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(107,000)</w:t>
            </w:r>
          </w:p>
        </w:tc>
        <w:tc>
          <w:tcPr>
            <w:tcW w:w="140" w:type="dxa"/>
            <w:vAlign w:val="bottom"/>
            <w:shd w:val="clear" w:color="auto" w:fill="CCEEFF"/>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1"/>
                <w:szCs w:val="11"/>
                <w:color w:val="auto"/>
              </w:rPr>
              <w:t>Principal payments of revolver</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(265,000)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Proceeds from long-term debt</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693,202</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1"/>
                <w:szCs w:val="11"/>
                <w:color w:val="auto"/>
              </w:rPr>
              <w:t>Proceeds from shares issued, net of underwriter costs</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968,515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88,437</w:t>
            </w: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Payment of contingent consideration</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(2,132)</w:t>
            </w:r>
          </w:p>
        </w:tc>
        <w:tc>
          <w:tcPr>
            <w:tcW w:w="140" w:type="dxa"/>
            <w:vAlign w:val="bottom"/>
            <w:shd w:val="clear" w:color="auto" w:fill="CCEEFF"/>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1"/>
                <w:szCs w:val="11"/>
                <w:color w:val="auto"/>
              </w:rPr>
              <w:t>Proceeds from convertible debt, net of underwriter costs</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726,944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Payment of debt issuance costs</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(2,445)</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(1,151)</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40" w:type="dxa"/>
            <w:vAlign w:val="bottom"/>
            <w:shd w:val="clear" w:color="auto" w:fill="CCEEFF"/>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1"/>
                <w:szCs w:val="11"/>
                <w:color w:val="auto"/>
              </w:rPr>
              <w:t>Payment of equity issuance costs</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(2,896)</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Holdback and retention payments for business acquisition</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40" w:type="dxa"/>
            <w:vAlign w:val="bottom"/>
            <w:shd w:val="clear" w:color="auto" w:fill="CCEEFF"/>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1"/>
                <w:szCs w:val="11"/>
                <w:color w:val="auto"/>
              </w:rPr>
              <w:t>Tax withholding payment related to net settlement of equity awards</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(10,928)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(4,147)</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(1,596)</w:t>
            </w: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Employee stock purchase plan contributions</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4,355</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1,910</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1"/>
                <w:szCs w:val="11"/>
                <w:color w:val="auto"/>
              </w:rPr>
              <w:t>Exercise of stock options</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1,841</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w:t>
            </w:r>
          </w:p>
        </w:tc>
        <w:tc>
          <w:tcPr>
            <w:tcW w:w="13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40" w:type="dxa"/>
            <w:vAlign w:val="bottom"/>
            <w:shd w:val="clear" w:color="auto" w:fill="CCEEFF"/>
          </w:tcPr>
          <w:p>
            <w:pPr>
              <w:spacing w:after="0"/>
              <w:rPr>
                <w:sz w:val="11"/>
                <w:szCs w:val="11"/>
                <w:color w:val="auto"/>
              </w:rPr>
            </w:pPr>
          </w:p>
        </w:tc>
      </w:tr>
      <w:tr>
        <w:trPr>
          <w:trHeight w:val="120"/>
        </w:trPr>
        <w:tc>
          <w:tcPr>
            <w:tcW w:w="4940" w:type="dxa"/>
            <w:vAlign w:val="bottom"/>
            <w:gridSpan w:val="2"/>
          </w:tcPr>
          <w:p>
            <w:pPr>
              <w:spacing w:after="0" w:line="120" w:lineRule="exact"/>
              <w:rPr>
                <w:sz w:val="20"/>
                <w:szCs w:val="20"/>
                <w:color w:val="auto"/>
              </w:rPr>
            </w:pPr>
            <w:r>
              <w:rPr>
                <w:rFonts w:ascii="Times New Roman" w:cs="Times New Roman" w:eastAsia="Times New Roman" w:hAnsi="Times New Roman"/>
                <w:sz w:val="11"/>
                <w:szCs w:val="11"/>
                <w:color w:val="auto"/>
              </w:rPr>
              <w:t>Net cash provided by (used in) financing activities</w:t>
            </w:r>
          </w:p>
        </w:tc>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1,647,178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(2,856)</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(22,852)</w:t>
            </w:r>
          </w:p>
        </w:tc>
        <w:tc>
          <w:tcPr>
            <w:tcW w:w="140" w:type="dxa"/>
            <w:vAlign w:val="bottom"/>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Effects of currency translation on cash and cash equivalents</w:t>
            </w:r>
          </w:p>
        </w:tc>
        <w:tc>
          <w:tcPr>
            <w:tcW w:w="13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140" w:type="dxa"/>
            <w:vAlign w:val="bottom"/>
            <w:shd w:val="clear" w:color="auto" w:fill="CCEEFF"/>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492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Net increase (decrease) in cash and cash equivalents</w:t>
            </w: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336,463</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(32,439)</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(59,558)</w:t>
            </w:r>
          </w:p>
        </w:tc>
        <w:tc>
          <w:tcPr>
            <w:tcW w:w="140" w:type="dxa"/>
            <w:vAlign w:val="bottom"/>
          </w:tcPr>
          <w:p>
            <w:pPr>
              <w:spacing w:after="0"/>
              <w:rPr>
                <w:sz w:val="9"/>
                <w:szCs w:val="9"/>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 at beginning of period</w:t>
            </w:r>
          </w:p>
        </w:tc>
        <w:tc>
          <w:tcPr>
            <w:tcW w:w="13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40,862</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73,301</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132,859</w:t>
            </w:r>
          </w:p>
        </w:tc>
        <w:tc>
          <w:tcPr>
            <w:tcW w:w="140" w:type="dxa"/>
            <w:vAlign w:val="bottom"/>
            <w:shd w:val="clear" w:color="auto" w:fill="CCEEFF"/>
          </w:tcPr>
          <w:p>
            <w:pPr>
              <w:spacing w:after="0"/>
              <w:rPr>
                <w:sz w:val="11"/>
                <w:szCs w:val="11"/>
                <w:color w:val="auto"/>
              </w:rPr>
            </w:pPr>
          </w:p>
        </w:tc>
      </w:tr>
      <w:tr>
        <w:trPr>
          <w:trHeight w:val="149"/>
        </w:trPr>
        <w:tc>
          <w:tcPr>
            <w:tcW w:w="4940" w:type="dxa"/>
            <w:vAlign w:val="bottom"/>
            <w:gridSpan w:val="2"/>
          </w:tcPr>
          <w:p>
            <w:pPr>
              <w:spacing w:after="0" w:line="110" w:lineRule="exact"/>
              <w:rPr>
                <w:sz w:val="20"/>
                <w:szCs w:val="20"/>
                <w:color w:val="auto"/>
              </w:rPr>
            </w:pPr>
            <w:r>
              <w:rPr>
                <w:rFonts w:ascii="Times New Roman" w:cs="Times New Roman" w:eastAsia="Times New Roman" w:hAnsi="Times New Roman"/>
                <w:sz w:val="11"/>
                <w:szCs w:val="11"/>
                <w:color w:val="auto"/>
              </w:rPr>
              <w:t>Cash and cash equivalents at end of period</w:t>
            </w:r>
          </w:p>
        </w:tc>
        <w:tc>
          <w:tcPr>
            <w:tcW w:w="1340" w:type="dxa"/>
            <w:vAlign w:val="bottom"/>
          </w:tcPr>
          <w:p>
            <w:pPr>
              <w:spacing w:after="0"/>
              <w:rPr>
                <w:sz w:val="12"/>
                <w:szCs w:val="12"/>
                <w:color w:val="auto"/>
              </w:rPr>
            </w:pPr>
          </w:p>
        </w:tc>
        <w:tc>
          <w:tcPr>
            <w:tcW w:w="2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377,325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103"/>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40,862</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73,301</w:t>
            </w:r>
          </w:p>
        </w:tc>
        <w:tc>
          <w:tcPr>
            <w:tcW w:w="140" w:type="dxa"/>
            <w:vAlign w:val="bottom"/>
          </w:tcPr>
          <w:p>
            <w:pPr>
              <w:spacing w:after="0"/>
              <w:rPr>
                <w:sz w:val="12"/>
                <w:szCs w:val="12"/>
                <w:color w:val="auto"/>
              </w:rPr>
            </w:pPr>
          </w:p>
        </w:tc>
      </w:tr>
      <w:tr>
        <w:trPr>
          <w:trHeight w:val="101"/>
        </w:trPr>
        <w:tc>
          <w:tcPr>
            <w:tcW w:w="20" w:type="dxa"/>
            <w:vAlign w:val="bottom"/>
          </w:tcPr>
          <w:p>
            <w:pPr>
              <w:spacing w:after="0"/>
              <w:rPr>
                <w:sz w:val="8"/>
                <w:szCs w:val="8"/>
                <w:color w:val="auto"/>
              </w:rPr>
            </w:pPr>
          </w:p>
        </w:tc>
        <w:tc>
          <w:tcPr>
            <w:tcW w:w="4920" w:type="dxa"/>
            <w:vAlign w:val="bottom"/>
            <w:tcBorders>
              <w:top w:val="single" w:sz="8" w:color="CCEEFF"/>
            </w:tcBorders>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Supplemental disclosures of cash flow information</w:t>
            </w:r>
          </w:p>
        </w:tc>
        <w:tc>
          <w:tcPr>
            <w:tcW w:w="13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1"/>
                <w:szCs w:val="11"/>
                <w:color w:val="auto"/>
              </w:rPr>
              <w:t>Cash paid, net during the period for:</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Income taxes</w:t>
            </w:r>
          </w:p>
        </w:tc>
        <w:tc>
          <w:tcPr>
            <w:tcW w:w="154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3,606</w:t>
            </w: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24,631</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20,438</w:t>
            </w:r>
          </w:p>
        </w:tc>
        <w:tc>
          <w:tcPr>
            <w:tcW w:w="140" w:type="dxa"/>
            <w:vAlign w:val="bottom"/>
            <w:shd w:val="clear" w:color="auto" w:fill="CCEEFF"/>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Interest</w:t>
            </w:r>
          </w:p>
        </w:tc>
        <w:tc>
          <w:tcPr>
            <w:tcW w:w="1540" w:type="dxa"/>
            <w:vAlign w:val="bottom"/>
            <w:gridSpan w:val="2"/>
          </w:tcPr>
          <w:p>
            <w:pPr>
              <w:jc w:val="right"/>
              <w:ind w:right="13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12,847</w:t>
            </w:r>
          </w:p>
        </w:tc>
        <w:tc>
          <w:tcPr>
            <w:tcW w:w="200" w:type="dxa"/>
            <w:vAlign w:val="bottom"/>
          </w:tcPr>
          <w:p>
            <w:pPr>
              <w:spacing w:after="0"/>
              <w:rPr>
                <w:sz w:val="11"/>
                <w:szCs w:val="11"/>
                <w:color w:val="auto"/>
              </w:rPr>
            </w:pPr>
          </w:p>
        </w:tc>
        <w:tc>
          <w:tcPr>
            <w:tcW w:w="30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1,757</w:t>
            </w:r>
          </w:p>
        </w:tc>
        <w:tc>
          <w:tcPr>
            <w:tcW w:w="40" w:type="dxa"/>
            <w:vAlign w:val="bottom"/>
          </w:tcPr>
          <w:p>
            <w:pPr>
              <w:spacing w:after="0"/>
              <w:rPr>
                <w:sz w:val="11"/>
                <w:szCs w:val="11"/>
                <w:color w:val="auto"/>
              </w:rPr>
            </w:pPr>
          </w:p>
        </w:tc>
        <w:tc>
          <w:tcPr>
            <w:tcW w:w="460" w:type="dxa"/>
            <w:vAlign w:val="bottom"/>
            <w:gridSpan w:val="2"/>
          </w:tcPr>
          <w:p>
            <w:pPr>
              <w:jc w:val="right"/>
              <w:ind w:right="15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6,823</w:t>
            </w: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Non-cash activities</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for business acquisition</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2,782,553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109,820</w:t>
            </w: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Unrealized loss on available-for-sale investments</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1"/>
                <w:szCs w:val="11"/>
                <w:color w:val="auto"/>
              </w:rPr>
              <w:t>Change in foreign currency translation adjustments</w:t>
            </w:r>
          </w:p>
        </w:tc>
        <w:tc>
          <w:tcPr>
            <w:tcW w:w="1540" w:type="dxa"/>
            <w:vAlign w:val="bottom"/>
            <w:gridSpan w:val="2"/>
          </w:tcPr>
          <w:p>
            <w:pPr>
              <w:jc w:val="right"/>
              <w:ind w:right="13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1,094</w:t>
            </w:r>
          </w:p>
        </w:tc>
        <w:tc>
          <w:tcPr>
            <w:tcW w:w="200" w:type="dxa"/>
            <w:vAlign w:val="bottom"/>
          </w:tcPr>
          <w:p>
            <w:pPr>
              <w:spacing w:after="0"/>
              <w:rPr>
                <w:sz w:val="11"/>
                <w:szCs w:val="11"/>
                <w:color w:val="auto"/>
              </w:rPr>
            </w:pPr>
          </w:p>
        </w:tc>
        <w:tc>
          <w:tcPr>
            <w:tcW w:w="30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(922)</w:t>
            </w:r>
          </w:p>
        </w:tc>
        <w:tc>
          <w:tcPr>
            <w:tcW w:w="40" w:type="dxa"/>
            <w:vAlign w:val="bottom"/>
          </w:tcPr>
          <w:p>
            <w:pPr>
              <w:spacing w:after="0"/>
              <w:rPr>
                <w:sz w:val="11"/>
                <w:szCs w:val="11"/>
                <w:color w:val="auto"/>
              </w:rPr>
            </w:pPr>
          </w:p>
        </w:tc>
        <w:tc>
          <w:tcPr>
            <w:tcW w:w="460" w:type="dxa"/>
            <w:vAlign w:val="bottom"/>
            <w:gridSpan w:val="2"/>
          </w:tcPr>
          <w:p>
            <w:pPr>
              <w:jc w:val="right"/>
              <w:ind w:right="15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(1,140)</w:t>
            </w:r>
          </w:p>
        </w:tc>
        <w:tc>
          <w:tcPr>
            <w:tcW w:w="1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Acquisitions of property and equipment included in accounts payable</w:t>
            </w:r>
          </w:p>
        </w:tc>
        <w:tc>
          <w:tcPr>
            <w:tcW w:w="154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3,610</w:t>
            </w: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2,204</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986</w:t>
            </w:r>
          </w:p>
        </w:tc>
        <w:tc>
          <w:tcPr>
            <w:tcW w:w="140" w:type="dxa"/>
            <w:vAlign w:val="bottom"/>
            <w:shd w:val="clear" w:color="auto" w:fill="CCEEFF"/>
          </w:tcPr>
          <w:p>
            <w:pPr>
              <w:spacing w:after="0"/>
              <w:rPr>
                <w:sz w:val="11"/>
                <w:szCs w:val="11"/>
                <w:color w:val="auto"/>
              </w:rPr>
            </w:pPr>
          </w:p>
        </w:tc>
      </w:tr>
    </w:tbl>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282575</wp:posOffset>
            </wp:positionV>
            <wp:extent cx="631317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13170" cy="20320"/>
                    </a:xfrm>
                    <a:prstGeom prst="rect">
                      <a:avLst/>
                    </a:prstGeom>
                    <a:noFill/>
                  </pic:spPr>
                </pic:pic>
              </a:graphicData>
            </a:graphic>
          </wp:anchor>
        </w:drawing>
      </w:r>
    </w:p>
    <w:p>
      <w:pPr>
        <w:sectPr>
          <w:pgSz w:w="11900" w:h="16838" w:orient="portrait"/>
          <w:cols w:equalWidth="0" w:num="1">
            <w:col w:w="9960"/>
          </w:cols>
          <w:pgMar w:left="960" w:top="120" w:right="9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Reportable Segment Results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7"/>
          </w:tcPr>
          <w:p>
            <w:pPr>
              <w:ind w:left="140"/>
              <w:spacing w:after="0"/>
              <w:rPr>
                <w:sz w:val="20"/>
                <w:szCs w:val="20"/>
                <w:color w:val="auto"/>
              </w:rPr>
            </w:pPr>
            <w:r>
              <w:rPr>
                <w:rFonts w:ascii="Times New Roman" w:cs="Times New Roman" w:eastAsia="Times New Roman" w:hAnsi="Times New Roman"/>
                <w:sz w:val="11"/>
                <w:szCs w:val="11"/>
                <w:b w:val="1"/>
                <w:bCs w:val="1"/>
                <w:color w:val="auto"/>
              </w:rPr>
              <w:t>Three Months Ended April 30, 2026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tcPr>
          <w:p>
            <w:pPr>
              <w:ind w:left="502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28"/>
              <w:spacing w:after="0"/>
              <w:rPr>
                <w:sz w:val="20"/>
                <w:szCs w:val="20"/>
                <w:color w:val="auto"/>
              </w:rPr>
            </w:pPr>
            <w:r>
              <w:rPr>
                <w:rFonts w:ascii="Times New Roman" w:cs="Times New Roman" w:eastAsia="Times New Roman" w:hAnsi="Times New Roman"/>
                <w:sz w:val="11"/>
                <w:szCs w:val="11"/>
                <w:b w:val="1"/>
                <w:bCs w:val="1"/>
                <w:color w:val="auto"/>
              </w:rPr>
              <w:t>AxS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gridSpan w:val="3"/>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SCDE</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492,435</w:t>
            </w:r>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149,181</w:t>
            </w:r>
          </w:p>
        </w:tc>
        <w:tc>
          <w:tcPr>
            <w:tcW w:w="3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641,616</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adjusted EBITDA</w:t>
            </w:r>
          </w:p>
        </w:tc>
        <w:tc>
          <w:tcPr>
            <w:tcW w:w="700" w:type="dxa"/>
            <w:vAlign w:val="bottom"/>
            <w:gridSpan w:val="3"/>
            <w:shd w:val="clear" w:color="auto" w:fill="CCEEFF"/>
          </w:tcPr>
          <w:p>
            <w:pPr>
              <w:jc w:val="right"/>
              <w:ind w:right="46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138,653</w:t>
            </w:r>
          </w:p>
        </w:tc>
        <w:tc>
          <w:tcPr>
            <w:tcW w:w="520" w:type="dxa"/>
            <w:vAlign w:val="bottom"/>
            <w:gridSpan w:val="2"/>
            <w:shd w:val="clear" w:color="auto" w:fill="CCEEFF"/>
          </w:tcPr>
          <w:p>
            <w:pPr>
              <w:jc w:val="center"/>
              <w:ind w:left="9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5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140,066</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7"/>
          </w:tcPr>
          <w:p>
            <w:pPr>
              <w:ind w:left="140"/>
              <w:spacing w:after="0"/>
              <w:rPr>
                <w:sz w:val="20"/>
                <w:szCs w:val="20"/>
                <w:color w:val="auto"/>
              </w:rPr>
            </w:pPr>
            <w:r>
              <w:rPr>
                <w:rFonts w:ascii="Times New Roman" w:cs="Times New Roman" w:eastAsia="Times New Roman" w:hAnsi="Times New Roman"/>
                <w:sz w:val="11"/>
                <w:szCs w:val="11"/>
                <w:b w:val="1"/>
                <w:bCs w:val="1"/>
                <w:color w:val="auto"/>
              </w:rPr>
              <w:t>Three Months Ended April 30, 2025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tcPr>
          <w:p>
            <w:pPr>
              <w:ind w:left="502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28"/>
              <w:spacing w:after="0"/>
              <w:rPr>
                <w:sz w:val="20"/>
                <w:szCs w:val="20"/>
                <w:color w:val="auto"/>
              </w:rPr>
            </w:pPr>
            <w:r>
              <w:rPr>
                <w:rFonts w:ascii="Times New Roman" w:cs="Times New Roman" w:eastAsia="Times New Roman" w:hAnsi="Times New Roman"/>
                <w:sz w:val="11"/>
                <w:szCs w:val="11"/>
                <w:b w:val="1"/>
                <w:bCs w:val="1"/>
                <w:color w:val="auto"/>
              </w:rPr>
              <w:t>AxS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gridSpan w:val="3"/>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SCDE</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275,050</w:t>
            </w:r>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275,050</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54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adjusted EBITDA</w:t>
            </w:r>
          </w:p>
        </w:tc>
        <w:tc>
          <w:tcPr>
            <w:tcW w:w="700" w:type="dxa"/>
            <w:vAlign w:val="bottom"/>
            <w:gridSpan w:val="3"/>
            <w:shd w:val="clear" w:color="auto" w:fill="CCEEFF"/>
          </w:tcPr>
          <w:p>
            <w:pPr>
              <w:jc w:val="right"/>
              <w:ind w:right="46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61,619</w:t>
            </w:r>
          </w:p>
        </w:tc>
        <w:tc>
          <w:tcPr>
            <w:tcW w:w="520" w:type="dxa"/>
            <w:vAlign w:val="bottom"/>
            <w:gridSpan w:val="2"/>
            <w:shd w:val="clear" w:color="auto" w:fill="CCEEFF"/>
          </w:tcPr>
          <w:p>
            <w:pPr>
              <w:jc w:val="center"/>
              <w:ind w:left="9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61,619</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860" w:type="dxa"/>
            <w:vAlign w:val="bottom"/>
            <w:gridSpan w:val="4"/>
          </w:tcPr>
          <w:p>
            <w:pPr>
              <w:ind w:left="4340"/>
              <w:spacing w:after="0"/>
              <w:rPr>
                <w:sz w:val="20"/>
                <w:szCs w:val="20"/>
                <w:color w:val="auto"/>
              </w:rPr>
            </w:pPr>
            <w:r>
              <w:rPr>
                <w:rFonts w:ascii="Times New Roman" w:cs="Times New Roman" w:eastAsia="Times New Roman" w:hAnsi="Times New Roman"/>
                <w:sz w:val="14"/>
                <w:szCs w:val="14"/>
                <w:b w:val="1"/>
                <w:bCs w:val="1"/>
                <w:color w:val="auto"/>
              </w:rPr>
              <w:t>AeroVironment, Inc.</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00" w:type="dxa"/>
            <w:vAlign w:val="bottom"/>
            <w:gridSpan w:val="9"/>
          </w:tcPr>
          <w:p>
            <w:pPr>
              <w:ind w:left="2840"/>
              <w:spacing w:after="0"/>
              <w:rPr>
                <w:sz w:val="20"/>
                <w:szCs w:val="20"/>
                <w:color w:val="auto"/>
              </w:rPr>
            </w:pPr>
            <w:r>
              <w:rPr>
                <w:rFonts w:ascii="Times New Roman" w:cs="Times New Roman" w:eastAsia="Times New Roman" w:hAnsi="Times New Roman"/>
                <w:sz w:val="14"/>
                <w:szCs w:val="14"/>
                <w:b w:val="1"/>
                <w:bCs w:val="1"/>
                <w:color w:val="auto"/>
              </w:rPr>
              <w:t>Reconciliation of non-GAAP Earnings per Diluted Share (Unaudited)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tcPr>
          <w:p>
            <w:pPr>
              <w:jc w:val="right"/>
              <w:ind w:right="108"/>
              <w:spacing w:after="0" w:line="90" w:lineRule="exact"/>
              <w:rPr>
                <w:sz w:val="20"/>
                <w:szCs w:val="20"/>
                <w:color w:val="auto"/>
              </w:rPr>
            </w:pPr>
            <w:r>
              <w:rPr>
                <w:rFonts w:ascii="Times New Roman" w:cs="Times New Roman" w:eastAsia="Times New Roman" w:hAnsi="Times New Roman"/>
                <w:sz w:val="10"/>
                <w:szCs w:val="10"/>
                <w:b w:val="1"/>
                <w:bCs w:val="1"/>
                <w:color w:val="auto"/>
              </w:rPr>
              <w:t>Three Months</w:t>
            </w:r>
          </w:p>
        </w:tc>
        <w:tc>
          <w:tcPr>
            <w:tcW w:w="1220" w:type="dxa"/>
            <w:vAlign w:val="bottom"/>
            <w:gridSpan w:val="5"/>
            <w:vMerge w:val="restart"/>
          </w:tcPr>
          <w:p>
            <w:pPr>
              <w:jc w:val="center"/>
              <w:ind w:left="115"/>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00" w:type="dxa"/>
            <w:vAlign w:val="bottom"/>
          </w:tcPr>
          <w:p>
            <w:pPr>
              <w:spacing w:after="0"/>
              <w:rPr>
                <w:sz w:val="7"/>
                <w:szCs w:val="7"/>
                <w:color w:val="auto"/>
              </w:rPr>
            </w:pPr>
          </w:p>
        </w:tc>
        <w:tc>
          <w:tcPr>
            <w:tcW w:w="104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vMerge w:val="restart"/>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Ended</w:t>
            </w:r>
          </w:p>
        </w:tc>
        <w:tc>
          <w:tcPr>
            <w:tcW w:w="360" w:type="dxa"/>
            <w:vAlign w:val="bottom"/>
          </w:tcPr>
          <w:p>
            <w:pPr>
              <w:spacing w:after="0"/>
              <w:rPr>
                <w:sz w:val="11"/>
                <w:szCs w:val="11"/>
                <w:color w:val="auto"/>
              </w:rPr>
            </w:pPr>
          </w:p>
        </w:tc>
        <w:tc>
          <w:tcPr>
            <w:tcW w:w="1220" w:type="dxa"/>
            <w:vAlign w:val="bottom"/>
            <w:gridSpan w:val="5"/>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tcPr>
          <w:p>
            <w:pPr>
              <w:ind w:left="508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April 30, 2026</w:t>
            </w: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rPr>
              <w:t>April 30, 2025</w:t>
            </w:r>
          </w:p>
        </w:tc>
        <w:tc>
          <w:tcPr>
            <w:tcW w:w="200" w:type="dxa"/>
            <w:vAlign w:val="bottom"/>
          </w:tcPr>
          <w:p>
            <w:pPr>
              <w:spacing w:after="0"/>
              <w:rPr>
                <w:sz w:val="11"/>
                <w:szCs w:val="11"/>
                <w:color w:val="auto"/>
              </w:rPr>
            </w:pPr>
          </w:p>
        </w:tc>
        <w:tc>
          <w:tcPr>
            <w:tcW w:w="104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April 30, 2026</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April 30, 2025</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(loss) per diluted share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3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680" w:type="dxa"/>
            <w:vAlign w:val="bottom"/>
            <w:gridSpan w:val="2"/>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3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160" w:type="dxa"/>
            <w:vAlign w:val="bottom"/>
          </w:tcPr>
          <w:p>
            <w:pPr>
              <w:ind w:left="160"/>
              <w:spacing w:after="0" w:line="157" w:lineRule="exact"/>
              <w:rPr>
                <w:sz w:val="20"/>
                <w:szCs w:val="20"/>
                <w:color w:val="auto"/>
              </w:rPr>
            </w:pPr>
            <w:r>
              <w:rPr>
                <w:rFonts w:ascii="Times New Roman" w:cs="Times New Roman" w:eastAsia="Times New Roman" w:hAnsi="Times New Roman"/>
                <w:sz w:val="14"/>
                <w:szCs w:val="14"/>
                <w:color w:val="auto"/>
              </w:rPr>
              <w:t>Amortization of acquired intangible assets and other purchase accounting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adjustments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Acquisition-related expenses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Legal accrual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Equity method and equity securities investments activity, net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(0.36)</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(0.10)</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Goodwill impairment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2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per diluted share as adjusted (non-GAAP)</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Reconciliation of non-GAAP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127000</wp:posOffset>
            </wp:positionV>
            <wp:extent cx="310197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01975" cy="698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2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8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60"/>
        </w:trPr>
        <w:tc>
          <w:tcPr>
            <w:tcW w:w="436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April 30, 2026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April 30, 2025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April 30, 2026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April 30, 2025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7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EBITDA (non-GAAP)</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 of cloud computing arrangement implementation</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Acquisition-related expenses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Equity method and equity securities investments activity, net</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Legal accrual</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Goodwill impairment</w:t>
            </w:r>
          </w:p>
        </w:tc>
        <w:tc>
          <w:tcPr>
            <w:tcW w:w="7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63"/>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EBITDA (non-GAAP)</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286.1</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8"/>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123" w:right="9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Reconciliation of Forecast Earnings per Diluted Share (Unaudited)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tcPr>
          <w:p>
            <w:pPr>
              <w:jc w:val="right"/>
              <w:ind w:right="413"/>
              <w:spacing w:after="0" w:line="121" w:lineRule="exact"/>
              <w:rPr>
                <w:sz w:val="20"/>
                <w:szCs w:val="20"/>
                <w:color w:val="auto"/>
              </w:rPr>
            </w:pPr>
            <w:r>
              <w:rPr>
                <w:rFonts w:ascii="Times New Roman" w:cs="Times New Roman" w:eastAsia="Times New Roman" w:hAnsi="Times New Roman"/>
                <w:sz w:val="11"/>
                <w:szCs w:val="11"/>
                <w:b w:val="1"/>
                <w:bCs w:val="1"/>
                <w:color w:val="auto"/>
              </w:rPr>
              <w:t>Fiscal year ending</w:t>
            </w:r>
          </w:p>
        </w:tc>
      </w:tr>
      <w:tr>
        <w:trPr>
          <w:trHeight w:val="138"/>
        </w:trPr>
        <w:tc>
          <w:tcPr>
            <w:tcW w:w="20" w:type="dxa"/>
            <w:vAlign w:val="bottom"/>
          </w:tcPr>
          <w:p>
            <w:pPr>
              <w:spacing w:after="0"/>
              <w:rPr>
                <w:sz w:val="11"/>
                <w:szCs w:val="11"/>
                <w:color w:val="auto"/>
              </w:rPr>
            </w:pPr>
          </w:p>
        </w:tc>
        <w:tc>
          <w:tcPr>
            <w:tcW w:w="8100" w:type="dxa"/>
            <w:vAlign w:val="bottom"/>
            <w:tcBorders>
              <w:bottom w:val="single" w:sz="8" w:color="CCEEFF"/>
            </w:tcBorders>
          </w:tcPr>
          <w:p>
            <w:pPr>
              <w:ind w:left="794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April 30, 2027</w:t>
            </w:r>
          </w:p>
        </w:tc>
      </w:tr>
      <w:tr>
        <w:trPr>
          <w:trHeight w:val="163"/>
        </w:trPr>
        <w:tc>
          <w:tcPr>
            <w:tcW w:w="20" w:type="dxa"/>
            <w:vAlign w:val="bottom"/>
          </w:tcPr>
          <w:p>
            <w:pPr>
              <w:spacing w:after="0"/>
              <w:rPr>
                <w:sz w:val="14"/>
                <w:szCs w:val="14"/>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Forecast earnings per diluted share</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5"/>
                <w:szCs w:val="5"/>
                <w:color w:val="auto"/>
                <w:w w:val="7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0.16 - 0.48</w:t>
            </w:r>
          </w:p>
        </w:tc>
      </w:tr>
      <w:tr>
        <w:trPr>
          <w:trHeight w:val="172"/>
        </w:trPr>
        <w:tc>
          <w:tcPr>
            <w:tcW w:w="20" w:type="dxa"/>
            <w:vAlign w:val="bottom"/>
          </w:tcPr>
          <w:p>
            <w:pPr>
              <w:spacing w:after="0"/>
              <w:rPr>
                <w:sz w:val="14"/>
                <w:szCs w:val="14"/>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 of acquired intangible assets and other purchase accounting adjustments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172"/>
        </w:trPr>
        <w:tc>
          <w:tcPr>
            <w:tcW w:w="20" w:type="dxa"/>
            <w:vAlign w:val="bottom"/>
          </w:tcPr>
          <w:p>
            <w:pPr>
              <w:spacing w:after="0"/>
              <w:rPr>
                <w:sz w:val="14"/>
                <w:szCs w:val="14"/>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Acquisition-related expenses</w:t>
            </w: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r>
      <w:tr>
        <w:trPr>
          <w:trHeight w:val="163"/>
        </w:trPr>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Forecast earnings per diluted share as adjusted (non-GAAP)</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5"/>
                <w:szCs w:val="5"/>
                <w:color w:val="auto"/>
                <w:w w:val="7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3.02 - 3.34</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Reconciliation of 2026 Forecast and Fiscal Year 2025 Actual Non-GAAP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4373880</wp:posOffset>
            </wp:positionH>
            <wp:positionV relativeFrom="paragraph">
              <wp:posOffset>229235</wp:posOffset>
            </wp:positionV>
            <wp:extent cx="194691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46910" cy="6985"/>
                    </a:xfrm>
                    <a:prstGeom prst="rect">
                      <a:avLst/>
                    </a:prstGeom>
                    <a:noFill/>
                  </pic:spPr>
                </pic:pic>
              </a:graphicData>
            </a:graphic>
          </wp:anchor>
        </w:drawing>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Fiscal year ending</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0" w:type="dxa"/>
            <w:vAlign w:val="bottom"/>
          </w:tcPr>
          <w:p>
            <w:pPr>
              <w:spacing w:after="0"/>
              <w:rPr>
                <w:sz w:val="1"/>
                <w:szCs w:val="1"/>
                <w:color w:val="auto"/>
              </w:rPr>
            </w:pPr>
          </w:p>
        </w:tc>
      </w:tr>
      <w:tr>
        <w:trPr>
          <w:trHeight w:val="160"/>
        </w:trPr>
        <w:tc>
          <w:tcPr>
            <w:tcW w:w="4360" w:type="dxa"/>
            <w:vAlign w:val="bottom"/>
            <w:gridSpan w:val="2"/>
            <w:vMerge w:val="continue"/>
          </w:tcPr>
          <w:p>
            <w:pPr>
              <w:spacing w:after="0"/>
              <w:rPr>
                <w:sz w:val="13"/>
                <w:szCs w:val="13"/>
                <w:color w:val="auto"/>
              </w:rPr>
            </w:pPr>
          </w:p>
        </w:tc>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April 30, 2027</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April 30, 2026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5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8 - 24</w:t>
            </w:r>
          </w:p>
        </w:tc>
        <w:tc>
          <w:tcPr>
            <w:tcW w:w="2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Benefit from income taxes</w:t>
            </w:r>
          </w:p>
        </w:tc>
        <w:tc>
          <w:tcPr>
            <w:tcW w:w="2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 (2)</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EBITDA (non-GAAP)</w:t>
            </w:r>
          </w:p>
        </w:tc>
        <w:tc>
          <w:tcPr>
            <w:tcW w:w="2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237 - 257</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 of cloud computing arrangement implementation</w:t>
            </w: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2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Acquisition-related expenses</w:t>
            </w: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Equity method and equity securities investments activity, net</w:t>
            </w:r>
          </w:p>
        </w:tc>
        <w:tc>
          <w:tcPr>
            <w:tcW w:w="2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Goodwill impairment</w:t>
            </w:r>
          </w:p>
        </w:tc>
        <w:tc>
          <w:tcPr>
            <w:tcW w:w="2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EBITDA (non-GAAP)</w:t>
            </w:r>
          </w:p>
        </w:tc>
        <w:tc>
          <w:tcPr>
            <w:tcW w:w="25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305 - 325</w:t>
            </w:r>
          </w:p>
        </w:tc>
        <w:tc>
          <w:tcPr>
            <w:tcW w:w="2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520" w:type="dxa"/>
            <w:vAlign w:val="bottom"/>
            <w:vMerge w:val="restart"/>
          </w:tcPr>
          <w:p>
            <w:pPr>
              <w:jc w:val="right"/>
              <w:ind w:right="1788"/>
              <w:spacing w:after="0"/>
              <w:rPr>
                <w:sz w:val="20"/>
                <w:szCs w:val="20"/>
                <w:color w:val="auto"/>
              </w:rPr>
            </w:pPr>
            <w:r>
              <w:rPr>
                <w:rFonts w:ascii="Arial" w:cs="Arial" w:eastAsia="Arial" w:hAnsi="Arial"/>
                <w:sz w:val="14"/>
                <w:szCs w:val="14"/>
                <w:color w:val="auto"/>
              </w:rPr>
              <w:t>9</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123" w:right="97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Statement Regarding Non-GAAP Measures</w:t>
      </w:r>
    </w:p>
    <w:p>
      <w:pPr>
        <w:spacing w:after="0" w:line="161"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The non-GAAP measures set forth above should be considered in addition to, and not as a replacement for or superior to, the comparable GAAP measures, and may not be comparable to similarly titled measures reported by other companies. Management believes that these measures provide useful information to investors by offering additional ways of viewing our results that, when reconciled to the corresponding GAAP measures, help our investors to understand the long-term profitability trends of our business and compare our profitability to prior and future periods and to our peers. In addition, management uses these non-GAAP measures to evaluate our operating and financial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Earnings per Diluted Share</w:t>
      </w:r>
    </w:p>
    <w:p>
      <w:pPr>
        <w:spacing w:after="0" w:line="162"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We exclude acquisition-related expenses, amortization of acquisition-related intangible assets, equity method investment gains and losses, equity securities investments gains or losses, goodwill impairment and one-time non-operating items because we believe this facilitates more consistent comparisons of operating results over time between our newly acquired and existing businesses, and with our peer companies. We believe, however, that it is important for investors to understand that such intangible assets contribute to revenue generation and that intangible asset amortization will recur in future periods until such intangible assets have been fully amortized.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EBITDA (Non-GAAP)</w:t>
      </w:r>
    </w:p>
    <w:p>
      <w:pPr>
        <w:spacing w:after="0" w:line="162"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Adjusted EBITDA is defined as net income before interest income, interest expense, income tax expense (benefit) and depreciation and amortization, adjusted for the impact of certain other non-cash items, including amortization of implementation of cloud computing arrangements, stock-based compensation, acquisition related expenses, equity method investment gains or losses, equity securities investments gains or losses, goodwill impairment and one-time non-operating gains or losses. We present Adjusted EBITDA, which is not a recognized financial measure under U.S. GAAP, because we believe it is frequently used by analysts, investors and other interested parties to evaluate companies in our industry. We believe this facilitates more consistent comparisons of operating results over time between our newly acquired and existing businesses, and with our peer companies. We believe, however, that it is important for investors to understand that such intangible assets contribute to revenue generation, intangible asset amortization will recur in future periods until such intangible assets have been fully amortized and that interest and income tax expenses will recur in future periods. In addition, Adjusted EBITDA may not be comparable to similarly titled measures used by other companies in our industry or across different industries.</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282575</wp:posOffset>
            </wp:positionV>
            <wp:extent cx="631317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13170" cy="20320"/>
                    </a:xfrm>
                    <a:prstGeom prst="rect">
                      <a:avLst/>
                    </a:prstGeom>
                    <a:noFill/>
                  </pic:spPr>
                </pic:pic>
              </a:graphicData>
            </a:graphic>
          </wp:anchor>
        </w:drawing>
      </w:r>
    </w:p>
    <w:p>
      <w:pPr>
        <w:sectPr>
          <w:pgSz w:w="11900" w:h="16838" w:orient="portrait"/>
          <w:cols w:equalWidth="0" w:num="1">
            <w:col w:w="9900"/>
          </w:cols>
          <w:pgMar w:left="960" w:top="126" w:right="10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color w:val="909299"/>
        </w:rPr>
        <w:t>/////////////////////////////////////////////////////////////////////////////////////////////////////////////////////////////////////</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color w:val="1C355E"/>
        </w:rPr>
        <w:t>For additional media and information, please follow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1639570" cy="2324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9570" cy="23241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CONTACT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Denise Pacioni</w:t>
      </w:r>
    </w:p>
    <w:p>
      <w:pPr>
        <w:spacing w:after="0"/>
        <w:rPr>
          <w:sz w:val="20"/>
          <w:szCs w:val="20"/>
          <w:color w:val="auto"/>
        </w:rPr>
      </w:pPr>
      <w:r>
        <w:rPr>
          <w:rFonts w:ascii="Arial" w:cs="Arial" w:eastAsia="Arial" w:hAnsi="Arial"/>
          <w:sz w:val="14"/>
          <w:szCs w:val="14"/>
          <w:color w:val="auto"/>
        </w:rPr>
        <w:t>+1 805-795-4108</w:t>
      </w:r>
    </w:p>
    <w:p>
      <w:pPr>
        <w:spacing w:after="0"/>
        <w:rPr>
          <w:sz w:val="20"/>
          <w:szCs w:val="20"/>
          <w:color w:val="auto"/>
        </w:rPr>
      </w:pPr>
      <w:r>
        <w:rPr>
          <w:rFonts w:ascii="Arial" w:cs="Arial" w:eastAsia="Arial" w:hAnsi="Arial"/>
          <w:sz w:val="14"/>
          <w:szCs w:val="14"/>
          <w:color w:val="auto"/>
        </w:rPr>
        <w:t>ir@avinc.com</w:t>
      </w:r>
    </w:p>
    <w:p>
      <w:pPr>
        <w:spacing w:after="0"/>
        <w:rPr>
          <w:sz w:val="20"/>
          <w:szCs w:val="20"/>
          <w:color w:val="auto"/>
        </w:rPr>
      </w:pPr>
      <w:r>
        <w:rPr>
          <w:rFonts w:ascii="Arial" w:cs="Arial" w:eastAsia="Arial" w:hAnsi="Arial"/>
          <w:sz w:val="14"/>
          <w:szCs w:val="14"/>
          <w:color w:val="auto"/>
        </w:rPr>
        <w:t>https://investor.avinc.com/contact-and-faq/contact-us</w:t>
      </w:r>
    </w:p>
    <w:p>
      <w:pPr>
        <w:spacing w:after="0" w:line="331"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282575</wp:posOffset>
            </wp:positionV>
            <wp:extent cx="631317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13170" cy="20320"/>
                    </a:xfrm>
                    <a:prstGeom prst="rect">
                      <a:avLst/>
                    </a:prstGeom>
                    <a:noFill/>
                  </pic:spPr>
                </pic:pic>
              </a:graphicData>
            </a:graphic>
          </wp:anchor>
        </w:drawing>
      </w:r>
    </w:p>
    <w:p>
      <w:pPr>
        <w:sectPr>
          <w:pgSz w:w="11900" w:h="16838" w:orient="portrait"/>
          <w:cols w:equalWidth="0" w:num="1">
            <w:col w:w="9499"/>
          </w:cols>
          <w:pgMar w:left="960" w:top="170" w:right="1440" w:bottom="1440" w:gutter="0" w:footer="0" w:header="0"/>
        </w:sectPr>
      </w:pPr>
    </w:p>
    <w:bookmarkStart w:id="14" w:name="page15"/>
    <w:bookmarkEnd w:id="14"/>
    <w:p>
      <w:pPr>
        <w:ind w:left="940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38100</wp:posOffset>
            </wp:positionV>
            <wp:extent cx="6825615" cy="4126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25615" cy="412686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25615" cy="4133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25615" cy="4133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25615" cy="4133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25615" cy="4133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25615" cy="4133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25615" cy="4133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25615" cy="4133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25615" cy="4133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25615" cy="4133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25615" cy="4133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25615" cy="4133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25615" cy="4133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25615" cy="4133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25615" cy="4133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25615" cy="4133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25615" cy="4133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25615" cy="4133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25615" cy="4133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25615" cy="4133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25615" cy="4133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25615" cy="41332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25615" cy="4133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25615" cy="4133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25615" cy="4133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25615" cy="41332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25615" cy="4133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25615" cy="4133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25615" cy="4133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25615" cy="41332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25615" cy="4133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25615" cy="41332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25615" cy="4133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25615" cy="41332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25615" cy="4133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25615" cy="41332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25615" cy="4133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25615" cy="41332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25615" cy="41332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2026-06-29T15:23:06Z</dcterms:created>
  <dcterms:modified xsi:type="dcterms:W3CDTF">2026-06-29T15:23:06Z</dcterms:modified>
</cp:coreProperties>
</file>