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080940.xml.htm"/>
      <w:bookmarkStart w:id="1" w:name="ksform409162026_0809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Ruppert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241 18TH STREET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AeroVironment Inc</w:t>
              </w:r>
            </w:hyperlink>
            <w:r>
              <w:rPr/>
              <w:t xml:space="preserve"> [ </w:t>
            </w:r>
            <w:r>
              <w:rPr>
                <w:rFonts w:ascii="Times;serif" w:hAnsi="Times;serif"/>
                <w:color w:val="0000FF"/>
                <w:sz w:val="24"/>
                <w:shd w:fill="FFFFFF" w:val="clear"/>
              </w:rPr>
              <w:t>AVAV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957</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shares of Common Stock that will vest in full on July 11, 2027, subject to the Reporting Person's continued service to the Issuer through such date. If the Reporting Person's service terminates prior to the vesting date, a prorated portion of the grant will vest immediately upon such termination.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Colby Petersen,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0997" TargetMode="External"/><Relationship Id="rId5" Type="http://schemas.openxmlformats.org/officeDocument/2006/relationships/hyperlink" Target="http://www.sec.gov/cgi-bin/browse-edgar?action=getcompany&amp;CIK=00013686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3327</Characters>
  <CharactersWithSpaces>3874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