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90" w:lineRule="exact"/>
        <w:rPr>
          <w:sz w:val="24"/>
          <w:szCs w:val="24"/>
          <w:color w:val="auto"/>
        </w:rPr>
      </w:pPr>
    </w:p>
    <w:p>
      <w:pPr>
        <w:ind w:left="1360" w:hanging="765"/>
        <w:spacing w:after="0"/>
        <w:tabs>
          <w:tab w:leader="none" w:pos="1360" w:val="left"/>
        </w:tabs>
        <w:numPr>
          <w:ilvl w:val="0"/>
          <w:numId w:val="1"/>
        </w:numPr>
        <w:rPr>
          <w:rFonts w:ascii="Arial" w:cs="Arial" w:eastAsia="Arial" w:hAnsi="Arial"/>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jc w:val="center"/>
        <w:spacing w:after="0" w:line="215" w:lineRule="auto"/>
        <w:rPr>
          <w:sz w:val="20"/>
          <w:szCs w:val="20"/>
          <w:color w:val="auto"/>
        </w:rPr>
      </w:pPr>
      <w:r>
        <w:rPr>
          <w:rFonts w:ascii="Times New Roman" w:cs="Times New Roman" w:eastAsia="Times New Roman" w:hAnsi="Times New Roman"/>
          <w:sz w:val="13"/>
          <w:szCs w:val="13"/>
          <w:b w:val="1"/>
          <w:bCs w:val="1"/>
          <w:color w:val="auto"/>
        </w:rPr>
        <w:t>For the fiscal year ended April 30, 2025</w:t>
      </w:r>
    </w:p>
    <w:p>
      <w:pPr>
        <w:ind w:left="1360" w:hanging="765"/>
        <w:spacing w:after="0" w:line="216" w:lineRule="auto"/>
        <w:tabs>
          <w:tab w:leader="none" w:pos="1360" w:val="left"/>
        </w:tabs>
        <w:numPr>
          <w:ilvl w:val="0"/>
          <w:numId w:val="2"/>
        </w:numPr>
        <w:rPr>
          <w:rFonts w:ascii="Arial" w:cs="Arial" w:eastAsia="Arial" w:hAnsi="Arial"/>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57"/>
        </w:trPr>
        <w:tc>
          <w:tcPr>
            <w:tcW w:w="2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720" w:type="dxa"/>
            <w:vAlign w:val="bottom"/>
            <w:gridSpan w:val="2"/>
          </w:tcPr>
          <w:p>
            <w:pPr>
              <w:jc w:val="center"/>
              <w:ind w:right="3458"/>
              <w:spacing w:after="0"/>
              <w:rPr>
                <w:sz w:val="20"/>
                <w:szCs w:val="20"/>
                <w:color w:val="auto"/>
              </w:rPr>
            </w:pPr>
            <w:r>
              <w:rPr>
                <w:rFonts w:ascii="Times New Roman" w:cs="Times New Roman" w:eastAsia="Times New Roman" w:hAnsi="Times New Roman"/>
                <w:sz w:val="18"/>
                <w:szCs w:val="18"/>
                <w:b w:val="1"/>
                <w:bCs w:val="1"/>
                <w:color w:val="auto"/>
              </w:rPr>
              <w:t>Commission file number 001-33261</w:t>
            </w:r>
          </w:p>
        </w:tc>
      </w:tr>
      <w:tr>
        <w:trPr>
          <w:trHeight w:val="346"/>
        </w:trPr>
        <w:tc>
          <w:tcPr>
            <w:tcW w:w="2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2"/>
          </w:tcPr>
          <w:p>
            <w:pPr>
              <w:jc w:val="center"/>
              <w:ind w:right="3458"/>
              <w:spacing w:after="0"/>
              <w:rPr>
                <w:sz w:val="20"/>
                <w:szCs w:val="20"/>
                <w:color w:val="auto"/>
              </w:rPr>
            </w:pPr>
            <w:r>
              <w:rPr>
                <w:rFonts w:ascii="Times New Roman" w:cs="Times New Roman" w:eastAsia="Times New Roman" w:hAnsi="Times New Roman"/>
                <w:sz w:val="25"/>
                <w:szCs w:val="25"/>
                <w:b w:val="1"/>
                <w:bCs w:val="1"/>
                <w:color w:val="auto"/>
              </w:rPr>
              <w:t>AEROVIRONMENT, INC.</w:t>
            </w:r>
          </w:p>
        </w:tc>
      </w:tr>
      <w:tr>
        <w:trPr>
          <w:trHeight w:val="234"/>
        </w:trPr>
        <w:tc>
          <w:tcPr>
            <w:tcW w:w="2880" w:type="dxa"/>
            <w:vAlign w:val="bottom"/>
          </w:tcPr>
          <w:p>
            <w:pPr>
              <w:spacing w:after="0"/>
              <w:rPr>
                <w:sz w:val="20"/>
                <w:szCs w:val="20"/>
                <w:color w:val="auto"/>
              </w:rPr>
            </w:pPr>
          </w:p>
        </w:tc>
        <w:tc>
          <w:tcPr>
            <w:tcW w:w="7340" w:type="dxa"/>
            <w:vAlign w:val="bottom"/>
            <w:gridSpan w:val="4"/>
          </w:tcPr>
          <w:p>
            <w:pPr>
              <w:jc w:val="center"/>
              <w:ind w:right="283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11"/>
        </w:trPr>
        <w:tc>
          <w:tcPr>
            <w:tcW w:w="2880" w:type="dxa"/>
            <w:vAlign w:val="bottom"/>
          </w:tcPr>
          <w:p>
            <w:pPr>
              <w:jc w:val="center"/>
              <w:ind w:left="2158"/>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80" w:type="dxa"/>
            <w:vAlign w:val="bottom"/>
          </w:tcPr>
          <w:p>
            <w:pPr>
              <w:jc w:val="right"/>
              <w:ind w:right="2198"/>
              <w:spacing w:after="0"/>
              <w:rPr>
                <w:sz w:val="20"/>
                <w:szCs w:val="20"/>
                <w:color w:val="auto"/>
              </w:rPr>
            </w:pPr>
            <w:r>
              <w:rPr>
                <w:rFonts w:ascii="Times New Roman" w:cs="Times New Roman" w:eastAsia="Times New Roman" w:hAnsi="Times New Roman"/>
                <w:sz w:val="13"/>
                <w:szCs w:val="13"/>
                <w:b w:val="1"/>
                <w:bCs w:val="1"/>
                <w:color w:val="auto"/>
              </w:rPr>
              <w:t>95-2705790</w:t>
            </w:r>
          </w:p>
        </w:tc>
      </w:tr>
      <w:tr>
        <w:trPr>
          <w:trHeight w:val="133"/>
        </w:trPr>
        <w:tc>
          <w:tcPr>
            <w:tcW w:w="5740" w:type="dxa"/>
            <w:vAlign w:val="bottom"/>
            <w:gridSpan w:val="4"/>
          </w:tcPr>
          <w:p>
            <w:pPr>
              <w:jc w:val="center"/>
              <w:ind w:right="561"/>
              <w:spacing w:after="0" w:line="133" w:lineRule="exact"/>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4480" w:type="dxa"/>
            <w:vAlign w:val="bottom"/>
          </w:tcPr>
          <w:p>
            <w:pPr>
              <w:jc w:val="center"/>
              <w:ind w:right="578"/>
              <w:spacing w:after="0" w:line="133" w:lineRule="exact"/>
              <w:rPr>
                <w:sz w:val="20"/>
                <w:szCs w:val="20"/>
                <w:color w:val="auto"/>
              </w:rPr>
            </w:pPr>
            <w:r>
              <w:rPr>
                <w:rFonts w:ascii="Times New Roman" w:cs="Times New Roman" w:eastAsia="Times New Roman" w:hAnsi="Times New Roman"/>
                <w:sz w:val="13"/>
                <w:szCs w:val="13"/>
                <w:color w:val="auto"/>
                <w:w w:val="97"/>
              </w:rPr>
              <w:t>(I.R.S. Employer Identification No.)</w:t>
            </w:r>
          </w:p>
        </w:tc>
      </w:tr>
      <w:tr>
        <w:trPr>
          <w:trHeight w:val="135"/>
        </w:trPr>
        <w:tc>
          <w:tcPr>
            <w:tcW w:w="5740" w:type="dxa"/>
            <w:vAlign w:val="bottom"/>
            <w:gridSpan w:val="4"/>
          </w:tcPr>
          <w:p>
            <w:pPr>
              <w:jc w:val="center"/>
              <w:ind w:right="561"/>
              <w:spacing w:after="0" w:line="135" w:lineRule="exact"/>
              <w:rPr>
                <w:sz w:val="20"/>
                <w:szCs w:val="20"/>
                <w:color w:val="auto"/>
              </w:rPr>
            </w:pPr>
            <w:r>
              <w:rPr>
                <w:rFonts w:ascii="Times New Roman" w:cs="Times New Roman" w:eastAsia="Times New Roman" w:hAnsi="Times New Roman"/>
                <w:sz w:val="13"/>
                <w:szCs w:val="13"/>
                <w:b w:val="1"/>
                <w:bCs w:val="1"/>
                <w:color w:val="auto"/>
                <w:w w:val="96"/>
              </w:rPr>
              <w:t>241 18th Street South, Suite 650</w:t>
            </w:r>
          </w:p>
        </w:tc>
        <w:tc>
          <w:tcPr>
            <w:tcW w:w="4480" w:type="dxa"/>
            <w:vAlign w:val="bottom"/>
          </w:tcPr>
          <w:p>
            <w:pPr>
              <w:spacing w:after="0"/>
              <w:rPr>
                <w:sz w:val="11"/>
                <w:szCs w:val="11"/>
                <w:color w:val="auto"/>
              </w:rPr>
            </w:pPr>
          </w:p>
        </w:tc>
      </w:tr>
      <w:tr>
        <w:trPr>
          <w:trHeight w:val="137"/>
        </w:trPr>
        <w:tc>
          <w:tcPr>
            <w:tcW w:w="5740" w:type="dxa"/>
            <w:vAlign w:val="bottom"/>
            <w:gridSpan w:val="4"/>
          </w:tcPr>
          <w:p>
            <w:pPr>
              <w:jc w:val="center"/>
              <w:ind w:right="561"/>
              <w:spacing w:after="0" w:line="137" w:lineRule="exact"/>
              <w:rPr>
                <w:sz w:val="20"/>
                <w:szCs w:val="20"/>
                <w:color w:val="auto"/>
              </w:rPr>
            </w:pPr>
            <w:r>
              <w:rPr>
                <w:rFonts w:ascii="Times New Roman" w:cs="Times New Roman" w:eastAsia="Times New Roman" w:hAnsi="Times New Roman"/>
                <w:sz w:val="13"/>
                <w:szCs w:val="13"/>
                <w:b w:val="1"/>
                <w:bCs w:val="1"/>
                <w:color w:val="auto"/>
                <w:w w:val="93"/>
              </w:rPr>
              <w:t>Arlington, VA</w:t>
            </w:r>
          </w:p>
        </w:tc>
        <w:tc>
          <w:tcPr>
            <w:tcW w:w="4480" w:type="dxa"/>
            <w:vAlign w:val="bottom"/>
          </w:tcPr>
          <w:p>
            <w:pPr>
              <w:jc w:val="right"/>
              <w:ind w:right="2338"/>
              <w:spacing w:after="0" w:line="137" w:lineRule="exact"/>
              <w:rPr>
                <w:sz w:val="20"/>
                <w:szCs w:val="20"/>
                <w:color w:val="auto"/>
              </w:rPr>
            </w:pPr>
            <w:r>
              <w:rPr>
                <w:rFonts w:ascii="Times New Roman" w:cs="Times New Roman" w:eastAsia="Times New Roman" w:hAnsi="Times New Roman"/>
                <w:sz w:val="13"/>
                <w:szCs w:val="13"/>
                <w:b w:val="1"/>
                <w:bCs w:val="1"/>
                <w:color w:val="auto"/>
              </w:rPr>
              <w:t>22202</w:t>
            </w:r>
          </w:p>
        </w:tc>
      </w:tr>
      <w:tr>
        <w:trPr>
          <w:trHeight w:val="133"/>
        </w:trPr>
        <w:tc>
          <w:tcPr>
            <w:tcW w:w="5740" w:type="dxa"/>
            <w:vAlign w:val="bottom"/>
            <w:gridSpan w:val="4"/>
          </w:tcPr>
          <w:p>
            <w:pPr>
              <w:jc w:val="center"/>
              <w:ind w:right="561"/>
              <w:spacing w:after="0" w:line="133" w:lineRule="exact"/>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4480" w:type="dxa"/>
            <w:vAlign w:val="bottom"/>
          </w:tcPr>
          <w:p>
            <w:pPr>
              <w:jc w:val="center"/>
              <w:ind w:right="578"/>
              <w:spacing w:after="0" w:line="133" w:lineRule="exact"/>
              <w:rPr>
                <w:sz w:val="20"/>
                <w:szCs w:val="20"/>
                <w:color w:val="auto"/>
              </w:rPr>
            </w:pPr>
            <w:r>
              <w:rPr>
                <w:rFonts w:ascii="Times New Roman" w:cs="Times New Roman" w:eastAsia="Times New Roman" w:hAnsi="Times New Roman"/>
                <w:sz w:val="13"/>
                <w:szCs w:val="13"/>
                <w:color w:val="auto"/>
                <w:w w:val="97"/>
              </w:rPr>
              <w:t>(Zip Code)</w:t>
            </w:r>
          </w:p>
        </w:tc>
      </w:tr>
      <w:tr>
        <w:trPr>
          <w:trHeight w:val="166"/>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60" w:type="dxa"/>
            <w:vAlign w:val="bottom"/>
            <w:gridSpan w:val="3"/>
          </w:tcPr>
          <w:p>
            <w:pPr>
              <w:jc w:val="center"/>
              <w:ind w:right="3318"/>
              <w:spacing w:after="0"/>
              <w:rPr>
                <w:sz w:val="20"/>
                <w:szCs w:val="20"/>
                <w:color w:val="auto"/>
              </w:rPr>
            </w:pPr>
            <w:r>
              <w:rPr>
                <w:rFonts w:ascii="Times New Roman" w:cs="Times New Roman" w:eastAsia="Times New Roman" w:hAnsi="Times New Roman"/>
                <w:sz w:val="13"/>
                <w:szCs w:val="13"/>
                <w:color w:val="auto"/>
                <w:w w:val="96"/>
              </w:rPr>
              <w:t xml:space="preserve">Registrant’s telephone number, including area code: </w:t>
            </w:r>
            <w:r>
              <w:rPr>
                <w:rFonts w:ascii="Times New Roman" w:cs="Times New Roman" w:eastAsia="Times New Roman" w:hAnsi="Times New Roman"/>
                <w:sz w:val="13"/>
                <w:szCs w:val="13"/>
                <w:b w:val="1"/>
                <w:bCs w:val="1"/>
                <w:color w:val="auto"/>
                <w:w w:val="96"/>
              </w:rPr>
              <w:t>(703) 418-2828</w:t>
            </w:r>
          </w:p>
        </w:tc>
      </w:tr>
      <w:tr>
        <w:trPr>
          <w:trHeight w:val="286"/>
        </w:trPr>
        <w:tc>
          <w:tcPr>
            <w:tcW w:w="2880" w:type="dxa"/>
            <w:vAlign w:val="bottom"/>
          </w:tcPr>
          <w:p>
            <w:pPr>
              <w:spacing w:after="0"/>
              <w:rPr>
                <w:sz w:val="24"/>
                <w:szCs w:val="24"/>
                <w:color w:val="auto"/>
              </w:rPr>
            </w:pPr>
          </w:p>
        </w:tc>
        <w:tc>
          <w:tcPr>
            <w:tcW w:w="7340" w:type="dxa"/>
            <w:vAlign w:val="bottom"/>
            <w:gridSpan w:val="4"/>
          </w:tcPr>
          <w:p>
            <w:pPr>
              <w:jc w:val="center"/>
              <w:ind w:right="283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03"/>
        </w:trPr>
        <w:tc>
          <w:tcPr>
            <w:tcW w:w="288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1"/>
                <w:szCs w:val="11"/>
                <w:b w:val="1"/>
                <w:bCs w:val="1"/>
                <w:color w:val="auto"/>
                <w:w w:val="97"/>
              </w:rPr>
              <w:t>Title of Class</w:t>
            </w: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auto"/>
            </w:tcBorders>
          </w:tcPr>
          <w:p>
            <w:pPr>
              <w:jc w:val="center"/>
              <w:ind w:left="1021"/>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4480" w:type="dxa"/>
            <w:vAlign w:val="bottom"/>
            <w:tcBorders>
              <w:bottom w:val="single" w:sz="8" w:color="auto"/>
            </w:tcBorders>
          </w:tcPr>
          <w:p>
            <w:pPr>
              <w:jc w:val="center"/>
              <w:ind w:left="1058"/>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44"/>
        </w:trPr>
        <w:tc>
          <w:tcPr>
            <w:tcW w:w="2880" w:type="dxa"/>
            <w:vAlign w:val="bottom"/>
          </w:tcPr>
          <w:p>
            <w:pPr>
              <w:jc w:val="center"/>
              <w:ind w:left="398"/>
              <w:spacing w:after="0" w:line="144" w:lineRule="exact"/>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jc w:val="center"/>
              <w:ind w:left="1021"/>
              <w:spacing w:after="0" w:line="144" w:lineRule="exact"/>
              <w:rPr>
                <w:sz w:val="20"/>
                <w:szCs w:val="20"/>
                <w:color w:val="auto"/>
              </w:rPr>
            </w:pPr>
            <w:r>
              <w:rPr>
                <w:rFonts w:ascii="Times New Roman" w:cs="Times New Roman" w:eastAsia="Times New Roman" w:hAnsi="Times New Roman"/>
                <w:sz w:val="13"/>
                <w:szCs w:val="13"/>
                <w:b w:val="1"/>
                <w:bCs w:val="1"/>
                <w:color w:val="auto"/>
                <w:w w:val="79"/>
              </w:rPr>
              <w:t>AVAV</w:t>
            </w:r>
          </w:p>
        </w:tc>
        <w:tc>
          <w:tcPr>
            <w:tcW w:w="4480" w:type="dxa"/>
            <w:vAlign w:val="bottom"/>
          </w:tcPr>
          <w:p>
            <w:pPr>
              <w:jc w:val="center"/>
              <w:ind w:left="1038"/>
              <w:spacing w:after="0" w:line="144" w:lineRule="exact"/>
              <w:rPr>
                <w:sz w:val="20"/>
                <w:szCs w:val="20"/>
                <w:color w:val="auto"/>
              </w:rPr>
            </w:pPr>
            <w:r>
              <w:rPr>
                <w:rFonts w:ascii="Times New Roman" w:cs="Times New Roman" w:eastAsia="Times New Roman" w:hAnsi="Times New Roman"/>
                <w:sz w:val="13"/>
                <w:szCs w:val="13"/>
                <w:b w:val="1"/>
                <w:bCs w:val="1"/>
                <w:color w:val="auto"/>
                <w:w w:val="96"/>
              </w:rPr>
              <w:t>The NASDAQ Stock Market LLC</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40" w:lineRule="exact"/>
        <w:rPr>
          <w:sz w:val="24"/>
          <w:szCs w:val="24"/>
          <w:color w:val="auto"/>
        </w:rPr>
      </w:pPr>
    </w:p>
    <w:p>
      <w:pPr>
        <w:ind w:left="640" w:right="6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3" w:lineRule="exact"/>
        <w:rPr>
          <w:sz w:val="24"/>
          <w:szCs w:val="24"/>
          <w:color w:val="auto"/>
        </w:rPr>
      </w:pPr>
    </w:p>
    <w:p>
      <w:pPr>
        <w:ind w:right="280" w:firstLine="64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9" w:lineRule="exact"/>
        <w:rPr>
          <w:sz w:val="24"/>
          <w:szCs w:val="24"/>
          <w:color w:val="auto"/>
        </w:rPr>
      </w:pPr>
    </w:p>
    <w:p>
      <w:pPr>
        <w:ind w:right="4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ind w:left="6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62" w:lineRule="exact"/>
        <w:rPr>
          <w:sz w:val="24"/>
          <w:szCs w:val="24"/>
          <w:color w:val="auto"/>
        </w:rPr>
      </w:pPr>
    </w:p>
    <w:p>
      <w:pPr>
        <w:sectPr>
          <w:pgSz w:w="11900" w:h="16838" w:orient="portrait"/>
          <w:cols w:equalWidth="0" w:num="3">
            <w:col w:w="3160" w:space="720"/>
            <w:col w:w="2520" w:space="720"/>
            <w:col w:w="3100"/>
          </w:cols>
          <w:pgMar w:left="840" w:top="661" w:right="839" w:bottom="1440" w:gutter="0" w:footer="0" w:header="0"/>
          <w:type w:val="continuous"/>
        </w:sectPr>
      </w:pPr>
    </w:p>
    <w:p>
      <w:pPr>
        <w:spacing w:after="0" w:line="2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200" w:lineRule="exact"/>
        <w:rPr>
          <w:sz w:val="24"/>
          <w:szCs w:val="24"/>
          <w:color w:val="auto"/>
        </w:rPr>
      </w:pPr>
    </w:p>
    <w:p>
      <w:pPr>
        <w:sectPr>
          <w:pgSz w:w="11900" w:h="16838" w:orient="portrait"/>
          <w:cols w:equalWidth="0" w:num="3">
            <w:col w:w="2160" w:space="140"/>
            <w:col w:w="860" w:space="720"/>
            <w:col w:w="6340"/>
          </w:cols>
          <w:pgMar w:left="840" w:top="661" w:right="839" w:bottom="1440" w:gutter="0" w:footer="0" w:header="0"/>
          <w:type w:val="continuous"/>
        </w:sectPr>
      </w:pPr>
    </w:p>
    <w:p>
      <w:pPr>
        <w:spacing w:after="0" w:line="79" w:lineRule="exact"/>
        <w:rPr>
          <w:sz w:val="24"/>
          <w:szCs w:val="24"/>
          <w:color w:val="auto"/>
        </w:rPr>
      </w:pPr>
    </w:p>
    <w:p>
      <w:pPr>
        <w:ind w:right="340" w:firstLine="648"/>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35" w:lineRule="exact"/>
        <w:rPr>
          <w:sz w:val="24"/>
          <w:szCs w:val="24"/>
          <w:color w:val="auto"/>
        </w:rPr>
      </w:pPr>
    </w:p>
    <w:p>
      <w:pPr>
        <w:ind w:right="48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firstLine="648"/>
        <w:spacing w:after="0" w:line="24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right="20" w:firstLine="648"/>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8"/>
          <w:szCs w:val="18"/>
          <w:color w:val="auto"/>
        </w:rPr>
        <w:t>☐</w:t>
      </w:r>
    </w:p>
    <w:p>
      <w:pPr>
        <w:ind w:left="64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based on the closing price on the NASDAQ Global Select Market on October 26, 2024 was approximately $6,162.2 million.</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As of June 18, 2025, the issuer had 45,692,904 shares of common stock, par value $0.0001 per share, issued and outstanding.</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81" w:lineRule="exact"/>
        <w:rPr>
          <w:sz w:val="24"/>
          <w:szCs w:val="24"/>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with the Securities and Exchange Commission pursuant to Regulation 14A not later than 120 days after the conclusion of the registrant’s fiscal year ended April 30, 2025,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440690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63500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60" w:type="dxa"/>
            <w:vAlign w:val="bottom"/>
            <w:gridSpan w:val="12"/>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AEROVIRONMENT, INC.</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60" w:type="dxa"/>
            <w:vAlign w:val="bottom"/>
            <w:gridSpan w:val="12"/>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620" w:type="dxa"/>
            <w:vAlign w:val="bottom"/>
            <w:gridSpan w:val="7"/>
            <w:vMerge w:val="restart"/>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580" w:type="dxa"/>
            <w:vAlign w:val="bottom"/>
            <w:tcBorders>
              <w:bottom w:val="single" w:sz="8" w:color="0000EE"/>
            </w:tcBorders>
            <w:gridSpan w:val="2"/>
            <w:vMerge w:val="continue"/>
          </w:tcPr>
          <w:p>
            <w:pPr>
              <w:spacing w:after="0"/>
              <w:rPr>
                <w:sz w:val="13"/>
                <w:szCs w:val="13"/>
                <w:color w:val="auto"/>
              </w:rPr>
            </w:pPr>
          </w:p>
        </w:tc>
        <w:tc>
          <w:tcPr>
            <w:tcW w:w="620" w:type="dxa"/>
            <w:vAlign w:val="bottom"/>
            <w:gridSpan w:val="7"/>
            <w:vMerge w:val="continue"/>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700" w:type="dxa"/>
            <w:vAlign w:val="bottom"/>
            <w:gridSpan w:val="8"/>
          </w:tcPr>
          <w:p>
            <w:pPr>
              <w:spacing w:after="0"/>
              <w:rPr>
                <w:sz w:val="18"/>
                <w:szCs w:val="18"/>
                <w:color w:val="auto"/>
              </w:rPr>
            </w:pP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6460" w:type="dxa"/>
            <w:vAlign w:val="bottom"/>
            <w:gridSpan w:val="23"/>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540" w:type="dxa"/>
            <w:vAlign w:val="bottom"/>
            <w:gridSpan w:val="4"/>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540" w:type="dxa"/>
            <w:vAlign w:val="bottom"/>
            <w:gridSpan w:val="4"/>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540" w:type="dxa"/>
            <w:vAlign w:val="bottom"/>
            <w:gridSpan w:val="4"/>
          </w:tcPr>
          <w:p>
            <w:pPr>
              <w:spacing w:after="0"/>
              <w:rPr>
                <w:sz w:val="17"/>
                <w:szCs w:val="17"/>
                <w:color w:val="auto"/>
              </w:rPr>
            </w:pPr>
          </w:p>
        </w:tc>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06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20" w:type="dxa"/>
            <w:vAlign w:val="bottom"/>
            <w:tcBorders>
              <w:top w:val="single" w:sz="8" w:color="0000EE"/>
            </w:tcBorders>
            <w:gridSpan w:val="3"/>
          </w:tcPr>
          <w:p>
            <w:pPr>
              <w:spacing w:after="0"/>
              <w:rPr>
                <w:sz w:val="17"/>
                <w:szCs w:val="17"/>
                <w:color w:val="auto"/>
              </w:rPr>
            </w:pPr>
          </w:p>
        </w:tc>
        <w:tc>
          <w:tcPr>
            <w:tcW w:w="580" w:type="dxa"/>
            <w:vAlign w:val="bottom"/>
            <w:gridSpan w:val="5"/>
          </w:tcPr>
          <w:p>
            <w:pPr>
              <w:spacing w:after="0"/>
              <w:rPr>
                <w:sz w:val="17"/>
                <w:szCs w:val="17"/>
                <w:color w:val="auto"/>
              </w:rPr>
            </w:pPr>
          </w:p>
        </w:tc>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100" w:type="dxa"/>
            <w:vAlign w:val="bottom"/>
            <w:gridSpan w:val="2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700" w:type="dxa"/>
            <w:vAlign w:val="bottom"/>
            <w:gridSpan w:val="8"/>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76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5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of Equity Securities</w:t>
            </w:r>
          </w:p>
        </w:tc>
        <w:tc>
          <w:tcPr>
            <w:tcW w:w="5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700" w:type="dxa"/>
            <w:vAlign w:val="bottom"/>
            <w:gridSpan w:val="8"/>
          </w:tcPr>
          <w:p>
            <w:pPr>
              <w:spacing w:after="0"/>
              <w:rPr>
                <w:sz w:val="17"/>
                <w:szCs w:val="17"/>
                <w:color w:val="auto"/>
              </w:rPr>
            </w:pPr>
          </w:p>
        </w:tc>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568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w:t>
            </w:r>
          </w:p>
        </w:tc>
        <w:tc>
          <w:tcPr>
            <w:tcW w:w="700" w:type="dxa"/>
            <w:vAlign w:val="bottom"/>
            <w:gridSpan w:val="8"/>
          </w:tcPr>
          <w:p>
            <w:pPr>
              <w:spacing w:after="0"/>
              <w:rPr>
                <w:sz w:val="17"/>
                <w:szCs w:val="17"/>
                <w:color w:val="auto"/>
              </w:rPr>
            </w:pPr>
          </w:p>
        </w:tc>
        <w:tc>
          <w:tcPr>
            <w:tcW w:w="64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64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7A.</w:t>
            </w:r>
          </w:p>
        </w:tc>
        <w:tc>
          <w:tcPr>
            <w:tcW w:w="540" w:type="dxa"/>
            <w:vAlign w:val="bottom"/>
            <w:gridSpan w:val="4"/>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74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8.</w:t>
            </w:r>
          </w:p>
        </w:tc>
        <w:tc>
          <w:tcPr>
            <w:tcW w:w="700" w:type="dxa"/>
            <w:vAlign w:val="bottom"/>
            <w:gridSpan w:val="8"/>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w:t>
            </w:r>
          </w:p>
        </w:tc>
        <w:tc>
          <w:tcPr>
            <w:tcW w:w="700" w:type="dxa"/>
            <w:vAlign w:val="bottom"/>
            <w:gridSpan w:val="8"/>
          </w:tcPr>
          <w:p>
            <w:pPr>
              <w:spacing w:after="0"/>
              <w:rPr>
                <w:sz w:val="17"/>
                <w:szCs w:val="17"/>
                <w:color w:val="auto"/>
              </w:rPr>
            </w:pPr>
          </w:p>
        </w:tc>
        <w:tc>
          <w:tcPr>
            <w:tcW w:w="64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6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540" w:type="dxa"/>
            <w:vAlign w:val="bottom"/>
            <w:gridSpan w:val="4"/>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540" w:type="dxa"/>
            <w:vAlign w:val="bottom"/>
            <w:gridSpan w:val="4"/>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5"/>
          </w:tcPr>
          <w:p>
            <w:pPr>
              <w:spacing w:after="0"/>
              <w:rPr>
                <w:sz w:val="17"/>
                <w:szCs w:val="17"/>
                <w:color w:val="auto"/>
              </w:rPr>
            </w:pPr>
          </w:p>
        </w:tc>
        <w:tc>
          <w:tcPr>
            <w:tcW w:w="534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540" w:type="dxa"/>
            <w:vAlign w:val="bottom"/>
            <w:gridSpan w:val="4"/>
          </w:tcPr>
          <w:p>
            <w:pPr>
              <w:spacing w:after="0"/>
              <w:rPr>
                <w:sz w:val="17"/>
                <w:szCs w:val="17"/>
                <w:color w:val="auto"/>
              </w:rPr>
            </w:pPr>
          </w:p>
        </w:tc>
        <w:tc>
          <w:tcPr>
            <w:tcW w:w="49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214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10.</w:t>
            </w:r>
          </w:p>
        </w:tc>
        <w:tc>
          <w:tcPr>
            <w:tcW w:w="600" w:type="dxa"/>
            <w:vAlign w:val="bottom"/>
            <w:gridSpan w:val="6"/>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00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600" w:type="dxa"/>
            <w:vAlign w:val="bottom"/>
            <w:gridSpan w:val="6"/>
          </w:tcPr>
          <w:p>
            <w:pPr>
              <w:spacing w:after="0"/>
              <w:rPr>
                <w:sz w:val="17"/>
                <w:szCs w:val="17"/>
                <w:color w:val="auto"/>
              </w:rPr>
            </w:pPr>
          </w:p>
        </w:tc>
        <w:tc>
          <w:tcPr>
            <w:tcW w:w="57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w:t>
            </w:r>
          </w:p>
        </w:tc>
        <w:tc>
          <w:tcPr>
            <w:tcW w:w="132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600" w:type="dxa"/>
            <w:vAlign w:val="bottom"/>
            <w:gridSpan w:val="6"/>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14.</w:t>
            </w:r>
          </w:p>
        </w:tc>
        <w:tc>
          <w:tcPr>
            <w:tcW w:w="600" w:type="dxa"/>
            <w:vAlign w:val="bottom"/>
            <w:gridSpan w:val="6"/>
          </w:tcPr>
          <w:p>
            <w:pPr>
              <w:spacing w:after="0"/>
              <w:rPr>
                <w:sz w:val="17"/>
                <w:szCs w:val="17"/>
                <w:color w:val="auto"/>
              </w:rPr>
            </w:pPr>
          </w:p>
        </w:tc>
        <w:tc>
          <w:tcPr>
            <w:tcW w:w="5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6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5"/>
              </w:rPr>
              <w:t>PART IV</w:t>
            </w:r>
          </w:p>
        </w:tc>
        <w:tc>
          <w:tcPr>
            <w:tcW w:w="4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15.</w:t>
            </w:r>
          </w:p>
        </w:tc>
        <w:tc>
          <w:tcPr>
            <w:tcW w:w="600" w:type="dxa"/>
            <w:vAlign w:val="bottom"/>
            <w:gridSpan w:val="6"/>
          </w:tcPr>
          <w:p>
            <w:pPr>
              <w:spacing w:after="0"/>
              <w:rPr>
                <w:sz w:val="17"/>
                <w:szCs w:val="17"/>
                <w:color w:val="auto"/>
              </w:rPr>
            </w:pPr>
          </w:p>
        </w:tc>
        <w:tc>
          <w:tcPr>
            <w:tcW w:w="29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420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(the “Securities Act”) and Section 21E of the Securities Exchange Act of 1934, as amended (the “Exchange Act”)). Forward-looking statements include our views on future financial results, financing sources, product development, capital requirements, market growth and the like, and are generally identified by terms including, but not limited to, “may,” “will,” “should,” “could,” “targets,” “projects,” “predicts,” “contemplates,” “anticipates,” “believes,” “estimates,” “expects,” “intends,” “plans,” “forecasts,” “seeks” and similar words. Forward-looking statements are merely predictions and therefore inherently subject to uncertainties and other factors which could cause the actual results to differ materially from the forward-looking statement. These uncertainties and other factors include, among other things:</w:t>
      </w:r>
    </w:p>
    <w:p>
      <w:pPr>
        <w:spacing w:after="0" w:line="194"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technical and marketing difficulties inherent in major research and product development efforts;</w:t>
      </w:r>
    </w:p>
    <w:p>
      <w:pPr>
        <w:spacing w:after="0" w:line="22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U.S. government and allied government funding for defense procurement and research and development (“R&amp;D”) programs and the changes in the timing and/or amount of government spending;</w:t>
      </w:r>
    </w:p>
    <w:p>
      <w:pPr>
        <w:spacing w:after="0" w:line="161" w:lineRule="exact"/>
        <w:rPr>
          <w:rFonts w:ascii="Times New Roman" w:cs="Times New Roman" w:eastAsia="Times New Roman" w:hAnsi="Times New Roman"/>
          <w:sz w:val="18"/>
          <w:szCs w:val="18"/>
          <w:color w:val="auto"/>
        </w:rPr>
      </w:pPr>
    </w:p>
    <w:p>
      <w:pPr>
        <w:ind w:left="1040" w:right="55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customers, including the U.S. government and allied foreign governments, for a significant portion of our revenues;</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regulatory requirements governing our contracts with the U.S. government and international customers and the results of any audit or investigation of our compliance therewith;</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 market innovator, to create new market opportunities and/or to expand into new markets;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for changes in our long-term strategy in response to future developments;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employees;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significant operating expenses, including components and raw materials;</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or threatened disruptions to our relationships with our distributors, suppliers, customers and employees, including shortages of components for our products;</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demand and/or prices for our products and services and our ability to perform under existing contracts and obtain new contracts;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from firms that have substantially greater resources than we have and, in the uncrewed systems market, from lower-cost consumer drone manufacturers who may seek to enhance their systems’ capabilities over time;</w:t>
      </w:r>
    </w:p>
    <w:p>
      <w:pPr>
        <w:spacing w:after="0" w:line="175"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and uncertainty of obtaining and conducting international business, including export compliance and other reporting and compliance requirements;</w:t>
      </w:r>
    </w:p>
    <w:p>
      <w:pPr>
        <w:spacing w:after="0" w:line="161"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security and cyber threats or the risk of unauthorized access to our, our customers’ and/or our suppliers’ information and systems;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81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and the consequences to our financial position, business and reputation that could result from failing to comply with such regulatory requirements;</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integrate acquired companies into our operations, including the ability to timely and sufficiently integrate international operations into our ongoing business and compliance programs;</w:t>
      </w:r>
    </w:p>
    <w:p>
      <w:pPr>
        <w:spacing w:after="0" w:line="175" w:lineRule="exact"/>
        <w:rPr>
          <w:rFonts w:ascii="Times New Roman" w:cs="Times New Roman" w:eastAsia="Times New Roman" w:hAnsi="Times New Roman"/>
          <w:sz w:val="18"/>
          <w:szCs w:val="18"/>
          <w:color w:val="auto"/>
        </w:rPr>
      </w:pPr>
    </w:p>
    <w:p>
      <w:pPr>
        <w:ind w:left="1040" w:right="199" w:hanging="31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and adapt to unexpected legal, regulatory and government budgetary changes, such as supply chain disruptions, public health crises, curtailments of trade, diversions of government resources to non-defense priorities, and other business restrictions affecting our ability to manufacture and sell our products and provide our services;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new products or integrate new technology into current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in legal proceedings;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loan documents;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internal control over financial reporting; and</w:t>
      </w:r>
    </w:p>
    <w:p>
      <w:pPr>
        <w:spacing w:after="0" w:line="225"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the United States and elsewhere in the world, including the impact of inflation.</w:t>
      </w:r>
    </w:p>
    <w:p>
      <w:pPr>
        <w:spacing w:after="0" w:line="16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Set forth below in Item 1A, “Risk Factors” are additional significant uncertainties and other factors affecting forward-looking statements. The reader should understand that the uncertainties and other factors identified in this Annual Report are not a comprehensive list of all the uncertainties and other factors that may affect forward-looking statements. We do not undertake any obligation to update or revise any forward-looking statements or the list of uncertainties and other factors that could affect those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Acquisition of BlueHalo Financing Topco, LLC (“BlueHalo”)</w:t>
      </w:r>
    </w:p>
    <w:p>
      <w:pPr>
        <w:spacing w:after="0" w:line="229" w:lineRule="exact"/>
        <w:rPr>
          <w:sz w:val="20"/>
          <w:szCs w:val="20"/>
          <w:color w:val="auto"/>
        </w:rPr>
      </w:pPr>
    </w:p>
    <w:p>
      <w:pPr>
        <w:jc w:val="both"/>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On May 1, 2025, we closed our acquisition of BlueHalo, a Delaware limited liability company, pursuant to the Agreement and Plan of Merger, dated as of November 18, 2024 (the “Merger Agreement” by and among us, Archangel Merger Sub LLC, a Delaware limited liability company (the “Merger Sub”), BlueHalo, and BlueHalo Holdings Parent, LLC, a Delaware limited liability company and sole member of BlueHalo (“Seller”).</w:t>
      </w:r>
    </w:p>
    <w:p>
      <w:pPr>
        <w:spacing w:after="0" w:line="18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Other than financial data, the disclosures and references in this Item 1 to this Annual Report, including the description of our business operations in this Item 1, and risk factors related to our operations included in Item 1A include the BlueHalo acquisition, unless otherwise specifically noted. References to financial data, unless otherwise indicated, do not include the BlueHalo acquisition. The assets, liabilities and results of operations of BlueHalo have not been consolidated into our results as of and for the period ended April 30, 2025 or any of the historical periods presented.</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are a defense technology provider delivering integrated capabilities across air, land, sea, space, and cyber. We develop and deploy autonomous systems, precision strike systems, counter-UAS technologies, space-based platforms, directed energy systems, and cyber and electronic warfare capabilities. We operate a national manufacturing footprint to deliver proven systems and capabilities whose markets offer the potential for significant long-term growth. In addition, we believe that some of the innovative potential products, services and technologies in our R&amp;D pipeline will emerge as new growth platforms in the future, creating additional market opportunities. Effective May 1, 2025, we operate our business in two reportable segments: (1) Autonomous Systems and (2) Space, Cyber and Directed Energy.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Autonomous Systems</w:t>
      </w:r>
    </w:p>
    <w:p>
      <w:pPr>
        <w:spacing w:after="0" w:line="227" w:lineRule="exact"/>
        <w:rPr>
          <w:sz w:val="20"/>
          <w:szCs w:val="20"/>
          <w:color w:val="auto"/>
        </w:rPr>
      </w:pPr>
    </w:p>
    <w:p>
      <w:pPr>
        <w:ind w:left="60" w:right="3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Uncrewed Aircraft Systems (“UAS"). </w:t>
      </w:r>
      <w:r>
        <w:rPr>
          <w:rFonts w:ascii="Times New Roman" w:cs="Times New Roman" w:eastAsia="Times New Roman" w:hAnsi="Times New Roman"/>
          <w:sz w:val="18"/>
          <w:szCs w:val="18"/>
          <w:color w:val="auto"/>
        </w:rPr>
        <w:t>Our family of uncrewed systems includes Group 1-3 UAS which are deployed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globally and provide multi-mission capability, autonomy, versatility, reliability and ease of use, providing the warfighter with critical situational awareness.</w:t>
      </w:r>
    </w:p>
    <w:p>
      <w:pPr>
        <w:spacing w:after="0" w:line="175" w:lineRule="exact"/>
        <w:rPr>
          <w:sz w:val="20"/>
          <w:szCs w:val="20"/>
          <w:color w:val="auto"/>
        </w:rPr>
      </w:pPr>
    </w:p>
    <w:p>
      <w:pPr>
        <w:ind w:left="720" w:right="79" w:hanging="319"/>
        <w:spacing w:after="0" w:line="25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UAS (“SUAS”): Small UAS in Groups 1 and 2 are designed for reliable operation at low altitudes, offering real-time observation and communication capabilities with easy transport, assembly, and quiet electric propulsion. Products include Puma LE, Puma 3 AE, Puma VTOL, P550, Raven B, and VAPOR 55 MX. Systems within the SUAS portfolio utilize our common and interoperable handheld ground control systems and an array of spare parts and accessories.</w:t>
      </w:r>
    </w:p>
    <w:p>
      <w:pPr>
        <w:spacing w:after="0" w:line="3" w:lineRule="exact"/>
        <w:rPr>
          <w:rFonts w:ascii="Times New Roman" w:cs="Times New Roman" w:eastAsia="Times New Roman" w:hAnsi="Times New Roman"/>
          <w:sz w:val="18"/>
          <w:szCs w:val="18"/>
          <w:color w:val="auto"/>
        </w:rPr>
      </w:pPr>
    </w:p>
    <w:p>
      <w:pPr>
        <w:ind w:left="720" w:right="25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UAS (“MUAS”): Our Group 3 solutions include the JUMP 20, JUMP 20-X, and T-20. All are field-deployable and deliver extended endurance and increased payload capacity to unlock a broader set of uncrewed missions.</w:t>
      </w:r>
    </w:p>
    <w:p>
      <w:pPr>
        <w:spacing w:after="0" w:line="1" w:lineRule="exact"/>
        <w:rPr>
          <w:rFonts w:ascii="Times New Roman" w:cs="Times New Roman" w:eastAsia="Times New Roman" w:hAnsi="Times New Roman"/>
          <w:sz w:val="18"/>
          <w:szCs w:val="18"/>
          <w:color w:val="auto"/>
        </w:rPr>
      </w:pPr>
    </w:p>
    <w:p>
      <w:pPr>
        <w:ind w:left="720" w:right="219" w:hanging="319"/>
        <w:spacing w:after="0" w:line="25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Kinesis Command and Control Software: Our Kinesis software is an advanced command and control platform designed to enhance the operation of our diverse uncrewed systems, including UAS, ground vehicles, and maritime vessels. Kinesis integrates seamlessly with our product suite, offering a scalable and intuitive interface that centralizes the control of multiple assets and provides real-time situational awareness. The software’s interoperability and automated mission planning capabilities reduce operator workload, improve decision-making, and increase mission success rates.</w:t>
      </w:r>
    </w:p>
    <w:p>
      <w:pPr>
        <w:spacing w:after="0" w:line="188"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Counter-UAS (“C-UAS”) and Precision Strike. </w:t>
      </w:r>
      <w:r>
        <w:rPr>
          <w:rFonts w:ascii="Times New Roman" w:cs="Times New Roman" w:eastAsia="Times New Roman" w:hAnsi="Times New Roman"/>
          <w:sz w:val="18"/>
          <w:szCs w:val="18"/>
          <w:color w:val="auto"/>
        </w:rPr>
        <w:t>Precision Strike includes our family of loitering munitions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(“LMS”) that deliver actionable intelligence and precision firepower modern warfighters need to achieve mission success across multiple domains. C-UAS includes our family of radio frequency and kinetic C-UAS products which, when combined with our Directed Energy C-UAS solution, provide a comprehensive suite of counter-drone solutions with rapid deployment and advanced threat detection and defeat, as well as our Electronic Warfare (“EW”) solutions which provide critical tactical communication, geolocation and cyber effects capabilities utilizing modular architectures and open standards.</w:t>
      </w:r>
    </w:p>
    <w:p>
      <w:pPr>
        <w:spacing w:after="0" w:line="185" w:lineRule="exact"/>
        <w:rPr>
          <w:sz w:val="20"/>
          <w:szCs w:val="20"/>
          <w:color w:val="auto"/>
        </w:rPr>
      </w:pPr>
    </w:p>
    <w:p>
      <w:pPr>
        <w:ind w:left="720" w:right="159" w:hanging="319"/>
        <w:spacing w:after="0" w:line="25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Strike: Our Switchblade family includes the Switchblade 300 and Switchblade 600, which are loitering munitions solutions and provide portable, low-signature, precision strike capabilities against static or mobile targets and Blackwing, which provides intelligence, surveillance and reconnaissance (“ISR”) capabilities. In addition to these loitering munitions products, we recently launched a One Way Attack offering called Red Dragon. The Red Dragon family of products offers an autonomous capable, GPS-denied, precision-strike, one-way attack UAS engineered for scalable production and deployment. Designed to operate in disrupted, disconnected, intermittent, and low-bandwidth conditions, it delivers unmatched resilience against advanced electronic warfare threats.</w:t>
      </w:r>
    </w:p>
    <w:p>
      <w:pPr>
        <w:spacing w:after="0" w:line="191" w:lineRule="exact"/>
        <w:rPr>
          <w:rFonts w:ascii="Times New Roman" w:cs="Times New Roman" w:eastAsia="Times New Roman" w:hAnsi="Times New Roman"/>
          <w:sz w:val="18"/>
          <w:szCs w:val="18"/>
          <w:color w:val="auto"/>
        </w:rPr>
      </w:pPr>
    </w:p>
    <w:p>
      <w:pPr>
        <w:ind w:left="720" w:right="99" w:hanging="319"/>
        <w:spacing w:after="0" w:line="253"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 Frequency (“RF”) and Kinetic C-UAS: Our Titan family of solutions provides comprehensive C-UAS RF capabilities deployed across two core products. Titan C-UAS offers advanced threat detection and rapid response, deploying within five minutes to identify and intercept hostile drones. This autonomous system, powered by artificial intelligence (“AI”) and machine learning (“ML”), defeats Group 1 and 2 drones, providing non-specialist operators with comprehensive situational awareness and defensive capabilities against UAS threats. Titan SV delivers comprehensive 360° surveillance, efficiently localizing malicious SUAS. We recently unveiled our latest Titan offering, the Titan IV, offering a smaller, lighter and more powerful RF-based solution to detect and defeat Group 1 and 2 drone threats. Also included is our newest C-UAS kinetic interceptor, Freedom Eagle (“FE-1”). This next-generation C-UAS drone and air defense missile system provides enhanced lethality at range against Group 3 UAS and other large aerial threats, while seamlessly integrating with existing infrastructure and command and control systems.</w:t>
      </w:r>
    </w:p>
    <w:p>
      <w:pPr>
        <w:spacing w:after="0" w:line="191" w:lineRule="exact"/>
        <w:rPr>
          <w:rFonts w:ascii="Times New Roman" w:cs="Times New Roman" w:eastAsia="Times New Roman" w:hAnsi="Times New Roman"/>
          <w:sz w:val="18"/>
          <w:szCs w:val="18"/>
          <w:color w:val="auto"/>
        </w:rPr>
      </w:pPr>
    </w:p>
    <w:p>
      <w:pPr>
        <w:ind w:left="720" w:right="219" w:hanging="319"/>
        <w:spacing w:after="0" w:line="289" w:lineRule="auto"/>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Electronic Warfare Systems: Our EW Systems are designed utilizing sensor open system architecture (“SOSA”) and modular open systems architecture (“MOSA”) standards as well as AI/ML technologies for RF signature analysis and automated detection and identification of out-of-band signals, enhancing system interoperability,</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39"/>
        <w:spacing w:after="0" w:line="255" w:lineRule="auto"/>
        <w:rPr>
          <w:sz w:val="20"/>
          <w:szCs w:val="20"/>
          <w:color w:val="auto"/>
        </w:rPr>
      </w:pPr>
      <w:r>
        <w:rPr>
          <w:rFonts w:ascii="Times New Roman" w:cs="Times New Roman" w:eastAsia="Times New Roman" w:hAnsi="Times New Roman"/>
          <w:sz w:val="18"/>
          <w:szCs w:val="18"/>
          <w:color w:val="auto"/>
        </w:rPr>
        <w:t>modularity, and resilience to enable operational advantage across contested domains. This approach ensures seamless integration with existing defense infrastructures and allied systems, enabling cohesive and collaborative operations. Key products include the SharkCage Tactical Chassis, which is an expeditionary command, control, communications, computers, cyber, intelligence, surveillance and reconnaissance (“C5ISR”)/EW chassis environmentally sealed to withstand the elements associated with land, air, and sea operations as well as the extreme temperature changes associated with airborne missions, and BlueFin Angler SDR which supports multiple signals of interest and third-party waveforms.</w:t>
      </w:r>
    </w:p>
    <w:p>
      <w:pPr>
        <w:spacing w:after="0" w:line="187" w:lineRule="exact"/>
        <w:rPr>
          <w:sz w:val="20"/>
          <w:szCs w:val="20"/>
          <w:color w:val="auto"/>
        </w:rPr>
      </w:pPr>
    </w:p>
    <w:p>
      <w:pPr>
        <w:ind w:left="60" w:right="1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Included in “Other” is MacCready Works, our innovation engine where autonomy, AI, and advanced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converge to deliver next-generation capabilities; Unmanned Maritime; Uncrewed Ground Systems (“UGV”); and High-Altitude Pseudo-Satellites (“HAPS”).</w:t>
      </w:r>
    </w:p>
    <w:p>
      <w:pPr>
        <w:spacing w:after="0" w:line="175" w:lineRule="exact"/>
        <w:rPr>
          <w:sz w:val="20"/>
          <w:szCs w:val="20"/>
          <w:color w:val="auto"/>
        </w:rPr>
      </w:pPr>
    </w:p>
    <w:p>
      <w:pPr>
        <w:ind w:left="720" w:right="11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Autonomy, AI and Advanced Platform Technologies: In our MacCready Works organization, we develop solutions, such as ACE, SPOTR-Edge, and ARK, to enable robotic systems to perform complex missions in complex environments requiring advanced AI/ML and autonomy. Our most recent One Way Attack offering, Red Dragon, was designed and developed in MacCready Works.</w:t>
      </w:r>
    </w:p>
    <w:p>
      <w:pPr>
        <w:spacing w:after="0" w:line="179" w:lineRule="exact"/>
        <w:rPr>
          <w:rFonts w:ascii="Times New Roman" w:cs="Times New Roman" w:eastAsia="Times New Roman" w:hAnsi="Times New Roman"/>
          <w:sz w:val="18"/>
          <w:szCs w:val="18"/>
          <w:color w:val="auto"/>
        </w:rPr>
      </w:pPr>
    </w:p>
    <w:p>
      <w:pPr>
        <w:ind w:left="720" w:right="99" w:hanging="319"/>
        <w:spacing w:after="0" w:line="258"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Unmanned Maritime: Unmanned Maritime provide effective surveillance, reconnaissance, and mine detection in contested waters. The Defender is a robust Remotely Operated Vehicle (“ROV”) designed for precise control of the vehicle position and orientation, heavier payloads, and demanding intervention, such as rendering unexploded ordnance safe or to search and retrieve evidence. The Pro 5 and Ally are modular underwater systems for diverse operational needs, combining speed, power, efficiency and agility.</w:t>
      </w:r>
    </w:p>
    <w:p>
      <w:pPr>
        <w:spacing w:after="0" w:line="183" w:lineRule="exact"/>
        <w:rPr>
          <w:rFonts w:ascii="Times New Roman" w:cs="Times New Roman" w:eastAsia="Times New Roman" w:hAnsi="Times New Roman"/>
          <w:sz w:val="18"/>
          <w:szCs w:val="18"/>
          <w:color w:val="auto"/>
        </w:rPr>
      </w:pPr>
    </w:p>
    <w:p>
      <w:pPr>
        <w:ind w:left="720" w:right="199" w:hanging="319"/>
        <w:spacing w:after="0" w:line="258"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UGV: Our UGV systems support complex explosive ordinance disposal (“EOD”) operations through multi-axis manipulation and integrated tool exchange capabilities. Our UGVs have proven themselves in a variety of dangerous applications including EOD and improvised explosive devices (“IED”), hazardous materials handling (“HAZMAT”), chemical, biological, radiological, nuclear and explosive (“CBRNE”) threat assessments and special weapons and tactics (“SWAT”) team operations. Products include tEODor EVO and Telemax EVO.</w:t>
      </w:r>
    </w:p>
    <w:p>
      <w:pPr>
        <w:spacing w:after="0" w:line="183" w:lineRule="exact"/>
        <w:rPr>
          <w:rFonts w:ascii="Times New Roman" w:cs="Times New Roman" w:eastAsia="Times New Roman" w:hAnsi="Times New Roman"/>
          <w:sz w:val="18"/>
          <w:szCs w:val="18"/>
          <w:color w:val="auto"/>
        </w:rPr>
      </w:pPr>
    </w:p>
    <w:p>
      <w:pPr>
        <w:ind w:left="720" w:right="41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HAPS: HAPS are long-endurance UAS maintaining geosynchronous orbits, providing low-latency communications, and operating over large areas of interest. HAPS can carry a variety of communications and sensing payloads that are easily installed, upgraded, and swapped based on mission needs.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Space, Cyber and Directed Energy</w:t>
      </w:r>
    </w:p>
    <w:p>
      <w:pPr>
        <w:spacing w:after="0" w:line="227"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Space and Directed Energy. </w:t>
      </w:r>
      <w:r>
        <w:rPr>
          <w:rFonts w:ascii="Times New Roman" w:cs="Times New Roman" w:eastAsia="Times New Roman" w:hAnsi="Times New Roman"/>
          <w:sz w:val="18"/>
          <w:szCs w:val="18"/>
          <w:color w:val="auto"/>
        </w:rPr>
        <w:t>As space becomes a more contested domain, investments in satellite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missile warning systems, and space-based ISR ensure dominance and resilience in potential conflicts. Directed energy C-UAS systems use high energy laser systems paired with AI/ML enabled sensing technology to track, identify, and defeat targets.</w:t>
      </w:r>
    </w:p>
    <w:p>
      <w:pPr>
        <w:spacing w:after="0" w:line="182" w:lineRule="exact"/>
        <w:rPr>
          <w:sz w:val="20"/>
          <w:szCs w:val="20"/>
          <w:color w:val="auto"/>
        </w:rPr>
      </w:pPr>
    </w:p>
    <w:p>
      <w:pPr>
        <w:ind w:left="720" w:right="159" w:hanging="319"/>
        <w:spacing w:after="0" w:line="254"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beamforming technology: Our proprietary multi-band/beam software defined antenna (“MSDA”) tile allows simultaneous communication with multiple satellites across different frequency bands and provides agile, resilient, and modular solutions for next-generation space operations. This technology is deployed across the Badger product providing agile, deployable multi-beam, multi-band antennas, offering a modular, reconfigurable digital phased array for satellite communications, telemetry and EW missions and the Wasp product, which provides next generation technologies in satellite communications, telemetry, EW and radar employing multiple, independently steerable, simultaneous beams at diverse center frequencies and bandwidths supporting seamless interface with both new and existing antenna reflectors.</w:t>
      </w:r>
    </w:p>
    <w:p>
      <w:pPr>
        <w:spacing w:after="0" w:line="191"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Laser Communications: High-bandwidth, secure data transmission systems for modern space operations enable Low Probability of Intercept and Low Probability of Detect communications. Our payloads provide up to 100 times more bandwidth than RF for stable, resilient space communications.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hanging="319"/>
        <w:spacing w:after="0" w:line="258"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Space-Qualified Hardware: Our trusted hardware delivered for mission critical capabilities includes line of sight stabilization and control electronics in Low Earth Orbit (“LEO”), Medium Earth Orbit (“MEO”), Geostationary Earth Orbit (“GEO”), and cislunar orbits. We have over 260 systems currently on orbit, including angular rate sensors, fast steering mirrors, power system controllers, command and data handling, and spacecraft attitude determination and control units.</w:t>
      </w:r>
    </w:p>
    <w:p>
      <w:pPr>
        <w:spacing w:after="0" w:line="183"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Phased Array Antenna Technology: Our PANTHER family of systems supports hypersonic telemetry and tracking and other missile testing.</w:t>
      </w:r>
    </w:p>
    <w:p>
      <w:pPr>
        <w:spacing w:after="0" w:line="161" w:lineRule="exact"/>
        <w:rPr>
          <w:rFonts w:ascii="Times New Roman" w:cs="Times New Roman" w:eastAsia="Times New Roman" w:hAnsi="Times New Roman"/>
          <w:sz w:val="18"/>
          <w:szCs w:val="18"/>
          <w:color w:val="auto"/>
        </w:rPr>
      </w:pPr>
    </w:p>
    <w:p>
      <w:pPr>
        <w:ind w:left="720" w:right="299" w:hanging="319"/>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Energy: The Locust Laser Weapon System (“LWS”) and Locust TATS uses advanced AI and engineering for an effective directed energy kill chain, tracking, identifying, and defeating targets with a high energy laser system. Designed for roll-on/roll-off modularity and quick deployment, it is easily transported and integrated onto various platforms.</w:t>
      </w:r>
    </w:p>
    <w:p>
      <w:pPr>
        <w:spacing w:after="0" w:line="178" w:lineRule="exact"/>
        <w:rPr>
          <w:sz w:val="20"/>
          <w:szCs w:val="20"/>
          <w:color w:val="auto"/>
        </w:rPr>
      </w:pPr>
    </w:p>
    <w:p>
      <w:pPr>
        <w:ind w:left="60" w:right="6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Cyber and Mission Systems. </w:t>
      </w:r>
      <w:r>
        <w:rPr>
          <w:rFonts w:ascii="Times New Roman" w:cs="Times New Roman" w:eastAsia="Times New Roman" w:hAnsi="Times New Roman"/>
          <w:sz w:val="18"/>
          <w:szCs w:val="18"/>
          <w:color w:val="auto"/>
        </w:rPr>
        <w:t>Our Cyber and Mission Systems provide specialized operational support,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to execute critical missions within the national security community.</w:t>
      </w:r>
    </w:p>
    <w:p>
      <w:pPr>
        <w:spacing w:after="0" w:line="160" w:lineRule="exact"/>
        <w:rPr>
          <w:sz w:val="20"/>
          <w:szCs w:val="20"/>
          <w:color w:val="auto"/>
        </w:rPr>
      </w:pPr>
    </w:p>
    <w:p>
      <w:pPr>
        <w:ind w:left="720" w:right="219" w:hanging="319"/>
        <w:spacing w:after="0" w:line="25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Our expertise spans offensive and defensive cyber capabilities, Geospatial Intelligence (“GEOINT”), Signals Intelligence (“SIGINT”), Measurement and Signature Intelligence (“MASINT”) as well as Open Source Intelligence (“OSINT”) analytics. Our cyber solutions are engineered to empower national security and defense operations with advanced tools and capabilities in both offensive and defensive cyber operations enabling full-spectrum warfare.</w:t>
      </w:r>
    </w:p>
    <w:p>
      <w:pPr>
        <w:spacing w:after="0" w:line="183"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Systems: Our HaloCortex OSINT Platform is an AI-powered OSINT Analysis product that leverages the largest data store in the world, to provide unique insights and solve Department of Defense (“DoD”) and commercial challenges.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As a leading defense technology provider, our strategy is to grow our business by delivering innovative, mission-critical, safe and reliable multi-domain solutions tailored to our customers’ most pressing challenges. Delivering these capabilities enables us to create new markets, gain share in existing markets, and benefit from overall market expansion with increased adoption of these critical new technologies. Our strategy involves introducing new solutions, or acquiring differentiated solutions developed by others, to enhance the value we provide to customers, while supporting profitable growth across both existing and emerging markets. By providing differentiated solutions, we believe we are positioned to compete effectively against large, well-funded, and/or incumbent competitors that may possess advantages in scope, scale, resources and relationships. Key components of this strategy include the following:</w:t>
      </w:r>
    </w:p>
    <w:p>
      <w:pPr>
        <w:spacing w:after="0" w:line="188" w:lineRule="exact"/>
        <w:rPr>
          <w:sz w:val="20"/>
          <w:szCs w:val="20"/>
          <w:color w:val="auto"/>
        </w:rPr>
      </w:pPr>
    </w:p>
    <w:p>
      <w:pPr>
        <w:ind w:left="60" w:right="59" w:firstLine="97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the market penetration of existing products and services. </w:t>
      </w:r>
      <w:r>
        <w:rPr>
          <w:rFonts w:ascii="Times New Roman" w:cs="Times New Roman" w:eastAsia="Times New Roman" w:hAnsi="Times New Roman"/>
          <w:sz w:val="18"/>
          <w:szCs w:val="18"/>
          <w:color w:val="auto"/>
        </w:rPr>
        <w:t>Our UAS, C-UAS and Precision Strike,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Space and Directed Energy, Cyber and Mission Systems and other businesses have gained reputations as performance leaders and technology innovators in their respective markets. We intend to increase the penetration of our products and services within the U.S. military, the militaries of allied nations, other government agencies and non-government organizations, including commercial entities. Our strategy is based on the expectation that continued adoption of our solutions by the U.S. military will stimulate demand among allied nations and that exploring new applications will generate opportunities beyond the initial military market.</w:t>
      </w:r>
    </w:p>
    <w:p>
      <w:pPr>
        <w:spacing w:after="0" w:line="183" w:lineRule="exact"/>
        <w:rPr>
          <w:sz w:val="20"/>
          <w:szCs w:val="20"/>
          <w:color w:val="auto"/>
        </w:rPr>
      </w:pPr>
    </w:p>
    <w:p>
      <w:pPr>
        <w:ind w:left="60" w:right="59" w:firstLine="972"/>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Deliver innovative new solutions into existing and new markets. </w:t>
      </w:r>
      <w:r>
        <w:rPr>
          <w:rFonts w:ascii="Times New Roman" w:cs="Times New Roman" w:eastAsia="Times New Roman" w:hAnsi="Times New Roman"/>
          <w:sz w:val="17"/>
          <w:szCs w:val="17"/>
          <w:color w:val="auto"/>
        </w:rPr>
        <w:t>Customer focused innovation is the primary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driver of our growth. We plan to continue investing in internally funded R&amp;D projects while expanding our pursuit of customer-funded R&amp;D projects to generate revenue and develop better, more capable products, services and business models, both in response to and in anticipation of emerging customer needs. In some cases, such innovations result in upgrades to existing offerings while expanding their value among existing customers and markets. In other cases, such innovations become entirely new solutions that enable us to address new markets, customers and business opportunities.</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972"/>
        <w:spacing w:after="0" w:line="258" w:lineRule="auto"/>
        <w:rPr>
          <w:sz w:val="20"/>
          <w:szCs w:val="20"/>
          <w:color w:val="auto"/>
        </w:rPr>
      </w:pPr>
      <w:r>
        <w:rPr>
          <w:rFonts w:ascii="Times New Roman" w:cs="Times New Roman" w:eastAsia="Times New Roman" w:hAnsi="Times New Roman"/>
          <w:sz w:val="18"/>
          <w:szCs w:val="18"/>
          <w:color w:val="auto"/>
        </w:rPr>
        <w:t>We believe our strategy, which is focused on R&amp;D investments, will allow us to deliver innovative new products and services that address market needs both within and beyond our current target markets, enabling the creation of new growth opportunities. We view strategic partnerships as a means by which to further the reach of our innovative solutions by accessing new markets, customers, and complementary capabilities. We also consider acquisitions as a method to obtain valuable products, capabilities or technologies that can further enable our growth strategy.</w:t>
      </w:r>
    </w:p>
    <w:p>
      <w:pPr>
        <w:spacing w:after="0" w:line="179" w:lineRule="exact"/>
        <w:rPr>
          <w:sz w:val="20"/>
          <w:szCs w:val="20"/>
          <w:color w:val="auto"/>
        </w:rPr>
      </w:pPr>
    </w:p>
    <w:p>
      <w:pPr>
        <w:ind w:left="60" w:right="99" w:firstLine="97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Foster our entrepreneurial culture and continue to attract, develop and retain highly-skilled personnel. </w:t>
      </w:r>
      <w:r>
        <w:rPr>
          <w:rFonts w:ascii="Times New Roman" w:cs="Times New Roman" w:eastAsia="Times New Roman" w:hAnsi="Times New Roman"/>
          <w:sz w:val="18"/>
          <w:szCs w:val="18"/>
          <w:color w:val="auto"/>
        </w:rPr>
        <w:t>Our company culture encourages innovation and entrepreneurship, which helps to attract and retain highly skilled mission-focused professionals. This culture encourages the development of innovative, highly technical system solutions and business models that give us our competitive advantage. Our values guide the behavior of our team members and help maintain a positive work environment that fosters loyalty among both employees and customers. These values also support the successful integration of new team members who join through acquisitions.</w:t>
      </w:r>
    </w:p>
    <w:p>
      <w:pPr>
        <w:spacing w:after="0" w:line="182" w:lineRule="exact"/>
        <w:rPr>
          <w:sz w:val="20"/>
          <w:szCs w:val="20"/>
          <w:color w:val="auto"/>
        </w:rPr>
      </w:pPr>
    </w:p>
    <w:p>
      <w:pPr>
        <w:ind w:left="60" w:right="159" w:firstLine="97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Preserve our agility and flexibility. </w:t>
      </w:r>
      <w:r>
        <w:rPr>
          <w:rFonts w:ascii="Times New Roman" w:cs="Times New Roman" w:eastAsia="Times New Roman" w:hAnsi="Times New Roman"/>
          <w:sz w:val="18"/>
          <w:szCs w:val="18"/>
          <w:color w:val="auto"/>
        </w:rPr>
        <w:t>We respond rapidly to evolving markets, address complex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challenges, and aim to deliver new products, services, and capabilities quickly, efficiently, and affordably compared to available alternatives. We believe our agility and flexibility strengthen relationships with customers and partners and serve as key differentiators when competing against organizations with greater resources.</w:t>
      </w:r>
    </w:p>
    <w:p>
      <w:pPr>
        <w:spacing w:after="0" w:line="176" w:lineRule="exact"/>
        <w:rPr>
          <w:sz w:val="20"/>
          <w:szCs w:val="20"/>
          <w:color w:val="auto"/>
        </w:rPr>
      </w:pPr>
    </w:p>
    <w:p>
      <w:pPr>
        <w:ind w:left="60" w:right="79" w:firstLine="97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Effectively manage our growth portfolio for long-term value creation. </w:t>
      </w:r>
      <w:r>
        <w:rPr>
          <w:rFonts w:ascii="Times New Roman" w:cs="Times New Roman" w:eastAsia="Times New Roman" w:hAnsi="Times New Roman"/>
          <w:sz w:val="18"/>
          <w:szCs w:val="18"/>
          <w:color w:val="auto"/>
        </w:rPr>
        <w:t>Our production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and services present numerous investment opportunities that are expected to deliver long-term growth by providing customers with valuable new capabilities. We evaluate each opportunity independently and against other investment opportunities, to determine its relative cost, timing and potential for generation of returns. This process helps us make informed decisions regarding potential growth capital requirements. It also supports our allocation of resources based on relative risks and returns to maximize long term value creation, which is the key objective of our value creation strategy. We regularly review our portfolio to determine if and when to narrow our focus on the highest potential opportunities and exit unattractive or non-core product lines.</w:t>
      </w:r>
    </w:p>
    <w:p>
      <w:pPr>
        <w:spacing w:after="0" w:line="185" w:lineRule="exact"/>
        <w:rPr>
          <w:sz w:val="20"/>
          <w:szCs w:val="20"/>
          <w:color w:val="auto"/>
        </w:rPr>
      </w:pPr>
    </w:p>
    <w:p>
      <w:pPr>
        <w:ind w:left="60" w:right="259" w:firstLine="97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Stay engaged with our key defense customers. </w:t>
      </w:r>
      <w:r>
        <w:rPr>
          <w:rFonts w:ascii="Times New Roman" w:cs="Times New Roman" w:eastAsia="Times New Roman" w:hAnsi="Times New Roman"/>
          <w:sz w:val="18"/>
          <w:szCs w:val="18"/>
          <w:color w:val="auto"/>
        </w:rPr>
        <w:t>We receive support from members within our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Advisory Group (“SAG”), which provides executive level advice to our senior leaders on all matters relating to the DoD. SAG members are highly qualified former members of the U.S. DoD, including retired General and Flag Officers and Senior Executive Service members, each with many decades of experience. We also have a government relations team comprised of individuals with prior military, government and policy making experience who regularly meet with key decision makers within the Pentagon, Congress and other key organizations within the U.S. government. Our global business development organization seeks to understand customer needs, responds to information requests, submits proposals, solicits feedback on the performance of our products, furnishes spares, and provides training and customer support. Finally, our project and program managers work intimately with customers to oversee the design, development, testing, manufacturing and delivery of solutions the customers want and need.</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sell the majority of our products and services to the U.S. DoD, serving branches such as the U.S. Army, Marine Corps, Special Operations Command, Air Force, Navy, Space Force, and Cyber Command; the intelligence community agencies; public safety agencies; allied governments and coalition partners through direct commercial sales or foreign military sales; and to commercial customers, supporting critical infrastructure protection, open-source intelligence operations, and advanced research initiatives.</w:t>
      </w:r>
    </w:p>
    <w:p>
      <w:pPr>
        <w:spacing w:after="0" w:line="183"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During our fiscal year ended April 30, 2025, prior to the acquisition of BlueHalo, we generated approximately 20% of our revenue from the U.S. Army pursuant to orders placed under contract by the U.S. Army on behalf of itself as well as for several other organizations within the U.S. DoD. For that same period, other U.S. government agencies and government subcontractors accounted for 27% of our sales revenue. Sales revenue to foreign customers, inclusive of foreign military sales made through the U.S. DoD, commercial and consumer customers accounted for the remaining 53% of sales revenue during our fiscal year ended April 30, 2025, of which Ukraine accounted for 18% of our total sales revenue. With the acquisition of BlueHalo, we expect the proportion of total revenue attributable to sales to the U.S. DoD and other U.S. government agencies to increase in fiscal year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Technological Competence and Intellectual Property</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 component of our ongoing innovation is a screening process that helps our business managers identify early market needs, which assists us in making timely investments in critical technologies necessary to develop solutions to address these needs. Similarly, we manage new product and business concepts through a commercialization process that balances spending, resources, time and intellectual property considerations against market requirements and potential returns on investment. Strongly linking our technology and business development activities to customer needs in attractive growth markets constitutes an important element of this process. We constantly revisit our customer requirement assumptions to evaluate continued investment and to seek to ensure that our products and services deliver high value and, conversely, high returns.</w:t>
      </w:r>
    </w:p>
    <w:p>
      <w:pPr>
        <w:spacing w:after="0" w:line="19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As of April 30, 2025, prior to the BlueHalo acquisition, we had issued and retained 353 U.S. patents, as well as 103 pending U.S. patent applications; and numerous foreign patents and pending applications. In many cases, when appropriate and to preserve confidentiality, we opt to protect our intellectual property through trade secrets as opposed to filing for patent protection. We recently filed trademark applications for our new stylized corporate AV logo incorporating a halo feature, as well as the mark All Domain Dominance. Further we have many U.S. registered trademarks including those for AeroVironment, AV, Switchblade, Raven, VAPOR, Arcturus UAV, JUMP, Tomahawk Robotics, and Kinesis, and have several pending applications for trademark registration.</w:t>
      </w:r>
    </w:p>
    <w:p>
      <w:pPr>
        <w:spacing w:after="0" w:line="18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Upon the closing of the BlueHalo acquisition on May 1, 2025, we obtained an additional 150 issued U.S. patents with 60 patents pending, and numerous foreign issued patents and pending patent applications.</w:t>
      </w:r>
    </w:p>
    <w:p>
      <w:pPr>
        <w:spacing w:after="0" w:line="162" w:lineRule="exact"/>
        <w:rPr>
          <w:sz w:val="20"/>
          <w:szCs w:val="20"/>
          <w:color w:val="auto"/>
        </w:rPr>
      </w:pPr>
    </w:p>
    <w:p>
      <w:pPr>
        <w:ind w:left="60" w:right="119" w:firstLine="648"/>
        <w:spacing w:after="0" w:line="289" w:lineRule="auto"/>
        <w:rPr>
          <w:sz w:val="20"/>
          <w:szCs w:val="20"/>
          <w:color w:val="auto"/>
        </w:rPr>
      </w:pPr>
      <w:r>
        <w:rPr>
          <w:rFonts w:ascii="Times New Roman" w:cs="Times New Roman" w:eastAsia="Times New Roman" w:hAnsi="Times New Roman"/>
          <w:sz w:val="17"/>
          <w:szCs w:val="17"/>
          <w:color w:val="auto"/>
        </w:rPr>
        <w:t>BlueHalo has many registered trademarks as well as many pending trademark applications, including but not limited to U.S. trademarks for its major products like TITAN C-UAS, LOCUST, UAS-MAX, Badger, WASP, NXTHEALTH, NXTTRUST, NXTAERO, NXTRF, NIQUIST, SCRAAWL, Protection from the Swarm, and several more.</w:t>
      </w:r>
    </w:p>
    <w:p>
      <w:pPr>
        <w:spacing w:after="0" w:line="15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U.S. government licenses some of our intellectual property that was specifically developed in performance of government contracts and may use or authorize others to use this intellectual property. In some cases, we fund the development of certain intellectual property to maximize its value and limit its use by potential competitors. While the development and protection of our intellectual property are integral to the continued success of our business, the loss or limitation of rights to any particular piece of intellectual property is not expected to have a material adverse effect on our overall business.</w:t>
      </w:r>
    </w:p>
    <w:p>
      <w:pPr>
        <w:spacing w:after="0" w:line="1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Commercialization of Projects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 core component of our business strategy is the focused development and commercialization of innovative solutions that we believe have the potential to become new products or services that create large new markets or accelerate growth within our existing markets. We invest in an active pipeline of these commercialization projects ranging in maturity from technology validation to early market adoption. We cannot predict when, if ever, we will successfully commercialize these projects, or the exact level of capital expenditures they could require, which could be substantial.</w:t>
      </w:r>
    </w:p>
    <w:p>
      <w:pPr>
        <w:spacing w:after="0" w:line="1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Technological Capabilities</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core technological capabilities, developed over more than 50 years of innovation, include robotics and robotics systems autonomy; modular open systems architecture; sensor design, development, miniaturization and integration; embedded software and firmware; miniature, low power, secure wireless digital communications and networks; lightweight aerostructures; high-altitude systems design, integration and operations; machine vision, machine learning, AI and autonomy; land, maritime and air deployment of munitions and aircraft systems; design and qualification for robotics in extreme terrestrial and space environments; low SWaP (Size, Weight and Power) system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design and integration; collaborative multi-robotic crewed and uncrewed mission operation; power electronics and electric propulsion systems; efficient electric power conversion, storage systems and high density energy packaging; controls and systems integration; vertical takeoff and landing for fixed wing and hybrid aircraft and rotocraft systems; image stabilization and target tracking; advanced flight control systems; fluid dynamics; human-machine interface development; modular dismounted, networked multi-domain robotic control interfaces and analytic processing architecture; and integrated mission solutions for austere environments.</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BlueHalo acquisition significantly enhanced our core technological capabilities, which now include advanced RF system design and development, software defined digital phased array antennas and radars, space qualified electronics, laser communication technologies, software defined radios, electronic warfare technology, target acquisition and tracking, directed energy-based weapons systems for counter uncrewed systems, RF-based systems for counter uncrewed, next generation counter uncrewed system missile technology, XR/VR system for training, modeling and simulation, hardware in the loop simulations, C2 sensing and tracking, uncrewed maritime platforms, uncrewed aerial platforms, full spectrum cyber operations, tactical mission networks, multi-int data analytics and threat intelligence, tools and analytics for GEOINT, SIGNINT, MASINT and OSINT, aerospace power and propulsion, material and processes, directed energy, photonics and electronics, biological and nanoscale technology, and health and human performance.</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believe the principal competitive factors in the markets for our products and services include product performance; safety; innovative features; acquisition cost; lifetime operating cost, including maintenance and support; ease of use; rapid integration with existing equipment and processes; quality; reliability; customer support; and brand reputation. Several companies across the globe, primarily in the U.S., attempt to compete in our markets to some degree, although we believe none matches the breadth and depth of our product line nor our expertise in core capabilities.</w:t>
      </w:r>
    </w:p>
    <w:p>
      <w:pPr>
        <w:spacing w:after="0" w:line="183"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defense market for UAS continues to evolve in response to changing technologies, shifting customer needs and expectations and the potential introduction of new products. Our current principal competitors include Elbit Systems Ltd., Quantum-Systems, Inc., Edge Autonomy, Teledyne Technologies, Inc., Sierra Nevada Corporation, Lockheed Martin Corporation, The Boeing Company, Textron, Inc., Shield AI, Inc., Northrop Grumman Corporation, Griffon Aerospace, Inc., L3Harris Technologies, Inc. and Israeli Aircraft Industries.</w:t>
      </w:r>
    </w:p>
    <w:p>
      <w:pPr>
        <w:spacing w:after="0" w:line="183"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The defense and technology markets for the C-UAS and Precision Strike products and solutions are highly competitive, evolving with rapid technological advancements and shifting customer needs. Competitors in the LMS market include Textron Inc., RTX Corporation, Lockheed Martin Corporation, Anduril Industries, Inc., Aevex Holdings, LLC and UVision Air Ltd. Competitors in the C-UAS and Electronic Warfare markets include Anduril Industries, Inc., The Boeing Company, Lockheed Martin Corporation, RTX Corporation and other emerging technology firms and international players.</w:t>
      </w:r>
    </w:p>
    <w:p>
      <w:pPr>
        <w:spacing w:after="0" w:line="16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space technology and directed energy market includes competitors such as The Boeing Company, Lockheed Martin Corporation, L3Harris Technologies, Inc., BAE Systems, Inc., and RTX Corporation. These companies have extensive experience and resources, offering satellite systems and spacecraft engineering solutions that compete with our offerings.</w:t>
      </w:r>
    </w:p>
    <w:p>
      <w:pPr>
        <w:spacing w:after="0" w:line="180"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cyber and mission systems areas are highly competitive, with principal competitors including L3Harris Technologies, Inc., Thales Group, Anduril Industries, Inc, and Sierra Nevada Corporation. We also face competition from specialized cybersecurity firms.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Manufacturing and Operations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pursue a lean and efficient production strategy across our business, focusing on rapid prototyping and design, supply chain management, initial and final assembly, integration, quality and in-process/final acceptance testing. Using concurrent engineering techniques within an integrated product team structure, we rapidly prototype design concepts and products, while optimizing our designs to meet manufacturing requirements and mission capabilities which address rapidly evolving threats and customer specifications.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continue to invest in infrastructure that has enabled us to meet growing demand and efficiently scale capacity to produce thousands of systems annually. By drawing upon experienced personnel across various manufacturing industries including aerospace, automotive and volume commodities, we have instituted lean production systems and leverage our International Organization for Standardization (“ISO”) certification for Quality Management Systems, integrated supply chain strategy, document control systems and process control methodologies for production. Our ISO 9001:2015 + AS9100D certified manufacturing facilities, which focus on continuous improvement in order to increase acceptance rates, reduce lead times, improve efficiency and lower cost.</w:t>
      </w:r>
    </w:p>
    <w:p>
      <w:pPr>
        <w:spacing w:after="0" w:line="18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also provide customer service, support and training to ensure the safe and effective operation of our solutions in the field. We employ a “train the trainer” approach that enables subject matter experts within our customers to utilize our solutions at scale.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No material portion of our business is considered to be seasonal. Historically, revenue in the second half of our fiscal years has exceeded revenue in the first half. This trend is expected to continue in fiscal year 2026 following the acquisition of BlueHalo. The factors that affect our revenue recognition between accounting periods include the timing of new contract awards, the availability of U.S. government and international government funding, lead time to manufacture our systems to customer specification, customer acceptance and other regulatory requirements.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are dependent upon the availability of materials and major components and the performance of our suppliers. Historically, we have been successful in obtaining the materials required in our manufacturing processes. We seek to manage materials supply risk through long term non-binding agreements with certain key suppliers that help stabilize pricing, reduce lead times, enhance planning accuracy and, to some degree, mitigate risk. While we believe that all such raw materials and components are available to meet our needs from various suppliers, certain supply chain constraint trends, such as increased demand for domestic suppliers, could cause delays in production and development programs and negatively impact our operating results (see Item 1A, Risk Factors—“ 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 for more information).</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We recognize our employees as the most invaluable assets of our company, serving as the cornerstone of our accomplishments. With this in mind, we endeavor to establish ourselves as an employer renowned for fostering a positive work environment that encourages personal development, ensures workplace safety and promotes opportunity. We firmly believe that such a corporate culture enhances employee satisfaction while also nurturing creativity and productivity, thereby driving our continuous innovation efforts. Central to our ethos is prioritizing the employee experience, a commitment underscored by our esteemed certification from the Great Place to Work Institute, Inc., designating us as a “Great Place to Work” each year since 2019.</w:t>
      </w:r>
    </w:p>
    <w:p>
      <w:pPr>
        <w:spacing w:after="0" w:line="18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Workforce Demographics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As of April 30, 2025, we had 1,456 full time employees and 19 part time employees, of whom 528 were in R&amp;D and engineering, 75 were in sales and marketing, 533 were in operations and 339 were general and administrative personnel. Upon closing of our acquisition of BlueHalo on May 1, 2025, our workforce increased to 3,594 full time employees and 137 part time employees including over 200 employees with a PhD.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Retention and Development</w:t>
      </w:r>
    </w:p>
    <w:p>
      <w:pPr>
        <w:spacing w:after="0" w:line="162"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Our ability to attract, cultivate, and retain highly skilled individuals, particularly those with technical and engineering expertise and high-level security clearances, is paramount for the successful execution of our strategic objectives and the expansion of our enterprise. We maintain vigilant oversight of recruitment, employee retention, and management practices. A pivotal component of our People and Culture strategy involves the recruitment of early-career professionals through collegiate programs and internships, with a specific focus on technical disciplines.</w:t>
      </w:r>
    </w:p>
    <w:p>
      <w:pPr>
        <w:spacing w:after="0" w:line="116" w:lineRule="exact"/>
        <w:rPr>
          <w:sz w:val="20"/>
          <w:szCs w:val="20"/>
          <w:color w:val="auto"/>
        </w:rPr>
      </w:pPr>
    </w:p>
    <w:p>
      <w:pPr>
        <w:ind w:left="60" w:right="139" w:firstLine="648"/>
        <w:spacing w:after="0" w:line="274" w:lineRule="auto"/>
        <w:rPr>
          <w:sz w:val="20"/>
          <w:szCs w:val="20"/>
          <w:color w:val="auto"/>
        </w:rPr>
      </w:pPr>
      <w:r>
        <w:rPr>
          <w:rFonts w:ascii="Times New Roman" w:cs="Times New Roman" w:eastAsia="Times New Roman" w:hAnsi="Times New Roman"/>
          <w:sz w:val="17"/>
          <w:szCs w:val="17"/>
          <w:color w:val="auto"/>
        </w:rPr>
        <w:t>Furthermore, we engage in regular confidential surveys to gather insights from our workforce, using the feedback to enhance our organizational environment. Our commitment to our employees is demonstrated through competitive compensation packages, including performance incentives and recognition schemes that encompass all levels within our company. We prioritize the development of our workforce through educational initiatives, training programs, and support for further education and professional certifications. Moreover, we conduct meticulous succession planning for leadership roles to ensure the sustained cultivation of a talented management cadre essential for the realization of our strategic vision.</w:t>
      </w:r>
    </w:p>
    <w:p>
      <w:pPr>
        <w:spacing w:after="0" w:line="1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Employee Safety and Health</w:t>
      </w:r>
    </w:p>
    <w:p>
      <w:pPr>
        <w:spacing w:after="0" w:line="16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safety and health program enhances operational efficiency by offering tailored safety, health, and wellness initiatives. This program establishes secure working conditions, fosters a positive work atmosphere, enhances employee resilience, and bolsters the company's overall value. We diligently track employee health and safety metrics, setting monthly and annual goals to minimize work-related injuries and illnesses, thereby reducing the number of lost workdays and mitigating productivity setbacks resulting from such incidents. Furthermore, we extend health and wellness benefits to our employees for their well-being.</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60"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 xml:space="preserve">Consistent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we define backlog as remaining unsatisfied performance obligations under firm orders for which work has not been performed. As of April 30, 2025 and 2024, our backlog was approximately $726.6 million and $400.2 million, respectively. We expect that approximately 90% of our backlog will be recognized as revenue during our fiscal year ending April 30, 2026.</w:t>
      </w:r>
    </w:p>
    <w:p>
      <w:pPr>
        <w:spacing w:after="0" w:line="114"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addition to funded backlog, we also had unfunded backlog of $774.6 million and $135.4 million as of April 30, 2025 and 2024, respectively. Unfunded backlog does not meet the definition of a performance obligation under ASC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21"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are renewed or new contracts awarded. A majority of our contracts, specifically IDIQ ones, do not currently obligate the U.S. government to purchase any goods or services. Additionally, all U.S. government contracts included in backlog, whether or not they are funded, may be terminated at the convenience of the U.S. government.</w:t>
      </w:r>
    </w:p>
    <w:p>
      <w:pPr>
        <w:spacing w:after="0" w:line="1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6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contractors, our contracts are audited and reviewed on a continual basis by federal agencies, including the Defense Contract Management Agency (“DCMA”) and the Defense Contract Audit Agency (“DCAA”).</w:t>
      </w:r>
    </w:p>
    <w:p>
      <w:pPr>
        <w:spacing w:after="0" w:line="162"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In addition, we are subject to industry specific regulations due to the nature of the products and services we provide. For example, certain aspects of our business are subject to further regulation by additional U.S. government authorities, including (i) the Federal Aviation Administration (“FAA”), which regulates airspace for all air vehicles in the U.S. National Airspace System, (ii) the National Telecommunications and Information Administration and the Federal Communications Commission, which regulate the wireless communications upon which our UAS depend in the United States, (iii) the Defense Trade Controls of the U.S. Department of State that administers the International Traffic in Arms Regulations, which regulate the export of controlled technical data, defense articles and defense services, and (iv) the Export Administration Regulations as administered by the U.S. Department of Commerce’s Bureau of Industry and Security, which regulate the export of goods, software, and technology, including items that have dual-use for both commercial and military applications.</w:t>
      </w:r>
    </w:p>
    <w:p>
      <w:pPr>
        <w:spacing w:after="0" w:line="19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Certain of these regulations impose substantial penalties for violations, including suspension or debarment from government contracting or subcontracting for a period of time. Furthermore, our non-U.S. operations are subject to the laws and regulations of foreign jurisdictions, which may include regulations that are more stringent than those imposed by the U.S. government on our U.S. operations.</w:t>
      </w:r>
    </w:p>
    <w:p>
      <w:pPr>
        <w:spacing w:after="0" w:line="1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U.S. Government Contracting Process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sell the majority of our products and services under contracts with the U.S. government. Most of our current U.S. government contracts were awarded through a competitive bidding process. The U.S. government awards competitive bid contracts based on proposal evaluation criteria established by the procuring agency. Competitive bid contracts are awarded after a formal bid and proposal competition among providers. Following award, competitive bid contracts may be challenged by unsuccessful bidders. The funding of U.S. government programs is subject to congressional appropriations. The U.S. military funds its contracts for our products either through operational need statements or as programs of record, defined as a program which, after undergoing extensive DoD review and product testing, is included in the five year government budget cycle.</w:t>
      </w:r>
    </w:p>
    <w:p>
      <w:pPr>
        <w:spacing w:after="0" w:line="18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Material U.S. Government Contract Provisions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All contracts with the U.S. government contain provisions, and are subject to laws and regulations, that give the government rights and remedies not typically found in commercial contracts, such as rights that allow the U.S. government to terminate existing contracts for convenience; terminate contracts for default upon the occurrence of certain enumerated events; unilaterally modify contracts with regard to certain performance requirements; cancel multi-year contracts and related orders, if funds for contract performance for any subsequent year become unavailable; potentially obtain rights in, or ownership to, intellectual property associated with products and systems developed or delivered by a contractor as a result of its performance of the contract; adjust contract costs and fees on the basis of audits completed by its agencies; suspend or debar a contractor from doing business with the U.S. government; and control or prohibit the export of certain items.</w:t>
      </w:r>
    </w:p>
    <w:p>
      <w:pPr>
        <w:spacing w:after="0" w:line="188"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Compensation, if any, in the event of a termination for default is limited to payment for work completed at the time of termination. In the event of a termination for convenience, the contractor may receive the contract price for completed work, as well as its costs of performance of terminated work including an allowance for profit and reasonable termination settlement costs.</w:t>
      </w:r>
    </w:p>
    <w:p>
      <w:pPr>
        <w:spacing w:after="0" w:line="1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U.S. Government Contract Categories</w:t>
      </w:r>
    </w:p>
    <w:p>
      <w:pPr>
        <w:spacing w:after="0" w:line="22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There are three primary types of government contracts in our industry. These basic types of contracts are typically referred to as fixed price contracts, cost reimbursable contracts, including cost plus fixed fee, cost plus award fee, and cost plus incentive fee, and time and materials contracts.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2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Fixed-Price. </w:t>
      </w:r>
      <w:r>
        <w:rPr>
          <w:rFonts w:ascii="Times New Roman" w:cs="Times New Roman" w:eastAsia="Times New Roman" w:hAnsi="Times New Roman"/>
          <w:sz w:val="18"/>
          <w:szCs w:val="18"/>
          <w:color w:val="auto"/>
        </w:rPr>
        <w:t>These contracts are not subject to adjustment by reason of costs incurred in the performance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this type of contract, we assume the risk that we will not be able to perform at a cost below the fixed price, except for costs incurred because of contract changes ordered by the customer.</w:t>
      </w:r>
    </w:p>
    <w:p>
      <w:pPr>
        <w:spacing w:after="0" w:line="17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Reimbursable. </w:t>
      </w:r>
      <w:r>
        <w:rPr>
          <w:rFonts w:ascii="Times New Roman" w:cs="Times New Roman" w:eastAsia="Times New Roman" w:hAnsi="Times New Roman"/>
          <w:sz w:val="18"/>
          <w:szCs w:val="18"/>
          <w:color w:val="auto"/>
        </w:rPr>
        <w:t>These contracts reimburse allowable costs and include types such as cost-plus-fixed fee, cost-plus-award fee, and cost-plus-incentive fee. Under each type of contract, we assume the risk that we may not be able to recover costs if they are not allowable under the contract terms or applicable regulations, or if the costs exceed the contract funding. They typically present lower profit margins and risk. Cost plus fixed fee contracts are cost reimbursable contracts that provide for payment of a negotiated fee that is fixed at the inception of the contract. A cost plus award fee contract is a cost reimbursable contract that provides for a fee consisting of a base amount, which may be zero, fixed at inception of the contract and an award amount, based upon the government’s satisfaction with the performance under the contract. A cost plus incentive fee contract is a cost reimbursable contract that provides for an initially negotiated fee to be adjusted later by a formula based on the relationship of total allowable costs to total target costs.</w:t>
      </w:r>
    </w:p>
    <w:p>
      <w:pPr>
        <w:spacing w:after="0" w:line="188"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Time-and-Materials. </w:t>
      </w:r>
      <w:r>
        <w:rPr>
          <w:rFonts w:ascii="Times New Roman" w:cs="Times New Roman" w:eastAsia="Times New Roman" w:hAnsi="Times New Roman"/>
          <w:sz w:val="18"/>
          <w:szCs w:val="18"/>
          <w:color w:val="auto"/>
        </w:rPr>
        <w:t>Under these contracts, our compensation is based on a fixed hourly rate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labor or skill categories. We risk reduced profitability if our actual costs exceed the costs incorporated into the fixed hourly labor rate. One variation of a standard time and materials contract is a time and materials, award fee contract. Under this type of contract, a positive or negative incentive can be earned based on achievement against specific performance metrics.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Additional key contract frameworks include the following:</w:t>
      </w:r>
    </w:p>
    <w:p>
      <w:pPr>
        <w:spacing w:after="0" w:line="22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IDIQ and IDIQ Type Contract Form. </w:t>
      </w:r>
      <w:r>
        <w:rPr>
          <w:rFonts w:ascii="Times New Roman" w:cs="Times New Roman" w:eastAsia="Times New Roman" w:hAnsi="Times New Roman"/>
          <w:sz w:val="18"/>
          <w:szCs w:val="18"/>
          <w:color w:val="auto"/>
        </w:rPr>
        <w:t>The U.S. government frequently uses IDIQ and IDIQ type contracts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contractual commitments to provide products or services over a period of time pursuant to established general terms and conditions. IDIQ and IDIQ type contracts typically have multi-year terms and unfunded ceiling amounts that enable, but do not commit, the U.S. government to purchase substantial amounts of products and services from one or more contractors.</w:t>
      </w:r>
    </w:p>
    <w:p>
      <w:pPr>
        <w:spacing w:after="0" w:line="183" w:lineRule="exact"/>
        <w:rPr>
          <w:sz w:val="20"/>
          <w:szCs w:val="20"/>
          <w:color w:val="auto"/>
        </w:rPr>
      </w:pPr>
    </w:p>
    <w:p>
      <w:pPr>
        <w:jc w:val="both"/>
        <w:ind w:left="60" w:right="2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Undefinitized Contractual Actions (“UCA”). </w:t>
      </w:r>
      <w:r>
        <w:rPr>
          <w:rFonts w:ascii="Times New Roman" w:cs="Times New Roman" w:eastAsia="Times New Roman" w:hAnsi="Times New Roman"/>
          <w:sz w:val="18"/>
          <w:szCs w:val="18"/>
          <w:color w:val="auto"/>
        </w:rPr>
        <w:t>Depending on the urgency of the project and the complexity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negotiation, UCAs or Letter Contracts, Basic Ordering Agreements, or Provisional Item Orders are entered into prior to finalizing the terms of a definitive contract to allow for the contractor to immediately begin performing services and/or manufacturing products.</w:t>
      </w:r>
    </w:p>
    <w:p>
      <w:pPr>
        <w:spacing w:after="0" w:line="18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Unpriced Change Orders (“UCO”). </w:t>
      </w:r>
      <w:r>
        <w:rPr>
          <w:rFonts w:ascii="Times New Roman" w:cs="Times New Roman" w:eastAsia="Times New Roman" w:hAnsi="Times New Roman"/>
          <w:sz w:val="18"/>
          <w:szCs w:val="18"/>
          <w:color w:val="auto"/>
        </w:rPr>
        <w:t>UCOs are unilateral changes within the scope of a contract where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and contractor have not reached an agreement on terms, specifications, and prices. This type of change order allows the project to continue without delay while the contractor and government negotiate final terms, specifications, and prices. The existing contract is formally modified to include an agreed-upon price and other adjustments related to the change order.</w:t>
      </w:r>
    </w:p>
    <w:p>
      <w:pPr>
        <w:spacing w:after="0" w:line="183"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Transaction Authority (“OTA”). </w:t>
      </w:r>
      <w:r>
        <w:rPr>
          <w:rFonts w:ascii="Times New Roman" w:cs="Times New Roman" w:eastAsia="Times New Roman" w:hAnsi="Times New Roman"/>
          <w:sz w:val="18"/>
          <w:szCs w:val="18"/>
          <w:color w:val="auto"/>
        </w:rPr>
        <w:t>OTAs are legally binding instruments that are used to engage with non-traditional defense contractors and to facilitate the rapid development and deployment of innovative technologies. Unlike traditional government contracts, OTAs are not subject to the Federal Acquisition Regulation (FAR), providing greater flexibility in terms and conditions.</w:t>
      </w:r>
    </w:p>
    <w:p>
      <w:pPr>
        <w:spacing w:after="0" w:line="1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Contracting Process</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supply our products and services to international allied governments. Each international customer has its own laws, regulations, bureaucracy and forms of procurement agreements that present challenges in our international contracting process. Our international contracts generally result from a competitive bidding process and, to a lesser extent, sole source awards for urgent requirements or sustainment. Competitive bid contracts are awarded after a formal bid and proposal competition among providers. International competitive bidding processes are highly competitive and sometimes we face disadvantages in the bidding and evaluation process in comparison to local, domestic bidders that may receive priority or more favorable evaluations than non-domestic suppliers due to stated requirements in the local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regulations that promote domestic procurements. Sole source awards are direct engagements with the procuring agency. Generally, sole source awards are utilized by our existing customers to sustain or augment their use of our products, commonly through multi-year support agreements. These agreements allow for customer logistics organizations to tailor procurement and support efforts to the needs of the end users. International funding processes vary, are generally allocated during the applicable country’s fiscal year, are often confidential, and may be broadly allocated or targeted for specific purposes, making it difficult to forecast demand. Many of our international customers have established fleets of our UAS, which generally allows them to seek and obtain budget for yearly incremental allocations of funding. These allocations are contracted through existing multi-year support agreements which provide the customer flexibility to procure products and services when funding is available.</w:t>
      </w:r>
    </w:p>
    <w:p>
      <w:pPr>
        <w:spacing w:after="0" w:line="188"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typical international customer contracts take the form of fixed price contracts and time and materials contracts. Most of our international contracts are fixed-price contracts, as their finite nature is desired by customers. Time-and-materials contracts are more common for our service work with a defined limit on funding and period of performance. Contracts with international customers often include locally advantageous provisions differing from U.S. norms, potentially complicating enforcement and receivable collection. We minimize risks by assessing each contract individually and requiring banking guarantees or advance payments.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various federal, state, local and non-U.S. laws and regulations relating to environmental protection, including the discharge, treatment, storage, disposal and remediation of hazardous substances and wastes. We could also be affected by future laws and regulations relating to climate change, including laws related to greenhouse gas emissions and regulating energy efficiency. These laws and regulations could lead to increased environmental compliance expenditures, increased energy and raw materials costs, and new and/or additional investment in designs and technologies. We continually assess our compliance status and management of environmental matters to ensure that our operations comply with all applicable environmental laws and regulations. Investigation, remediation and operation and maintenance costs associated with environmental compliance and management of sites are a normal, recurring part of our operations. These costs often are allowable costs under our contracts with the U.S. government. While environmental protection regulations have not had a significant adverse effect on our overall operations, it is possible that costs incurred to ensure continued environmental compliance in the future could have a material impact on our results of operations, financial condition or cash flows if additional work requirements or more stringent clean-up standards are imposed by regulators, new areas of soil, air and groundwater contamination are discovered and/or expansion of work scope are prompted as a result of investigations.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AeroVironment, Inc. was originally incorporated in California in July 1971 and reincorporated in Delaware 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2006.</w:t>
      </w:r>
    </w:p>
    <w:p>
      <w:pPr>
        <w:spacing w:after="0" w:line="199" w:lineRule="exact"/>
        <w:rPr>
          <w:sz w:val="20"/>
          <w:szCs w:val="20"/>
          <w:color w:val="auto"/>
        </w:rPr>
      </w:pPr>
    </w:p>
    <w:p>
      <w:pPr>
        <w:ind w:left="60" w:right="99" w:firstLine="648"/>
        <w:spacing w:after="0" w:line="232" w:lineRule="auto"/>
        <w:rPr>
          <w:sz w:val="20"/>
          <w:szCs w:val="20"/>
          <w:color w:val="auto"/>
        </w:rPr>
      </w:pPr>
      <w:r>
        <w:rPr>
          <w:rFonts w:ascii="Times New Roman" w:cs="Times New Roman" w:eastAsia="Times New Roman" w:hAnsi="Times New Roman"/>
          <w:sz w:val="18"/>
          <w:szCs w:val="18"/>
          <w:color w:val="auto"/>
        </w:rPr>
        <w:t>Our principal executive offices are located at 241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South, Suite 650, Arlington, Virginia 22202. Our telephone number is (703) 418-2828. Our website address is </w:t>
      </w:r>
      <w:r>
        <w:rPr>
          <w:rFonts w:ascii="Times New Roman" w:cs="Times New Roman" w:eastAsia="Times New Roman" w:hAnsi="Times New Roman"/>
          <w:sz w:val="18"/>
          <w:szCs w:val="18"/>
          <w:i w:val="1"/>
          <w:iCs w:val="1"/>
          <w:color w:val="auto"/>
        </w:rPr>
        <w:t>http://www.avinc.com</w:t>
      </w:r>
      <w:r>
        <w:rPr>
          <w:rFonts w:ascii="Times New Roman" w:cs="Times New Roman" w:eastAsia="Times New Roman" w:hAnsi="Times New Roman"/>
          <w:sz w:val="18"/>
          <w:szCs w:val="18"/>
          <w:color w:val="auto"/>
        </w:rPr>
        <w:t>. We make our website content available for information purposes only. It should not be relied upon for investment purposes, nor is it incorporated by reference into this Annual Report.</w:t>
      </w:r>
    </w:p>
    <w:p>
      <w:pPr>
        <w:spacing w:after="0" w:line="199"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make our annual reports on Form 10-K, quarterly reports on Form 10-Q, current reports on Form 8-K and proxy statements for our annual stockholders’ meetings, as well as any amendments to those reports, available free of charge through our website as soon as reasonably practical after we electronically file that material with, or furnish it to, the Securities and Exchange Commission (“SEC”). You can learn more about us by reviewing our SEC filings. Our SEC reports can be accessed through the investor relations page of our website at </w:t>
      </w:r>
      <w:r>
        <w:rPr>
          <w:rFonts w:ascii="Times New Roman" w:cs="Times New Roman" w:eastAsia="Times New Roman" w:hAnsi="Times New Roman"/>
          <w:sz w:val="18"/>
          <w:szCs w:val="18"/>
          <w:i w:val="1"/>
          <w:iCs w:val="1"/>
          <w:color w:val="auto"/>
        </w:rPr>
        <w:t>http://investor.avinc.com</w:t>
      </w:r>
      <w:r>
        <w:rPr>
          <w:rFonts w:ascii="Times New Roman" w:cs="Times New Roman" w:eastAsia="Times New Roman" w:hAnsi="Times New Roman"/>
          <w:sz w:val="18"/>
          <w:szCs w:val="18"/>
          <w:color w:val="auto"/>
        </w:rPr>
        <w:t xml:space="preserve">. The SEC also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our reports, proxy statements and other information regarding us.</w:t>
      </w:r>
    </w:p>
    <w:p>
      <w:pPr>
        <w:spacing w:after="0" w:line="187"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at https://investor.avinc.com/investor-relations. We therefore encourage investors and others interested in the company to review the information that we make available on our website, in addition to following our filings with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SEC, webcasts, press releases and conference calls. Information contained on our website is not part of this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such risks and uncertainties, together with the other information contained in this report and in our other public filings before investing in our common stock. If any such risks and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uncertainties, or if any other risks and uncertainties, actually occurs, our business, financial condition or operating results could be harmed substantially, which could cause the market price of our stock to decline, perhaps significantly.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risks and uncertainties that could cause our business, financial condition or operating results to be harmed. We encourage you to carefully review the full risk factors contained in this report in their entirety for additional information regarding these risks and uncertainties.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227" w:lineRule="exact"/>
        <w:rPr>
          <w:sz w:val="20"/>
          <w:szCs w:val="20"/>
          <w:color w:val="auto"/>
        </w:rPr>
      </w:pPr>
    </w:p>
    <w:p>
      <w:pPr>
        <w:ind w:left="1040" w:right="199" w:hanging="315"/>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sales to certain customers, including the U.S. government, particularly to agencies of the DoD.</w:t>
      </w:r>
    </w:p>
    <w:p>
      <w:pPr>
        <w:jc w:val="both"/>
        <w:ind w:left="1040" w:right="7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U.S. and other government budgets, changes in spending or budgetary priorities, or delays in contract awards or in the release of approved funds may significantly and adversely affect our future revenue.</w:t>
      </w:r>
    </w:p>
    <w:p>
      <w:pPr>
        <w:ind w:left="1040" w:right="29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markets for our products do not grow as expected, if we cannot expand our customer base or if our products and services do not achieve broad acceptance, then we may not be able to achieve our anticipated level of growth.</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business poses potentially greater risks than our domestic business.</w:t>
      </w:r>
    </w:p>
    <w:p>
      <w:pPr>
        <w:spacing w:after="0" w:line="9" w:lineRule="exact"/>
        <w:rPr>
          <w:rFonts w:ascii="Times New Roman" w:cs="Times New Roman" w:eastAsia="Times New Roman" w:hAnsi="Times New Roman"/>
          <w:sz w:val="18"/>
          <w:szCs w:val="18"/>
          <w:color w:val="auto"/>
        </w:rPr>
      </w:pPr>
    </w:p>
    <w:p>
      <w:pPr>
        <w:ind w:left="1040" w:right="25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compete are characterized by rapid technological change, requiring us to develop new products and product enhancements, and could render our existing products obsolete.</w:t>
      </w:r>
    </w:p>
    <w:p>
      <w:pPr>
        <w:ind w:left="1040" w:right="7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difficult issues to navigate in the development and use of AI, which may result in reputational harm or liability, and failure to introduce new and innovative products that have AI capabilities could put us at a competitive disadvantage.</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R&amp;D costs and devote significant resources to identifying and commercializing new products and services, which could significantly reduce our profitability and may never result in revenue to us.</w:t>
      </w:r>
    </w:p>
    <w:p>
      <w:pPr>
        <w:spacing w:after="0" w:line="1" w:lineRule="exact"/>
        <w:rPr>
          <w:rFonts w:ascii="Times New Roman" w:cs="Times New Roman" w:eastAsia="Times New Roman" w:hAnsi="Times New Roman"/>
          <w:sz w:val="18"/>
          <w:szCs w:val="18"/>
          <w:color w:val="auto"/>
        </w:rPr>
      </w:pPr>
    </w:p>
    <w:p>
      <w:pPr>
        <w:ind w:left="1040" w:right="49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competitive within our markets may be dependent upon increasing manufacturing capacity to support anticipated growth and achieving cost reductions and projected economies of scale from increasing manufacturing quantities of our products. Failing to adequately increase production capacity and achieve such reductions in manufacturing costs and projected economies of scale could materially adversely affect our business.</w:t>
      </w:r>
    </w:p>
    <w:p>
      <w:pPr>
        <w:spacing w:after="0" w:line="1" w:lineRule="exact"/>
        <w:rPr>
          <w:rFonts w:ascii="Times New Roman" w:cs="Times New Roman" w:eastAsia="Times New Roman" w:hAnsi="Times New Roman"/>
          <w:sz w:val="18"/>
          <w:szCs w:val="18"/>
          <w:color w:val="auto"/>
        </w:rPr>
      </w:pPr>
    </w:p>
    <w:p>
      <w:pPr>
        <w:ind w:left="1040" w:right="9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risks in the management of our inventory, and failure to effectively manage our inventory levels may result in supply imbalances that could harm our business.</w:t>
      </w:r>
    </w:p>
    <w:p>
      <w:pPr>
        <w:ind w:left="1040" w:right="219" w:hanging="315"/>
        <w:spacing w:after="0" w:line="255"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19" w:hanging="315"/>
        <w:spacing w:after="0" w:line="257"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UAS and C-UAS in urban environments may be subject to risks, such as accidental collisions and transmission interference, which may limit demand for our UAS and C-UAS in such environments and harm our business and operating results.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Shortfalls in available external R&amp;D funding could adversely affect us.</w:t>
      </w:r>
    </w:p>
    <w:p>
      <w:pPr>
        <w:spacing w:after="0" w:line="9" w:lineRule="exact"/>
        <w:rPr>
          <w:rFonts w:ascii="Times New Roman" w:cs="Times New Roman" w:eastAsia="Times New Roman" w:hAnsi="Times New Roman"/>
          <w:sz w:val="18"/>
          <w:szCs w:val="18"/>
          <w:color w:val="auto"/>
        </w:rPr>
      </w:pPr>
    </w:p>
    <w:p>
      <w:pPr>
        <w:ind w:left="1040" w:right="25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to our, our customers’ and/or our suppliers’ information and systems could negatively impact our business.</w:t>
      </w:r>
    </w:p>
    <w:p>
      <w:pPr>
        <w:ind w:left="1040" w:right="19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or others acting on our behalf may engage in misconduct or other improper activities, which could cause us to lose contracts or cause us to incur costs.</w:t>
      </w: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 for the U.S. government and international governments may expose us to increased security risks.</w:t>
      </w:r>
    </w:p>
    <w:p>
      <w:pPr>
        <w:spacing w:after="0" w:line="9" w:lineRule="exact"/>
        <w:rPr>
          <w:rFonts w:ascii="Times New Roman" w:cs="Times New Roman" w:eastAsia="Times New Roman" w:hAnsi="Times New Roman"/>
          <w:sz w:val="18"/>
          <w:szCs w:val="18"/>
          <w:color w:val="auto"/>
        </w:rPr>
      </w:pPr>
    </w:p>
    <w:p>
      <w:pPr>
        <w:ind w:left="1040" w:right="19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be difficult to integrate, divert the attention of key personnel, disrupt our business, dilute stockholder value and impair our financial results.</w:t>
      </w:r>
    </w:p>
    <w:p>
      <w:pPr>
        <w:ind w:left="1040" w:right="539" w:hanging="315"/>
        <w:spacing w:after="0" w:line="26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borrowings under our credit facilities could adversely affect our financial condition and restrict our operating flexibility.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Our U.S. Government Contracts</w:t>
      </w:r>
    </w:p>
    <w:p>
      <w:pPr>
        <w:spacing w:after="0" w:line="227" w:lineRule="exact"/>
        <w:rPr>
          <w:sz w:val="20"/>
          <w:szCs w:val="20"/>
          <w:color w:val="auto"/>
        </w:rPr>
      </w:pPr>
    </w:p>
    <w:p>
      <w:pPr>
        <w:ind w:left="1040" w:right="559" w:hanging="315"/>
        <w:spacing w:after="0" w:line="257"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2025, we were classified as a small business defense contractor. The loss of our small business status may adversely affect our ability to compete for small business set aside US government contracts.</w:t>
      </w:r>
    </w:p>
    <w:p>
      <w:pPr>
        <w:spacing w:after="0" w:line="1" w:lineRule="exact"/>
        <w:rPr>
          <w:rFonts w:ascii="Times New Roman" w:cs="Times New Roman" w:eastAsia="Times New Roman" w:hAnsi="Times New Roman"/>
          <w:sz w:val="18"/>
          <w:szCs w:val="18"/>
          <w:color w:val="auto"/>
        </w:rPr>
      </w:pPr>
    </w:p>
    <w:p>
      <w:pPr>
        <w:ind w:left="1040" w:right="41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and our failure to comply with applicable regulations could subject us to penalties that may restrict our ability to conduct our business.</w:t>
      </w: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a negative audit or investigation by the U.S. government.</w:t>
      </w:r>
    </w:p>
    <w:p>
      <w:pPr>
        <w:spacing w:after="0" w:line="9" w:lineRule="exact"/>
        <w:rPr>
          <w:rFonts w:ascii="Times New Roman" w:cs="Times New Roman" w:eastAsia="Times New Roman" w:hAnsi="Times New Roman"/>
          <w:sz w:val="18"/>
          <w:szCs w:val="18"/>
          <w:color w:val="auto"/>
        </w:rPr>
      </w:pPr>
    </w:p>
    <w:p>
      <w:pPr>
        <w:ind w:left="1040" w:right="17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establish and maintain important relationships with government agencies and prime contractors, our ability to successfully maintain and develop new business may be adversely affected.</w:t>
      </w:r>
    </w:p>
    <w:p>
      <w:pPr>
        <w:ind w:left="1040" w:right="13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contracts with the U.S. government allow it to use inventions developed under the contracts and to disclose technical data to third parties, which could harm our ability to compete.</w:t>
      </w:r>
    </w:p>
    <w:p>
      <w:pPr>
        <w:ind w:left="1040" w:right="13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contracts are generally not fully funded at inception, contain certain provisions that may be unfavorable to us and may be undefinitized at the time of the start of performance, which could prevent us from realizing our contract backlog and materially harm our business and results of operations.</w:t>
      </w:r>
    </w:p>
    <w:p>
      <w:pPr>
        <w:spacing w:after="0" w:line="1" w:lineRule="exact"/>
        <w:rPr>
          <w:rFonts w:ascii="Times New Roman" w:cs="Times New Roman" w:eastAsia="Times New Roman" w:hAnsi="Times New Roman"/>
          <w:sz w:val="18"/>
          <w:szCs w:val="18"/>
          <w:color w:val="auto"/>
        </w:rPr>
      </w:pPr>
    </w:p>
    <w:p>
      <w:pPr>
        <w:ind w:left="1040" w:right="75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contracts are subject to a competitive bidding process that can consume significant resources without generating any revenue.</w:t>
      </w:r>
    </w:p>
    <w:p>
      <w:pPr>
        <w:ind w:left="1040" w:right="239" w:hanging="315"/>
        <w:spacing w:after="0" w:line="26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procurement rules and regulations, which increase our performance and compliance costs under our U.S. government contracts.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Legal and Regulatory Requirements</w:t>
      </w:r>
    </w:p>
    <w:p>
      <w:pPr>
        <w:spacing w:after="0" w:line="227" w:lineRule="exact"/>
        <w:rPr>
          <w:sz w:val="20"/>
          <w:szCs w:val="20"/>
          <w:color w:val="auto"/>
        </w:rPr>
      </w:pPr>
    </w:p>
    <w:p>
      <w:pPr>
        <w:ind w:left="1040" w:right="299" w:hanging="315"/>
        <w:spacing w:after="0" w:line="255"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prohibited from shipping our products to certain countries if we are unable to obtain U.S. government authorization regarding the export of our products and services, or if current or future export laws limit or otherwise restrict our business. In addition, failure to comply with export laws could result in fines, export restrictions and other sanctions and penalties.</w:t>
      </w:r>
    </w:p>
    <w:p>
      <w:pPr>
        <w:spacing w:after="0" w:line="2" w:lineRule="exact"/>
        <w:rPr>
          <w:rFonts w:ascii="Times New Roman" w:cs="Times New Roman" w:eastAsia="Times New Roman" w:hAnsi="Times New Roman"/>
          <w:sz w:val="18"/>
          <w:szCs w:val="18"/>
          <w:color w:val="auto"/>
        </w:rPr>
      </w:pPr>
    </w:p>
    <w:p>
      <w:pPr>
        <w:ind w:left="1040" w:right="419" w:hanging="315"/>
        <w:spacing w:after="0" w:line="250"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government investigations, which could have a material adverse effect on our business, financial condition, results of operations, cash flows and equity.</w:t>
      </w:r>
    </w:p>
    <w:p>
      <w:pPr>
        <w:ind w:left="1040" w:right="99" w:hanging="315"/>
        <w:spacing w:after="0" w:line="265" w:lineRule="auto"/>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necessary regulatory approvals from the FAA or other governmental agencies, or limitations put on the use of SUAS, MUAS and C-UAS in response to public privacy concerns, may prevent us from expanding the sales of our SUAS, MUAS and C-UAS to non-military customers in the United States.</w:t>
      </w:r>
    </w:p>
    <w:p>
      <w:pPr>
        <w:ind w:left="1040" w:right="79" w:hanging="315"/>
        <w:spacing w:after="0" w:line="250"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pending legal proceedings that may disrupt our business, cause us to incur substantial costs, expose us to significant legal liabilities and could have a material adverse impact on our financial performance.</w:t>
      </w:r>
    </w:p>
    <w:p>
      <w:pPr>
        <w:spacing w:after="0" w:line="1" w:lineRule="exact"/>
        <w:rPr>
          <w:rFonts w:ascii="Times New Roman" w:cs="Times New Roman" w:eastAsia="Times New Roman" w:hAnsi="Times New Roman"/>
          <w:sz w:val="18"/>
          <w:szCs w:val="18"/>
          <w:color w:val="auto"/>
        </w:rPr>
      </w:pPr>
    </w:p>
    <w:p>
      <w:pPr>
        <w:ind w:left="1040" w:right="599" w:hanging="315"/>
        <w:spacing w:after="0" w:line="290" w:lineRule="auto"/>
        <w:tabs>
          <w:tab w:leader="none" w:pos="10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federal, state and international laws regarding data protection, privacy, and information security, as well as confidentiality obligations under various agreements, and our actual or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99"/>
        <w:spacing w:after="0" w:line="282" w:lineRule="auto"/>
        <w:rPr>
          <w:sz w:val="20"/>
          <w:szCs w:val="20"/>
          <w:color w:val="auto"/>
        </w:rPr>
      </w:pPr>
      <w:r>
        <w:rPr>
          <w:rFonts w:ascii="Times New Roman" w:cs="Times New Roman" w:eastAsia="Times New Roman" w:hAnsi="Times New Roman"/>
          <w:sz w:val="18"/>
          <w:szCs w:val="18"/>
          <w:color w:val="auto"/>
        </w:rPr>
        <w:t>perceived failure to comply with such obligations could damage our reputation, expose us to litigation risk and adversely affect our business and operating results.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Our Intellectual Property</w:t>
      </w:r>
    </w:p>
    <w:p>
      <w:pPr>
        <w:spacing w:after="0" w:line="227" w:lineRule="exact"/>
        <w:rPr>
          <w:sz w:val="20"/>
          <w:szCs w:val="20"/>
          <w:color w:val="auto"/>
        </w:rPr>
      </w:pPr>
    </w:p>
    <w:p>
      <w:pPr>
        <w:ind w:left="1040" w:right="339" w:hanging="315"/>
        <w:spacing w:after="0" w:line="26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or incur significant costs in defending or enforcing our intellectual property and other proprietary rights, our business, financial condition and results of operations could be materially harmed.</w:t>
      </w:r>
    </w:p>
    <w:p>
      <w:pPr>
        <w:ind w:left="1040" w:right="299" w:hanging="315"/>
        <w:spacing w:after="0" w:line="26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sued by third parties for alleged infringement of their proprietary rights, which could be costly, time consuming and limit our ability to use certain technologies in the future.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Securities Markets and Investment in Our Stock</w:t>
      </w:r>
    </w:p>
    <w:p>
      <w:pPr>
        <w:spacing w:after="0" w:line="227"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fluctuate significantly.</w:t>
      </w:r>
    </w:p>
    <w:p>
      <w:pPr>
        <w:spacing w:after="0" w:line="27" w:lineRule="exact"/>
        <w:rPr>
          <w:rFonts w:ascii="Times New Roman" w:cs="Times New Roman" w:eastAsia="Times New Roman" w:hAnsi="Times New Roman"/>
          <w:sz w:val="18"/>
          <w:szCs w:val="18"/>
          <w:color w:val="auto"/>
        </w:rPr>
      </w:pPr>
    </w:p>
    <w:p>
      <w:pPr>
        <w:ind w:left="1040" w:right="239" w:hanging="315"/>
        <w:spacing w:after="0" w:line="25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stockholder may have the ability to significantly influence all matters submitted to stockholders for approval.</w:t>
      </w: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decline because of our acquisition activity.</w:t>
      </w:r>
    </w:p>
    <w:p>
      <w:pPr>
        <w:spacing w:after="0" w:line="9" w:lineRule="exact"/>
        <w:rPr>
          <w:rFonts w:ascii="Times New Roman" w:cs="Times New Roman" w:eastAsia="Times New Roman" w:hAnsi="Times New Roman"/>
          <w:sz w:val="18"/>
          <w:szCs w:val="18"/>
          <w:color w:val="auto"/>
        </w:rPr>
      </w:pPr>
    </w:p>
    <w:p>
      <w:pPr>
        <w:ind w:left="1040" w:right="439" w:hanging="315"/>
        <w:spacing w:after="0" w:line="25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capital when desired on favorable terms, if at all, or without dilution to our stockholders.</w:t>
      </w:r>
    </w:p>
    <w:p>
      <w:pPr>
        <w:ind w:left="1040" w:right="139" w:hanging="315"/>
        <w:spacing w:after="0" w:line="25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acquisition of BlueHalo, BlueHalo was not a U.S. public reporting company. The obligations associated with integrating into a public company, including to remediate BlueHalo’s material weaknesses in internal control over financial reporting, may require significant resources and management attention.</w:t>
      </w:r>
    </w:p>
    <w:p>
      <w:pPr>
        <w:spacing w:after="0" w:line="1" w:lineRule="exact"/>
        <w:rPr>
          <w:rFonts w:ascii="Times New Roman" w:cs="Times New Roman" w:eastAsia="Times New Roman" w:hAnsi="Times New Roman"/>
          <w:sz w:val="18"/>
          <w:szCs w:val="18"/>
          <w:color w:val="auto"/>
        </w:rPr>
      </w:pPr>
    </w:p>
    <w:p>
      <w:pPr>
        <w:ind w:left="1040" w:right="199" w:hanging="315"/>
        <w:spacing w:after="0" w:line="26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any cash dividends on our common stock and do not anticipate paying any cash dividends in the foreseeable future.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rely heavily on sales to certain customers, including the U.S. government, particularly to agencies of the DoD.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Historically, we have derived a significant portion of our total sales and our SUAS and LMS sales from the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government and its agencies. Sales to the U.S. government, either as a prime contractor or subcontractor and inclusive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foreign military sales, represented approximately 75% of our revenue for the fiscal year ended April 30, 2025. The DoD,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principal U.S. government customer, accounted for approximately 35% of our revenue for the fiscal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30, 2025. With the acquisition of BlueHalo, we expect the proportion of total revenue attributable to sales to the U.S.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DoD and other U.S. government agencies to increase in fiscal year 2026. We believe that the success and growth of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business for the foreseeable future will continue to depend to a significant degree on our ability to win government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contracts, in particular from the DoD. Many of our government customers are subject to budgetary constraints and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continued performance under these contracts, or award of additional contracts from these agencies, could be jeopardized by</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spending reductions or budget cutbacks at these agencies. Recently, the reduction of government spending has been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primary focus of the federal government. In January 2025, President Trump announced an executive order establishing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Department of Government Efficiency (“DOGE”) to maximize government efficiency and productivity. In February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Trump stated that he has directed DOGE to review Pentagon spending for potential waste and fraud. As a result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these recent developments and other factors, the funding of U.S. government programs is uncertain. We are dependent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on continued congressional appropriations and administrative allotment of funds based on an annual budgeting process. We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cannot assure you that current levels of congressional funding for our products and services will continue and that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business will not decline.</w:t>
      </w:r>
    </w:p>
    <w:p>
      <w:pPr>
        <w:spacing w:after="0" w:line="207" w:lineRule="exact"/>
        <w:rPr>
          <w:sz w:val="20"/>
          <w:szCs w:val="20"/>
          <w:color w:val="auto"/>
        </w:rPr>
      </w:pPr>
    </w:p>
    <w:p>
      <w:pPr>
        <w:ind w:left="60" w:right="299" w:firstLine="648"/>
        <w:spacing w:after="0" w:line="277" w:lineRule="auto"/>
        <w:rPr>
          <w:sz w:val="20"/>
          <w:szCs w:val="20"/>
          <w:color w:val="auto"/>
        </w:rPr>
      </w:pPr>
      <w:r>
        <w:rPr>
          <w:rFonts w:ascii="Times New Roman" w:cs="Times New Roman" w:eastAsia="Times New Roman" w:hAnsi="Times New Roman"/>
          <w:sz w:val="17"/>
          <w:szCs w:val="17"/>
          <w:color w:val="auto"/>
        </w:rPr>
        <w:t>The U.S. military funds a portion of our contracts through operational needs statements, and to a lesser extent, through programs of record, which provides us with less visibility and certainty on future funding allocations for our contracts. Furthermore, all of our contracts with the U.S. government are terminable by the U.S. government at will, and the increasing government spending reviews may result in revocation of previously awarded contracts. A significant decline in government expenditures generally, or with respect to programs for which we provide products and/or</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services, could adversely affect our business and prospects. Our operating results may also be negatively impacted by other developments that affect these government programs generally, including the following:</w:t>
      </w:r>
    </w:p>
    <w:p>
      <w:pPr>
        <w:spacing w:after="0" w:line="162"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are related to our products and services;</w:t>
      </w:r>
    </w:p>
    <w:p>
      <w:pPr>
        <w:spacing w:after="0" w:line="225"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laws or regulations relating to government contracting or changes to existing laws or regulations;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or public support for security and defense programs;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changes in the government appropriations and budget process;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current global threat environment and other geo-political matters;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payment of our invoices by government payment offices.</w:t>
      </w:r>
    </w:p>
    <w:p>
      <w:pPr>
        <w:spacing w:after="0" w:line="22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These developments and other factors could cause governmental agencies to reduce their purchases under existing contracts, to exercise their rights to terminate contracts at-will or to abstain from renewing contracts or entering into new contracts, any of which would cause our revenue to decline and could otherwise harm our business, financial condition and results of operations.</w:t>
      </w:r>
    </w:p>
    <w:p>
      <w:pPr>
        <w:spacing w:after="0" w:line="176"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U.S. and other government budgets, changes in spending or budgetary priorities, delays in contract awards or in the release of approved funds may significantly and adversely affect our future revenue.</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Because we generate a significant portion of our total sales from the U.S. government and its agencies and from foreign governments, our results of operations could be adversely affected by government spending caps, delays in the government budget process, program starts, the award of contracts or orders under existing contracts, or delays in release of funds by the federal government. Delays in the definitization of a contract could result in delayed funding, billing and payment. Our business may be adversely impacted due to shifts in the political environment and resulting changes in the government and agency leadership positions and priorities for funding. We cannot assure you that current levels of congressional funding for our products and services will continue and that our business will not decline, or that such funding will be accessible consistent with previously realized timelines due to federal budgetary review activities and potential freezes on or cancellation of various governmental programs from time to time. If annual budget appropriations or continuing resolutions are not enacted timely, we could face U.S. government shutdowns, which could adversely impact our programs and contracts with the U.S. government, our ability to receive timely payment from U.S. government entities and our ability to timely obtain export licenses for our products and services to fulfill contracts with our international customers.</w:t>
      </w:r>
    </w:p>
    <w:p>
      <w:pPr>
        <w:spacing w:after="0" w:line="187"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Additionally, there is a possibility that political decisions made by the U.S. government, such as the establishment of DOGE and the related probes into and reductions in government spending, policy changes regarding prior military commitments by the second Trump administration, including those regarding ongoing conflicts, including between Russia and Ukraine, Israel and Hamas, Israel and Iran, or an impasse on policy issues between the executive branch and Congress, could impact future spending and program authorizations, which may not increase or may decrease or shift to programs in areas in which we do not provide products or services or are less likely to be awarded contracts. Such changes in spending authorizations and budgetary priorities may occur as a result of shifts in spending priorities from defense-related and other programs due to, among other factors, competing demands for federal funds and the number and intensity of military conflicts. We previously received a stop work order, which was lifted shortly after issuance, on certain existing U.S. government contracts previously awarded to us for foreign military sales funded by the U.S. government via foreign military financing because of shifting foreign military aid priorities. We may continue to receive future stop work orders and/or contract cancellations for other existing U.S. government contracts due to shifting foreign military aid priorities, including due to the recently announced pause on U.S. military assistance to Ukraine, and we cannot project the aggregate negative impact on our results of operations due to any future stop work orders and/or contract cancellations.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Military transformation and changes in overseas operational levels may affect future procurement priorities and existing programs, which could limit demand for our products and services.</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cannot predict whether and when a reduction in overseas operational levels will occur, how future procurement priorities related to defense transformation will be impacted, including by future events such as the conflicts between Russia and Ukraine or Israel and Hamas, or how changes in the threat environment will impact opportunities and competition for our products, for existing, additional or replacement programs. While strategically, we have diversified our portfolio in an effort to mitigate the susceptibility of our business to reductions in overseas operational levels, we cannot be certain that such actions have mitigated the risk of our business to such reductions. If defense transformation or overseas operations slow down or cease in key operational areas, then our business, financial condition and results of operations could be impacted negatively.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evolving markets, which makes it difficult to evaluate our business and future prospects.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One of our key strategies is to invest in R&amp;D to drive innovation and spur growth. Our innovative solutions are often sold in new and rapidly evolving markets. Accordingly, our business and future prospects may be difficult to evaluate. We cannot accurately predict the extent to which demand for our products and services will increase, if at all. The challenges, risks and uncertainties frequently encountered by companies in rapidly evolving markets could impact our ability to do the following:</w:t>
      </w:r>
    </w:p>
    <w:p>
      <w:pPr>
        <w:spacing w:after="0" w:line="183"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revenue to maintain profitability;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maintain market share;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or manage growth in our operations;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renew contracts;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additional engineers and other highly-qualified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commercially market new products and services;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new or changing policies and spending priorities of governments and government agencies; and</w:t>
      </w:r>
    </w:p>
    <w:p>
      <w:pPr>
        <w:spacing w:after="0" w:line="225" w:lineRule="exact"/>
        <w:rPr>
          <w:rFonts w:ascii="Times New Roman" w:cs="Times New Roman" w:eastAsia="Times New Roman" w:hAnsi="Times New Roman"/>
          <w:sz w:val="18"/>
          <w:szCs w:val="18"/>
          <w:color w:val="auto"/>
        </w:rPr>
      </w:pPr>
    </w:p>
    <w:p>
      <w:pPr>
        <w:ind w:left="1040" w:right="8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additional capital when required and on reasonable terms, including capital to refinance our substantial indebtedness.</w:t>
      </w:r>
    </w:p>
    <w:p>
      <w:pPr>
        <w:spacing w:after="0" w:line="162"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If we fail to address these and other challenges, risks and uncertainties successfully, our business, results of operations and financial condition would be materially harmed.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other firms, many of which have substantially greater resources.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defense industry is highly competitive and generally characterized by intense competition to win contracts. Our current principal competitors in the UAS market include Elbit Systems Ltd., Quantum-Systems, Inc., Edge Autonomy, Teledyne Technologies, Inc., Sierra Nevada Corporation, Lockheed Martin Corporation, The Boeing Company, Textron, Inc., Shield AI, Inc., Northrop Grumman Corporation, Griffon Aerospace, Inc., L3Harris Technologies, Inc. and Israeli Aircraft Industries.</w:t>
      </w:r>
    </w:p>
    <w:p>
      <w:pPr>
        <w:spacing w:after="0" w:line="183"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The defense and technology markets for the C-UAS and Precision Strike products and solutions are highly competitive, evolving with rapid technological advancements and shifting customer needs. Competitors in the LMS market include Textron Inc., RTX Corporation, Lockheed Martin Corporation, Anduril Industries, Inc., Aevex Holdings, LLC and UVision Air Ltd. Competitors in the C-UAS and Electronic Warfare markets include Anduril Industries, Inc., The Boeing Company, Lockheed Martin Corporation, RTX Corporation and other emerging technology firms and international players.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space technology and directed energy market includes competitors such as The Boeing Company, Lockheed Martin Corporation, L3Harris Technologies, Inc., BAE Systems, Inc., and RTX Corporation. These companies have extensive experience and resources, offering satellite systems and spacecraft engineering solutions that compete with our offerings.</w:t>
      </w:r>
    </w:p>
    <w:p>
      <w:pPr>
        <w:spacing w:after="0" w:line="180"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cyber and mission systems areas are highly competitive, with principal competitors including L3Harris Technologies, Inc., Thales Group, Anduril Industries, Inc, and Sierra Nevada Corporation. We also face competition from specialized cybersecurity firms.</w:t>
      </w:r>
    </w:p>
    <w:p>
      <w:pPr>
        <w:spacing w:after="0" w:line="176"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use their substantially greater resources and economies of scale to develop competing products and technologies, manufacture in high volumes more efficiently, divert sales from us by winning broader contracts or hire away our employees by offering more lucrative compensation packages. Small business competitors may be able to offer more cost-competitive solutions, due to their lower overhead costs, and take advantage of small business incentive and set aside programs for which we are ineligible. Foreign competitors may also be able to offer more cost-competitive solutions as compared to our products and services. The markets our products and services are expanding, and competition intensifying as additional competitors enter such markets and current competitors expand their product lines. In order to secure contracts successfully when competing with larger, well-financed companies, we may need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spacing w:after="0" w:line="191"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markets for our products do not grow as expected, if we cannot expand our customer base or if our products and services do not achieve broad acceptance, then we may not be able to achieve our anticipated level of growth.</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cannot accurately predict the future growth rates or sizes of the markets for our products and services. Demand for our products and services may not increase, or may decrease, either generally or in specific markets, for particular types of products and services or during particular time periods. Despite expanding our customer base to include international clients and non-military domestic agencies and making initial export breakthroughs, sustained increases in sales to international customers are not guaranteed. Historically, a large portion of our and BlueHalo’s revenue has been with the U.S. government. An increase of international sales of our product and services may not occur as anticipated. The expansion of the markets for our products in general, and the market for our products and services in particular, depends on several factors, including the following:</w:t>
      </w:r>
    </w:p>
    <w:p>
      <w:pPr>
        <w:spacing w:after="0" w:line="192"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these types of systems as solutions;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performance and reliability of our products and products offered by our competitors;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perceptions regarding the effectiveness and value of these types of systems;</w:t>
      </w:r>
    </w:p>
    <w:p>
      <w:pPr>
        <w:spacing w:after="0" w:line="225"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market our products and services internationally due to U.S. government laws and regulations;</w:t>
      </w:r>
    </w:p>
    <w:p>
      <w:pPr>
        <w:spacing w:after="0" w:line="161" w:lineRule="exact"/>
        <w:rPr>
          <w:rFonts w:ascii="Times New Roman" w:cs="Times New Roman" w:eastAsia="Times New Roman" w:hAnsi="Times New Roman"/>
          <w:sz w:val="18"/>
          <w:szCs w:val="18"/>
          <w:color w:val="auto"/>
        </w:rPr>
      </w:pPr>
    </w:p>
    <w:p>
      <w:pPr>
        <w:ind w:left="1040" w:right="81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necessary regulatory approvals, including access to airspace and wireless spectrum for our uncrewed systems;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efforts and publicity regarding these types of systems and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poses potentially greater risks than our domestic business.</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derived approximately 52% of our revenue from international sales, including U.S. government foreign military sales in which an end user is a foreign government, during the fiscal year ended April 30, 2025, compared to 62% for the fiscal year ended April 30, 2024. We expect to continue to derive a significant portion of our revenue from international sales, including direct sales to allied nations, and initiated through our international operations, Telerob Gesellschaft für Fernhantierungstechnik mbH (“Telerob”); however, we expect the proportion of our total revenue attributable to international sales will decrease in fiscal year 2026 due to BlueHalo’s lower mix of international sales. Our international revenue and operations are subject to a number of material risks, including the following:</w:t>
      </w:r>
    </w:p>
    <w:p>
      <w:pPr>
        <w:spacing w:after="0" w:line="189" w:lineRule="exact"/>
        <w:rPr>
          <w:sz w:val="20"/>
          <w:szCs w:val="20"/>
          <w:color w:val="auto"/>
        </w:rPr>
      </w:pPr>
    </w:p>
    <w:p>
      <w:pPr>
        <w:ind w:left="1040" w:right="4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or difficulties in obtaining any, necessary U.S. governmental authorizations for the export of our products and services to certain foreign jurisdictions;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that may adversely affect our ability to operate in foreign jurisdictions, sell certain products and services or repatriate profits to the United States;</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and necessity of using foreign representatives and consultants, and delays in and difficulty of validating foreign representatives and consultants;</w:t>
      </w:r>
    </w:p>
    <w:p>
      <w:pPr>
        <w:spacing w:after="0" w:line="161"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operating a business in an international location through a subsidiary or joint venture structure that may include foreign business partners, subcontractors and suppliers;</w:t>
      </w:r>
    </w:p>
    <w:p>
      <w:pPr>
        <w:spacing w:after="0" w:line="161" w:lineRule="exact"/>
        <w:rPr>
          <w:rFonts w:ascii="Times New Roman" w:cs="Times New Roman" w:eastAsia="Times New Roman" w:hAnsi="Times New Roman"/>
          <w:sz w:val="18"/>
          <w:szCs w:val="18"/>
          <w:color w:val="auto"/>
        </w:rPr>
      </w:pPr>
    </w:p>
    <w:p>
      <w:pPr>
        <w:ind w:left="1040" w:right="109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managing a workforce under foreign labor and employment law and related organizational requirements;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shipping our products internationally through multiple jurisdictions with varying legal requirements;</w:t>
      </w:r>
    </w:p>
    <w:p>
      <w:pPr>
        <w:spacing w:after="0" w:line="161"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and collecting receivables through foreign legal systems and other relevant legal issues, including fewer legal protections for intellectual property;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economies and in the value of foreign currencies and interest rates;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preferences by prospective customers to purchase from local (non-U.S.) sources;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 geographic markets in which we operate;</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or regulations relating to non-U.S. military contracts that favor purchases from non-U.S. manufacturers over U.S. manufacturers;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in-country production and manufacturing requirements by international customers;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embargoes, export controls and other trade restrictions; and</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changing legal and regulatory requirements, including those pertaining to anti-corruption, anti-boycott, data protection and privacy, employment law, intellectual property, contracts and tax in the jurisdictions in which we currently operate or may operate in the future.</w:t>
      </w:r>
    </w:p>
    <w:p>
      <w:pPr>
        <w:spacing w:after="0" w:line="1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Negative developments in any of these areas in one or more countries in which we operate could result in a reduction in demand for our products, the cancellation or delay of orders already placed, threats to our intellectual property, destabilization of performance, difficulty in collecting receivables and a higher cost of doing business, any of which could negatively impact our business, financial condition or results of operations. While we have adopted policies and procedures to facilitate compliance with laws and regulations applicable to our international operations and sales,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failure, or the failure by our employees or others working on our behalf, to comply with such laws and regulations may result in administrative, civil or criminal liabilities, including fines, suspension or debarment from government contracts or suspension of our export privileges. Moreover, our sales, including sales to customers outside the United States, substantially all are denominated in U.S. dollars, and downward fluctuations in the value of foreign currencies relative to the U.S. dollar may make our products more expensive than other products, which could harm our business.</w:t>
      </w:r>
    </w:p>
    <w:p>
      <w:pPr>
        <w:spacing w:after="0" w:line="179"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the increasing complexity of our business, or achieve or manage our expected growth, our business could be adversely affected.</w:t>
      </w:r>
    </w:p>
    <w:p>
      <w:pPr>
        <w:spacing w:after="0" w:line="15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The complexity of our business has increased significantly over the last several years, most recently with the closing of our acquisition of BlueHalo in May 2025. We have increased the number of product lines being pursued, expanded international product sales and added commercial services and engaged in numerous acquisitions further expanding our operations domestically and abroad. Further, we have entered into certain credit facilities that include affirmative and negative covenants and place some restrictions on how we operate our business. Our growth has placed, and our expected growth will continue to place, a strain on our management and our administrative, operational and financial infrastructure. We anticipate further growth of headcount and facilities will be required to address expansion in our product and service offerings and the geographic scope of our customer base. However, if we are unsuccessful in our efforts, our business could decline. Our success will depend in part upon the ability of our senior management to manage our increased complexity and expected growth effectively. To do so, we must continue to hire, train, manage and integrate a significant number of qualified managers and engineers, as well as an adequate support structure. If our new employees perform poorly, or if we are unsuccessful in hiring, training, managing and integrating these new employees, or retaining these or our existing employees, then our business may experience declines.</w:t>
      </w:r>
    </w:p>
    <w:p>
      <w:pPr>
        <w:spacing w:after="0" w:line="187"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To support our expected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spacing w:after="0" w:line="176"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relationships, including those of BlueHalo, may be subject to disruption due to uncertainty associated with the post-acquisition integration, which could have a material adverse effect on our results of operations, cash flows and financial position.</w:t>
      </w:r>
    </w:p>
    <w:p>
      <w:pPr>
        <w:spacing w:after="0" w:line="175"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Parties with which we do business and with which BlueHalo did business prior to the acquisition may experience uncertainty associated with the acquisition integration, including with respect to current or future business relationships with the combined company. Our and BlueHalo’s business relationships may be subject to disruption as customers, distributors, suppliers, vendors, landlords, joint venture partners and other business partners may attempt to delay or defer entering into new business relationships, negotiate changes in existing business relationships or consider entering into business relationships with parties other than us. These disruptions could have a material and adverse effect on our results of operations, cash flows and financial position, as well as a material and adverse effect on our ability to realize the expected cost savings and other benefits of the acquisition.</w:t>
      </w:r>
    </w:p>
    <w:p>
      <w:pPr>
        <w:spacing w:after="0" w:line="188"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efforts to expand our offerings beyond our current markets may not succeed, which could negatively impact our operating results.</w:t>
      </w:r>
    </w:p>
    <w:p>
      <w:pPr>
        <w:spacing w:after="0" w:line="15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U.S. military represents our largest source of revenue. We have, however, expanded our product sales into new market segments, such as the AI-enabled common control system from our Tomahawk acquisition. Our efforts to expand our product and service offerings beyond our traditional markets may divert management resources from existing operations and require us to commit significant financial resources to unproven businesses that may not generate additional sales, either of which could significantly impair our operating results.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compete are characterized by rapid technological change, requiring us to develop new products and product enhancements, and could render our existing products obsolete.</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Continuing technological changes in the market for our products could make our products and services less competitive or obsolete, either generally or for particular applications. The length and severity of the cycles in the commercial and defense industries are difficult to predict. Our future success will depend upon our ability to develop and introduce a variety of new capabilities and enhancements to our existing product offerings, as well as introduce a variety of new product offerings to address the changing needs of the markets in which we offer our products. Delays in introducing new products and enhancements, the failure to choose correctly among technical alternatives or the failure to offer innovative products or enhancements at competitive prices may cause existing and potential customers to purchase our competitors’ products.</w:t>
      </w:r>
    </w:p>
    <w:p>
      <w:pPr>
        <w:spacing w:after="0" w:line="192"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spacing w:after="0" w:line="172"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difficult issues to navigate in the development and use of AI, which may result in reputational harm or liability, and failure to introduce new and innovative products that have AI capabilities could put us at a competitive disadvantage.</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currently incorporate machine learning and AI capabilities into certain of our products and solutions and may seek to expand the use of AI in our offerings in the future. As with many innovations, AI presents risks, challenges, and unintended consequences that could affect our business. AI algorithms and training methodologies may be flawed. These deficiencies and other failures of AI systems could subject us to competitive harm, regulatory action, legal liability, and brand or reputational harm. Further, incorporating AI could give rise to litigation risk and risk of non-compliance and unknown cost of compliance, as AI is an emerging technology for which the legal and regulatory landscape is not fully developed (including potential liability for breaching intellectual property or privacy rights or laws). While new AI initiatives, laws, and regulations are emerging and evolving, what they ultimately will look like remains uncertain, and our obligation to comply with them could entail significant costs, negatively affect our business, or entirely limit our ability to incorporate certain AI capabilities into our offerings.</w:t>
      </w:r>
    </w:p>
    <w:p>
      <w:pPr>
        <w:spacing w:after="0" w:line="19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Additionally, leveraging AI capabilities to potentially improve internal functions and operations presents further risks and challenges. The use of AI to support business operations carries inherent risks related to data privacy and security, such as intended, unintended, or inadvertent transmission of proprietary, sensitive or export-controlled information, as well as challenges related to implementing and maintaining AI tools. Additionally, our competitors might move faster than us to gain efficiencies by incorporating AI into their design and development processes, and our products and/or cost structure could become less competitive as a result. The rapid evolution of AI will require the application of resources by us to develop, test and maintain our products, services and operations to help ensure that AI is implemented ethically in order to minimize unintended, harmful impact.</w:t>
      </w:r>
    </w:p>
    <w:p>
      <w:pPr>
        <w:spacing w:after="0" w:line="19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Our competitors may be faster or more successful than we are in incorporating AI and other disruptive technology into their offerings, which would impair our ability to compete successfully.</w:t>
      </w:r>
    </w:p>
    <w:p>
      <w:pPr>
        <w:spacing w:after="0" w:line="158" w:lineRule="exact"/>
        <w:rPr>
          <w:sz w:val="20"/>
          <w:szCs w:val="20"/>
          <w:color w:val="auto"/>
        </w:rPr>
      </w:pPr>
    </w:p>
    <w:p>
      <w:pPr>
        <w:ind w:left="60" w:right="4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expect to incur substantial R&amp;D costs and devote significant resources to identifying and commercializing new products and services, which could significantly reduce our profitability and may never result in revenue to us.</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growth depends on penetrating new markets, adapting existing products to new applications,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introducing new products and services that achieve market acceptance. We plan to incur substantial R&amp;D costs as part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efforts to design, develop and commercialize new products and services and enhance existing products. We spent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$100.7 million, or 12% of our revenue, in our fiscal year ended April 30, 2025 on internal R&amp;D activities. We believe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significant investment opportunities in a number of business areas. Because we account for internal R&amp;D as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expense, these expenditures will adversely affect our earnings in the future. Further, our R&amp;D programs may not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produce successful results, and our new products and services may not achieve market acceptance, create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additional revenue or become profitable, which could materially harm our business, prospects, financial results and liquidity.</w:t>
      </w:r>
    </w:p>
    <w:p>
      <w:pPr>
        <w:spacing w:after="0" w:line="158"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are complex and could have unknown defects or errors, which may give rise to claims against us, diminish our brand or divert our resources from other purposes.</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Our products rely on complex avionics, space qualified electronics, RF-based systems, digital phased array antennas and radars, sensors, user-friendly interfaces and tightly-integrated, electromechanical designs to accomplish their missions. Despite extensive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spacing w:after="0" w:line="19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existence of any defects, errors, or failures in our products or the misuse of our products could also lead to product liability claims or lawsuits against us. A defect, error or failure in one of our products could result in injury, death or property damage and significantly damage our reputation and support for our products in general. We anticipate this risk will grow as our UAS products begin to be used in U.S. domestic airspace and urban areas.</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Although we maintain insurance policies, we cannot be certain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8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ability to meet customers’ demands depends, in part, on our ability to obtain timely and adequate delivery of high quality materials, components and subsystems, many of which are obtained from a select group of specialized suppliers, including some sole-source providers. In order to mitigate potential disruptions, we maintain long-term, non-binding agreements with several key suppliers that help stabilize pricing, reduce lead times and enhance planning accuracy. We do not have long-term agreements with all suppliers that obligate them to continue to sell components, products required to build our systems or products to us. Our reliance on suppliers without long-term binding contracts involves significant risks and uncertainties, including whether our suppliers will provide an adequate supply of required components or products of sufficient quality, will increase prices for the components or products and will perform their obligations on a timely basis.</w:t>
      </w:r>
    </w:p>
    <w:p>
      <w:pPr>
        <w:spacing w:after="0" w:line="18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If any of our supplier’s face capacity constraints, financial instability, or an unwillingness to provide raw materials or components to us, we may need to seek alternative suppliers or revise our designs, particularly because some of our components are sourced from foreign countries. Locating alternative sources may take significant time, and even then, we may encounter significant delays in manufacturing and shipping. Additionally, credit constraints among key suppliers could impact our cash flow. We have also experienced rising costs for components, shipping, tariffs, warehousing, and inventory. Our domestic suppliers have experienced increased demand for their products due to tariffs, which could impact the availability or price of our components. The permanence of these cost increases remains uncertain, and obtaining replacement components within our required time frames may prove challenging. Shortages could lead to excess inventory and potential obsolescence risks.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addition, certain raw materials and components used in the manufacture of our products and in our development programs, are periodically subject to supply shortages, and our business is subject to the risks of price increases and periodic delays in delivery. The electronic components industry has experienced significant shifts in supply levels in recent years. Demand for components in the memory sector is poised for substantial growth, driven by AI applications such as large language models and generative AI. Due to the volatility of supply and increase in demand, lead times and prices for certain components, such as memory related microprocessors, may continue to experience supply and price uncertainty.</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Our products, including motors, batteries, and other advanced components, rely on rare earth metals for their manufacturing, of which a significant majority are sourced from China. Any disruption in the supply of these metals could adversely affect our ability to produce and deliver our products. Factors that might lead to such disruptions include geopolitical tensions, trade restrictions, supply chain bottlenecks, and environmental regulations affecting mining operations. A limited supply or increased cost of rare earth metals could lead to higher production costs, delays in manufacturing schedules, and potential inability to meet customer demand, thereby impacting our revenue and growth plans. Managing these risks necessitates close monitoring of supply chains, diversification of suppliers, and the pursuit of alternative materials or technologies where possible.</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Escalating restrictions between the U.S. and China contribute to supply chain complexities. In January 2024, China imposed sanctions on AeroVironment in response to sales of military equipment by the U.S. Government to Taiwan. Additionally, in March 2025, China’s Ministry of Commerce placed AeroVironment on China’s export control list. While we have not experienced, and do not expect to experience, a material negative impact on our business as a result of the announced sanctions and export restrictions, we cannot be certain that a material negative effect will not occur in the future as a result of these sanctions and restrictions or future sanctions or restrictions that may be imposed. Some of our components sourced from foreign countries, including China, are at risk of further sanctions and other trade restrictive actions, and any escalation in global trade tensions or trade restrictions may hinder our ability to obtain these components from new suppliers. Restrictions on semiconductor manufacturing equipment and raw materials could lead to higher material costs, material unavailability, and transportation uncertainty.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and cash flows can be impacted by changes in tax laws.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As a U.S.-based multinational business, we are subject to income tax in the U.S. and numerous jurisdictions outside the U.S. The relevant tax rules and regulations are complex, often changing and, in some cases, are interdependent. If these or other tax rules and regulations should change, our earnings and cash flows could be negatively impacted. Our worldwide provision for income taxes is determined, in part, through the use of significant estimates and judgments. Numerous transactions arise in the ordinary course of business where the ultimate tax determination is uncertain. We undergo tax examinations by tax authorities on a regular basis. While we believe our estimates of our tax obligations are reasonable, the final outcome after the conclusion of any tax examinations and any litigation could be materially different from what has been reflected in our historical financial statements. Also due to the U.S. Internal Revenue Service tax capitalization rules, Section 174, which requires R&amp;D expenditures to be capitalized and amortized over a 5-year period for tax purposes, we expect an increase in cash paid for U.S. federal income taxes in future fiscal years relative to prior periods. The One Big Beautiful Bill Act features several tax reforms including suspending the capitalization and amortization of domestic R&amp;D expenditures for amounts paid or incurred in tax years beginning after December 31, 2024, and before January 1, 2030.</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i w:val="1"/>
          <w:iCs w:val="1"/>
          <w:color w:val="auto"/>
        </w:rPr>
        <w:t>Changes in trade policies, including the recently-announced tariff regime, could cause adverse impacts to our business.</w:t>
      </w:r>
    </w:p>
    <w:p>
      <w:pPr>
        <w:spacing w:after="0" w:line="241"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In the first half of 2025, we observed a significant shift in U.S. trade policy, with increased tariffs and the imposition of significant new tariffs that could have an adverse impact our supply chain and business operation. While certain of the recently announced tariffs have been paused, whether and to what degree they may be reinstated is uncertain at this time and may have implications for our supplier and our business. Changes in trade policies, such as new tariffs or increases in tariffs, or reactionary measures including retaliatory tariffs, legal challenges, or currency manipulation, could adversely impact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rely on imported materials, components, or finished goods, and if tariffs increase, our supply chain costs may rise, adversely affecting our business, results of operations and cash flows. We also manufacture internationally through Telerob, and if we are not granted exemptions from tariffs due to the nature of our business and customers, we could see greater impacts than we currently expect. Additionally, retaliatory measures, or prolonged uncertainty in trade relationships could result in supply chain disruptions, delayed shipments, or increased operational complexity, which could also adversely affect our business, results of operations and cash flows. While we intend to take steps to mitigate any impacts of tariffs or other impacts resulting from changes in trade policy, our ability to do so may be limited by operational and supply chain constraints, especially in the short term.</w:t>
      </w:r>
    </w:p>
    <w:p>
      <w:pPr>
        <w:spacing w:after="0" w:line="188"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profit margins may decrease based on the mix of our contracts and programs and other factors related to our contracts.</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general, we perform our work under fixed-price contracts and cost-plus-fee contracts. Under fixed-price contracts, we deliver products or perform services under a contract at a stipulated price. Under cost-plus-fee contracts, which are subject to a contract ceiling amount, we are reimbursed for allowable costs and paid a fee, which may be fixed or performance based. We typically experience lower profit margins under cost-plus-fee contracts than under fixed-price contracts, though fixed-price contracts involve higher risks. In general, if the volume of services we perform under cost-plus-fee contracts increases relative to the volume of services we perform under fixed-price contracts, we expect that our operating margin will decline.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spacing w:after="0" w:line="184"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in accounting for many of our programs and changes in our estimates could adversely affect our future financial results.</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Contract accounting requires judgments relative to assessing risks, including risks associated with estimating contract transaction prices and costs, definitization of certain contract prices, assumptions for schedule and technical issues, customer-directed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 complete the contract because costs also include expected increases in wages and prices for materials; and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186"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overruns on our contracts could subject us to losses, decrease our operating margins and adversely affect our future business.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Fixed-price contracts (including both government and commercial contracts) represented approximately 91% of our revenue for the fiscal year ended April 30, 2025. With the acquisition of BlueHalo, we expect the proportion of fixed-price contracts to decrease in fiscal year 2026. If we fail to anticipate technical problems, estimate costs accurately or control costs during our performance of fixed-price contracts, then we may incur losses on these contracts because we absorb any costs in excess of the fixed price. Under cost-plus-fee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and key employees, including key employees of businesses recently acquired, are important to our customer relationships and overall business.</w:t>
      </w:r>
    </w:p>
    <w:p>
      <w:pPr>
        <w:spacing w:after="0" w:line="15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success depends in part on the continued contributions of our senior management and key employees. We rely on our executive officers, senior management and key 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The loss of any of our continuing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must recruit and retain highly-skilled employees to succeed in our competitive business.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Our ability to recruit and retain qualified, technical personnel, such as engineers, has been adversely impacted by the labor market. Increased restrictions on the import of foreign labor may also increase demand for engineering personnel and adversely impact our ability to hire and retain qualified personnel.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 Certain of our programs also require staffing by employees who hold high-level security clearances, the market for which is extremely competitive and not limited to the aerospace &amp; defense industry. We have experienced shortages of skilled employees that has negatively affected our progress on development programs and our results of operations. We cannot predict the extent to which these shortages will continue or the extent to which they could negatively impact our development programs and results of operations in future periods.</w:t>
      </w:r>
    </w:p>
    <w:p>
      <w:pPr>
        <w:spacing w:after="0" w:line="191"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stay competitive within our markets may be dependent upon increasing manufacturing capacity to support anticipated growth and achieving cost reductions and projected economies of scale from increasing manufacturing quantities of our products. Failing to adequately increase production capacity and achieve such reductions in manufacturing costs and projected economies of scale could materially adversely affect our business.</w:t>
      </w:r>
    </w:p>
    <w:p>
      <w:pPr>
        <w:spacing w:after="0" w:line="18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future growth depends on increasing manufacturing capacity of our products, and our failure to adequately increase such capacity could have a material adverse impact on our business and financial results. We do not know whether or when we will be able to develop efficient, low-cost manufacturing capabilities and processes that will enable us to manufacture (or contract for the manufacture of) our products in commercial quantities while meeting the volume, speed, quality, price, engineering, design and production standards required to successfully market our products. Our failure to develop such manufacturing processes and capabilities in locations that can efficiently service our clients and markets could have a material adverse effect on our business, financial condition, results of operations and prospects. Our ability to remain competitive is, in part, dependent upon achieving increased savings from volume purchases of raw materials and component parts, achieving acceptable manufacturing yield and capitalizing on machinery efficiencies. We expect our suppliers to experience a sharp increase in demand for their products. During the fiscal years ended April 30, 2024 and 2023, global supply chain issues resulted in delays in procuring components for our products, and we experienced significant increases in the costs to procure certain components. The extent to which we will have reliable access to supplies that we require or be able to purchase such materials or components at cost effective prices is uncertain. There is no assurance that we will ever be in a position to realize any material, labor and machinery cost reductions associated with higher purchasing power and higher production levels. Failure to achieve these cost reductions could adversely impact our business and financial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risks in the management of our inventory, and failure to effectively manage our inventory levels may result in supply imbalances that could harm our business.</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maintain a variety of parts and components in inventory to allow us to customize our UAS, C-UAS and space products for specific customer requirements, which parts are subject to obsolescence and expiration. Due to the long-lead time for obtaining certain product components, including in response to procurement issues caused by shortages in the supply chain for such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Should orders and market conditions differ significantly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 or customer orders. We may hold material amounts of inventory at third parties which are subject to separate management processes. Additionally, our failure to manage inventory effectively, including in response to the effects of shortages of our components, could expose us to losses.</w:t>
      </w:r>
    </w:p>
    <w:p>
      <w:pPr>
        <w:spacing w:after="0" w:line="190"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Additionally, shortages of components may result in increased inventory of unfinished products and significant quantities of other unused components remaining in inventory, which could expose us to increased risks of obsolescence and losses which may not be covered by insurance.</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5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which could cause production delays, and could result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though our insurance coverage may be inadequate to cover all claims and losses related to such incidents. We may experience such incidents in the future, which could result in production delays or otherwise have a material adverse effect on our business and financial condition.</w:t>
      </w:r>
    </w:p>
    <w:p>
      <w:pPr>
        <w:spacing w:after="0" w:line="184" w:lineRule="exact"/>
        <w:rPr>
          <w:sz w:val="20"/>
          <w:szCs w:val="20"/>
          <w:color w:val="auto"/>
        </w:rPr>
      </w:pPr>
    </w:p>
    <w:p>
      <w:pPr>
        <w:ind w:left="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operation of UAS and C-UAS in urban environments may be subject to risks, such as accidental collisions and transmission interference, which may limit demand for our UAS and C-UAS in such environments and harm our business and operating results.</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Urban environments may present certain challenges to the operators of UAS and C-UAS. C-UAS may cause and UAS may accidentally collide with other aircraft, persons or property, which could result in injury, death or property damage and significantly damage the reputation of and support for UAS and C-UAS in general. As the usage of UAS and C-UAS has increased, particularly by military customers, the danger of such collisions has increased. Furthermore, the incorporation of our Digital Data Link (“DDL”) technology into our SUAS has increased the number of vehicles which can operate simultaneously in a given area and with this increase has come an increase in the risk of accidental collision. In addition, obstructions to effective transmissions in urban environments, such as large buildings, may limit the ability of the operator to utilize the aircraft for its intended purpose. The risks or limitations of operating UAS and C-UAS in urban environments may limit their value in such environments, which may limit demand for our UAS and C-UAS and consequently materially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vary widely.</w:t>
      </w:r>
    </w:p>
    <w:p>
      <w:pPr>
        <w:spacing w:after="0" w:line="229"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Our quarterly revenue, cash flow and operating results have and may continue to fluctuate significantly in the future due to a number of factors, including the following:</w:t>
      </w:r>
    </w:p>
    <w:p>
      <w:pPr>
        <w:spacing w:after="0" w:line="162" w:lineRule="exact"/>
        <w:rPr>
          <w:sz w:val="20"/>
          <w:szCs w:val="20"/>
          <w:color w:val="auto"/>
        </w:rPr>
      </w:pPr>
    </w:p>
    <w:p>
      <w:pPr>
        <w:ind w:left="1040" w:right="25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revenue derived from government contracts, including undefinitized contracts, cost-plus-fee contracts and contracts with a performance-based fee structure;</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and services that we sell in the period;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customer demand for some of our products or services;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incurred in the introduction of new products and services;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adoption of our products and services in new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additional contracts from existing customers or other contracts from new customers;</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delays or contract amendments by our U.S. governmental agency and foreign government customers;</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policy or budgetary measures that adversely affect our U.S. governmental agency and foreign government customers;</w:t>
      </w:r>
    </w:p>
    <w:p>
      <w:pPr>
        <w:spacing w:after="0" w:line="16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complying with various regulatory requirements applicable to our business and the potential penalties or sanctions that could be imposed for non-compliance; and</w:t>
      </w:r>
    </w:p>
    <w:p>
      <w:pPr>
        <w:spacing w:after="0" w:line="161" w:lineRule="exact"/>
        <w:rPr>
          <w:rFonts w:ascii="Times New Roman" w:cs="Times New Roman" w:eastAsia="Times New Roman" w:hAnsi="Times New Roman"/>
          <w:sz w:val="18"/>
          <w:szCs w:val="18"/>
          <w:color w:val="auto"/>
        </w:rPr>
      </w:pPr>
    </w:p>
    <w:p>
      <w:pPr>
        <w:ind w:left="1040" w:right="55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necessary export licenses for sales of our products and services to international customers.</w:t>
      </w:r>
    </w:p>
    <w:p>
      <w:pPr>
        <w:spacing w:after="0" w:line="16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approval in a timely manner.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Shortfalls in available external R&amp;D funding could adversely affect us.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depend on our R&amp;D activities to develop the core technologies used in our products and for the development of our future products. A portion of our R&amp;D activities depends on funding by commercial companies and the U.S. government. U.S. government and commercial spending levels can be impacted by a number of variables, including budgeting policies and changes in government oversight, general economic conditions, specific companies’ financial performance and competition for U.S. government funding with other U.S. government-sponsored programs in the budget formulation and appropriation processes. To the extent that these external sources of funding are reduced or eliminated, company funding for R&amp;D could be reduced. Any reductions in available R&amp;D funding could harm our business, financial condition and operating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access to our, our customers’ and/or our suppliers’ information and systems could negatively impact our business.</w:t>
      </w:r>
    </w:p>
    <w:p>
      <w:pPr>
        <w:spacing w:after="0" w:line="159" w:lineRule="exact"/>
        <w:rPr>
          <w:sz w:val="20"/>
          <w:szCs w:val="20"/>
          <w:color w:val="auto"/>
        </w:rPr>
      </w:pPr>
    </w:p>
    <w:p>
      <w:pPr>
        <w:ind w:left="60" w:right="119" w:firstLine="648"/>
        <w:spacing w:after="0" w:line="268" w:lineRule="auto"/>
        <w:rPr>
          <w:sz w:val="20"/>
          <w:szCs w:val="20"/>
          <w:color w:val="auto"/>
        </w:rPr>
      </w:pPr>
      <w:r>
        <w:rPr>
          <w:rFonts w:ascii="Times New Roman" w:cs="Times New Roman" w:eastAsia="Times New Roman" w:hAnsi="Times New Roman"/>
          <w:sz w:val="17"/>
          <w:szCs w:val="17"/>
          <w:color w:val="auto"/>
        </w:rPr>
        <w:t>We face various security threats, including cyber security attacks on our information technology infrastructure, which may include attempts to gain access to our proprietary, financial, banking or classified information, disrupt use of our systems or otherwise compromise the integrity of our operations. The threats we face vary from those common to most industries, to attacks by more advanced and persistent, highly organized adversaries, including nation state actors, which target us for the national security information in our possession, for our role in developing advanced technological systems or with the goal of committing fraudulent activity. Our customers, suppliers and subcontractors are likewise targeted, and attack methods continue to evolve. Some cyberattacks depend on human error or manipulation, including phishing attacks or schemes that use social engineering or AI to gain access to systems or carry out disbursement of funds or other frauds. Developments in AI and machine learning provide threat actors with the capability to use more sophisticated means to attack our systems and may exacerbate cybersecurity risk. Although we use multiple procedures and controls to monitor and mitigate these threats, there can be no assurance that these procedures and controls will be sufficient to prevent physical or cyber access or system disruptions, including the unauthorized release of confidential technical, financial or banking information or corruption of data. Accordingly, any significant operational delays, or any destruction, manipulation or improper use of our data, information systems or networks could adversely affect our financial results and damage our reputation with customers, suppliers and stockholders, and the reputation of our products and services.</w:t>
      </w:r>
    </w:p>
    <w:p>
      <w:pPr>
        <w:spacing w:after="0" w:line="18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occurrence of some of these risks may be increased due to the increase in remote working by our employees, suppliers, contractors and other third parties. Previous cyber-attacks directed at us have not materially impacted our business or financial results, but the impact of future incidents cannot be predicted due to the constantly evolving nature and complexity of cyber-attacks. If we or our partners are subject to data security breaches, whether cyber or due to a failure in physical security protocols, we may lose existing sales and new business opportunities, see increased costs arising from remediation of the breach and the restoration or implementation of additional security measures, be subject to regulatory investigations and litigation, including fines and penalties, and face increased insurance or audit requirements in our third-party contracts, any of which could materially and adversely affect our business and financial results. Additionally, expenses resulting from cyber security attacks and other security risks may not be fully insured or otherwise mitigated, which could harm our financial results.</w:t>
      </w:r>
    </w:p>
    <w:p>
      <w:pPr>
        <w:spacing w:after="0" w:line="190"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others acting on our behalf may engage in misconduct or other improper activities, which could cause us to lose contracts or cause us to incur costs.</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insider threats to our cybersecurity,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or cause us to incur costs to respond to any related governmental inquiries.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9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may in the future experience such misconduct, despite our various compliance programs. Misconduct or improper actions by our employees, agents, subcontractors, suppliers, business partners and/or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work for the U.S. government and international governments may expose us to increased security risks.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a government contractor, given the enhanced sensitivity of the information to which we have access and the nature of our products and services, we are at increased risk of being targeted for cyber and other security attacks, including threats to the physical security of our facilities and employees. In addition, we work in international locations where there are high security risks, which could result in harm to our employees, contractors, and remote assets, and substantial protection or recovery costs. Some of our services are performed in or adjacent to high-risk locations where the country or location is experiencing political, social or economic issues, or war or civil unrest. In those locations where we have employees or operations, we may incur substantial costs to maintain the safety of our personnel, our remote assets and our information. As such international locations and the risks associated with them change rapidly, such precautions may be insufficient to avoid such risks including possible possession of our remote assets and related access to our intellectual property by unintended third parties and the possible loss of our personnel in these locations, which could harm our business and operating results.</w:t>
      </w:r>
    </w:p>
    <w:p>
      <w:pPr>
        <w:spacing w:after="0" w:line="18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may be subject to a risk of loss, and we may be exposed to fluctuations in the market values of our portfolio investments and in interest rates.</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assets include a significant amount of cash and investments. We adhere to an investment policy set by our Board of Directors which aims to preserve our financial assets, maintain adequate liquidity and maximize returns. Nearly all of our cash and bank deposits are not insured by the Federal Deposit Insurance Corporation. Therefore, our cash and any bank deposits that we now hold or may acquire in the future may be subject to risks, including the risk of loss or of reduced value or liquidity. Our investments classified as available-for-sale are recorded at fair value each reporting period. Our investments classified as equity method investments are recorded using the equity method. Unrealized gains and losses are recorded as other income or loss.</w:t>
      </w:r>
    </w:p>
    <w:p>
      <w:pPr>
        <w:spacing w:after="0" w:line="18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disruptions in recent years, including severely diminished liquidity and credit availability, declines in consumer confidence, declines in economic growth, increases in unemployment rates and uncertainty about economic stability. There can be no assurance that renewed deterioration in credit and financial markets and confidence in economic conditions will not occur. Our general business strategy may be adversely affected by any economic downturn, volatile business environment or continued unpredictable and unstable market conditions. If the current equity and credit markets deteriorate, or do not improve, it may make any necessary debt or equity financing more difficult, costlier and more dilutive. Failure to secure any necessary financing in a timely manner and on favorable terms could have a material adverse effect on our growth strategy, financial performance and stock price and could require us to delay or abandon implementing business initiatives. These events and the continuing market upheavals could adversely affect our business in a number of ways, including:</w:t>
      </w:r>
    </w:p>
    <w:p>
      <w:pPr>
        <w:spacing w:after="0" w:line="19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Potential Deferment of Purchases and Orders by Customers: </w:t>
      </w:r>
      <w:r>
        <w:rPr>
          <w:rFonts w:ascii="Times New Roman" w:cs="Times New Roman" w:eastAsia="Times New Roman" w:hAnsi="Times New Roman"/>
          <w:sz w:val="18"/>
          <w:szCs w:val="18"/>
          <w:color w:val="auto"/>
        </w:rPr>
        <w:t>Uncertainty about current and future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may cause governments, including the U.S. government, which is our largest customer, other customers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spacing w:after="0" w:line="183"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Negative Impact from Increased Financial Pressures on Key Suppliers: </w:t>
      </w:r>
      <w:r>
        <w:rPr>
          <w:rFonts w:ascii="Times New Roman" w:cs="Times New Roman" w:eastAsia="Times New Roman" w:hAnsi="Times New Roman"/>
          <w:sz w:val="18"/>
          <w:szCs w:val="18"/>
          <w:color w:val="auto"/>
        </w:rPr>
        <w:t>Our ability to meet customers’ demands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depends, in part, on our ability to obtain timely and adequate delivery of quality materials, parts and components from our suppliers. If certain key suppliers were to become capacity constrained or insolvent as a result of a market downturn or disruption, then we may have to find new suppliers, which can result in significant delays in manufacturing and shipping our products to customers and additional costs. See above risk factor “If critical components or raw materials used to manufacture our products or used in our development programs become scarce or unavailable,</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then we may incur delays in manufacturing and delivery of our products and in completing our development programs, which could damage our business,” for more detail on risks related to our supply chain.</w:t>
      </w:r>
    </w:p>
    <w:p>
      <w:pPr>
        <w:spacing w:after="0" w:line="160"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Customers’ Inability to Obtain Financing to Make Purchases from Us and/or Maintain Their Business: </w:t>
      </w:r>
      <w:r>
        <w:rPr>
          <w:rFonts w:ascii="Times New Roman" w:cs="Times New Roman" w:eastAsia="Times New Roman" w:hAnsi="Times New Roman"/>
          <w:sz w:val="18"/>
          <w:szCs w:val="18"/>
          <w:color w:val="auto"/>
        </w:rPr>
        <w:t>Some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may require substantial financing in order to fund their operations and make purchases from us. The inability of these customers to obtain sufficient credit to finance purchases of our products or services, or otherwise meet their payment obligations to us could adversely impact our financial condition and results of operations. In addition, if a market downturn results in insolvencies for our customers, it could adversely impact our financial condition and results of operations.</w:t>
      </w:r>
    </w:p>
    <w:p>
      <w:pPr>
        <w:spacing w:after="0" w:line="180"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could be difficult to integrate, divert the attention of key personnel, disrupt our business, dilute stockholder value and impair our financial results.</w:t>
      </w:r>
    </w:p>
    <w:p>
      <w:pPr>
        <w:spacing w:after="0" w:line="15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May 2025, we closed our acquisition of BlueHalo, the most recent in a series of acquisitions beginning in February 2021, with the acquisition of Arcturus and the Intelligent Systems Group business segment (“ISG”). We then acquired Telerob in May 2021, Planck Aerosystems, Inc. (“Planck”) in August 2022, Tomahawk Robotics, Inc. (“Tomahawk”) in September 2023. We intend to consider additional acquisitions that could add to our customer base, technological capabilities or system offerings. Acquisitions involve numerous risks, any of which could harm our business, including the following:</w:t>
      </w:r>
    </w:p>
    <w:p>
      <w:pPr>
        <w:spacing w:after="0" w:line="187" w:lineRule="exact"/>
        <w:rPr>
          <w:sz w:val="20"/>
          <w:szCs w:val="20"/>
          <w:color w:val="auto"/>
        </w:rPr>
      </w:pPr>
    </w:p>
    <w:p>
      <w:pPr>
        <w:ind w:left="1040" w:right="13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technologies, products, existing contracts, accounting and personnel of the companies we acquire and realizing the anticipated synergies of the combined businesses;</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suppliers, distributors and vendors, avoiding delays in entering into new agreements with prospective customers, suppliers, distributors and vendors, and leveraging relationships with such third parties for the benefit of the post-acquisition combined company;</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existing operations;</w:t>
      </w:r>
    </w:p>
    <w:p>
      <w:pPr>
        <w:spacing w:after="0" w:line="225"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we pay or other resources that we devote may exceed the value we realize, or the value we could have realized if we had allocated the purchase price or other resources to another opportunity;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new markets in which we have limited or no experience;</w:t>
      </w:r>
    </w:p>
    <w:p>
      <w:pPr>
        <w:spacing w:after="0" w:line="225" w:lineRule="exact"/>
        <w:rPr>
          <w:rFonts w:ascii="Times New Roman" w:cs="Times New Roman" w:eastAsia="Times New Roman" w:hAnsi="Times New Roman"/>
          <w:sz w:val="18"/>
          <w:szCs w:val="18"/>
          <w:color w:val="auto"/>
        </w:rPr>
      </w:pPr>
    </w:p>
    <w:p>
      <w:pPr>
        <w:ind w:left="1040" w:right="109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managing a workforce under foreign labor and employment law and related organizational requirements;</w:t>
      </w:r>
    </w:p>
    <w:p>
      <w:pPr>
        <w:spacing w:after="0" w:line="161"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customers and strategic alliances from either our current business or the acquired company’s business;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unanticipated problems or latent liabilities, such as problems with the quality of the acquired company’s products or its regulatory compliance; and</w:t>
      </w:r>
    </w:p>
    <w:p>
      <w:pPr>
        <w:spacing w:after="0" w:line="16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regulatory compliance complexity and risk, including compliance with regulations of foreign jurisdictions.</w:t>
      </w:r>
    </w:p>
    <w:p>
      <w:pPr>
        <w:spacing w:after="0" w:line="16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Acquisitions also frequently result in the recording of goodwill and other intangible assets that are subject to potential impairments in the future that could harm our financial results. For example, as part of our annual goodwill impairment test during the fiscal quarter ended April 30, 2025, we determined the carrying value of the UGV reporting unit exceeded its fair value due to a decrease in forecasted results of the UGV reporting unit resulting from reduced probability and delays of obtaining certain opportunities as well as an increase in forecast expenditures to support operational decisions identified during the fiscal quarter ended April 30, 2025. Due to the changes in estimates, we recorded a goodwill impairment charge of $18.4 million and accelerated amortization of certain UGV intangibles of $4.3 million for our fiscal year ended April 30, 2025. During the fiscal year ended April 30, 2023, we recorded a MUAS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goodwill impairment charge of $156.0 million and accelerated amortization of certain MUAS intangibles of $34.1 million for the MUAS reporting unit. The MUAS related charges resulted from decreases in expected cash flows associated with us not being down selected for a U.S. DoD program of record and the closure of all of our MEUAS COCO sites in the fiscal year ended April 30, 2023. In addition, if we finance acquisitions by issuing equity, or securities convertible into equity, such as the stock issued as consideration for the purchases of BlueHalo, Arcturus and Tomahawk, then our existing stockholders may be diluted, which could lower the market price of our common stock. Further, as lock-up and other restrictions on such consideration shares lapse, we could experience heightened trading activity that could disrupt the market price for our common stock. If we finance acquisitions through debt, such as the credit facilities we entered into in connection with the consummation of our acquisition of Arcturus and subsequently amended with our acquisition of BlueHalo, then such future debt financing may contain covenants or other provisions that limit our operational or financial flexibility and represent default risk if we are unable to maintain certain financial performance metrics while the debt remains outstanding.</w:t>
      </w:r>
    </w:p>
    <w:p>
      <w:pPr>
        <w:spacing w:after="0" w:line="19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It is possible that following an acquisition, the integration process could result in the loss of key employees, the loss of customers, the disruption of either or both of our and the acquired company’s ongoing businesses, inconsistencies in standards, controls, procedures and policies, unexpected integration issues including the integration of IT systems, higher than expected integration costs and an overall post-completion integration process that takes longer than originally anticipated. In addition, the actual integration may result in additional and unforeseen expenses. If we are not able to adequately address integration challenges, we may be unable to successfully integrate operations, and the anticipated benefits of the acquisition may not be realized.</w:t>
      </w:r>
    </w:p>
    <w:p>
      <w:pPr>
        <w:spacing w:after="0" w:line="189" w:lineRule="exact"/>
        <w:rPr>
          <w:sz w:val="20"/>
          <w:szCs w:val="20"/>
          <w:color w:val="auto"/>
        </w:rPr>
      </w:pPr>
    </w:p>
    <w:p>
      <w:pPr>
        <w:jc w:val="both"/>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In addition, we must achieve the anticipated growth and cost savings without adversely affecting current revenues and investments in future growth. If we are not able to successfully achieve these objectives, the anticipated synergies and other benefits of the acquisition may not be realized fully, or at all, or may take longer to realize than expected.</w:t>
      </w:r>
    </w:p>
    <w:p>
      <w:pPr>
        <w:spacing w:after="0" w:line="2" w:lineRule="exact"/>
        <w:rPr>
          <w:sz w:val="20"/>
          <w:szCs w:val="20"/>
          <w:color w:val="auto"/>
        </w:rPr>
      </w:pPr>
    </w:p>
    <w:p>
      <w:pPr>
        <w:ind w:left="60" w:right="839"/>
        <w:spacing w:after="0" w:line="260" w:lineRule="auto"/>
        <w:rPr>
          <w:sz w:val="20"/>
          <w:szCs w:val="20"/>
          <w:color w:val="auto"/>
        </w:rPr>
      </w:pPr>
      <w:r>
        <w:rPr>
          <w:rFonts w:ascii="Times New Roman" w:cs="Times New Roman" w:eastAsia="Times New Roman" w:hAnsi="Times New Roman"/>
          <w:sz w:val="18"/>
          <w:szCs w:val="18"/>
          <w:color w:val="auto"/>
        </w:rPr>
        <w:t>Additionally, we may inherit from acquired companies legal, regulatory, and other risks that occurred prior to the acquisition, whether known or unknown to us, which may be material.</w:t>
      </w:r>
    </w:p>
    <w:p>
      <w:pPr>
        <w:spacing w:after="0" w:line="18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Actual growth, cost and capital expenditure synergies and other cost savings, if achieved, may be lower than what we expect and may take longer to achieve than anticipated. Moreover, at times the attention of the management and resources may be focused on the business integration and diverted from day-to-day business operations or other opportunities that may have been beneficial to us, which may disrupt our ongoing business.</w:t>
      </w:r>
    </w:p>
    <w:p>
      <w:pPr>
        <w:spacing w:after="0" w:line="180"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we fail to properly evaluate acquisitions or investments,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176"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intangible assets on our consolidated financial statements that are subject to impairment based upon future adverse changes in our business or prospects, such as the impairment recorded for the MUAS and UGV reporting units.</w:t>
      </w:r>
    </w:p>
    <w:p>
      <w:pPr>
        <w:spacing w:after="0" w:line="17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As of April 30, 2025, the carrying values of goodwill and identifiable intangible assets on our balance sheet were $256.8 million and $48.7 million, respectively. With the acquisition of BlueHalo, the carrying values of goodwill and identifiable intangible assets will increase significantly in fiscal year 2026. We perform our annual impairment tests during the fourth quarter of each fiscal year or when events or circumstances change in a manner that indicates an asset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pacing w:after="0" w:line="188"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During our annual impairment test during the fiscal quarter ended April 30, 2025, we determined the carrying value of the UGV reporting unit exceeded its fair value due to a decrease in forecasted results of the UGV reporting unit resulting from reduced probability and delays of obtaining certain opportunities as well as an increase in forecast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spacing w:after="0" w:line="266" w:lineRule="auto"/>
        <w:rPr>
          <w:sz w:val="20"/>
          <w:szCs w:val="20"/>
          <w:color w:val="auto"/>
        </w:rPr>
      </w:pPr>
      <w:r>
        <w:rPr>
          <w:rFonts w:ascii="Times New Roman" w:cs="Times New Roman" w:eastAsia="Times New Roman" w:hAnsi="Times New Roman"/>
          <w:sz w:val="18"/>
          <w:szCs w:val="18"/>
          <w:color w:val="auto"/>
        </w:rPr>
        <w:t>expenditures to support operational decisions identified during the fiscal quarter ended April 30, 2025. The changes in estimates resulted in the recognition of a goodwill impairment charge of $18.4 million in the UGV reporting unit and accelerated intangible amortization expenses of $4.3 million during the fiscal year ended April 30, 2025.</w:t>
      </w:r>
    </w:p>
    <w:p>
      <w:pPr>
        <w:spacing w:after="0" w:line="17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used in the valuation of the MUAS reporting unit. These changes in estimates, resulted in the recognition of a goodwill impairment charge of $156.0 million in the MUAS reporting unit. Additionally, the closure of all of our MEUAS COCO sites resulted in accelerated intangible amortization expenses of $34.1 million during the fiscal year ended April 30, 2023. Accordingly, the MUAS reporting unit was considered at an increased risk of failing future quantitative goodwill impairment tests as the estimated fair value of the MUAS reporting unit did not substantially exceed its carrying value. During the annual impairment test during the fiscal quarter ended April 30, 2025, the MUAS reporting unit was no longer considered at an increased risk of failing future quantitative goodwill impairment tests due to an increase in the estimated fair value of the reporting unit from significant increases in forecasted results.</w:t>
      </w:r>
    </w:p>
    <w:p>
      <w:pPr>
        <w:spacing w:after="0" w:line="19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Fair value determinations utilized in the quantitative goodwill impairment test require considerable judgment and are sensitive to changes in underlying assumptions, estimates, and market factors. Estimating the fair value of individual reporting units requires us to make assumptions and estimates regarding future plans, as well as industry, economic, and regulatory conditions. These assumptions and estimates include estimated future annual net cash flows, income tax rates, discount rates, growth rates, and other market factors. Estimated future annual net cash flows based in part upon our ability to obtain contracts from the U.S. DoD and foreign allied nations and negotiate the estimated pricing are considered the most significant, sensitive assumptions. Actual results can be materially different from the estimates and assumptions. If current expectations of future growth rates and margins are not met, if market factors outside of our control, such as discount rates, income tax rates, or inflation, change, or if management’s expectations or plans otherwise change, including updates to long-term operating plans, then we could recognize further future impairment charges, the amount of which could be material.</w:t>
      </w:r>
    </w:p>
    <w:p>
      <w:pPr>
        <w:spacing w:after="0" w:line="18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substantial borrowings under our credit facilities could adversely affect our financial condition and restrict our operating flexibility.</w:t>
      </w:r>
    </w:p>
    <w:p>
      <w:pPr>
        <w:spacing w:after="0" w:line="15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On February 19, 2021, in connection with the consummation of the Arcturus acquisition, we entered into a credit agreement with certain lenders, letter of credit issuers, and others (as amended February 4, 2022, June 6, 2023, October 4, 2024 and May 1, 2025 the “Credit Agreement”), which, together with its associated Security and Pledge Agreement, provides for a $700.0 million term A loan (the “Term A Loan”) and provides for a revolving commitment in an aggregate principal amount of $350.0 million (the “Revolving Facility” and together with the Term A Loan, the “Credit Facilities”). The Term A Loan matures on May 1, 2027, the two year anniversary of the closing of the BlueHalo acquisition, and amortizes at a rate of 5.00% per annum, with the remaining outstanding principal amount due and payable on the maturity date. The applicable margin on the Term A Loan is based upon our Consolidated Leverage Ratio (as defined in the Credit Agreement) and whether we elect as its benchmark rate (i) SOFR (in which case, the applicable margin ranges from 1.50 - 2.50% per annum depending on our Consolidated Leverage Ratio) plus a credit spread adjustment of 0.10% or (ii) Base Rate (in which case, the applicable margin ranges from 0.50 - 1.50% per annum depending on our Consolidated Leverage Ratio). Upon the occurrence of an event of default, an additional 2.00% per annum default interest rate may apply. Mandatory prepayments of the Term A Loan are required in connection with (i) the disposition of certain assets to the extent not reinvested and (ii) the incurrence of non-permitted debt.</w:t>
      </w:r>
    </w:p>
    <w:p>
      <w:pPr>
        <w:spacing w:after="0" w:line="19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On the closing date of the BlueHalo acquisition, the Term A Loan was drawn in full for $700.0 million, and we borrowed approximately $225.0 million from our available Revolving Facility, the combined proceeds of which were used to repay certain outstanding indebtedness of BlueHalo upon the closing of the acquisition of BlueHalo and to pay for certain related transaction costs. Following the BlueHalo acquisition, as of May 1, 2025, the total amount of borrowings outstanding under the Credit Facilities was $955.0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support of our obligations under the Credit Facilities, we have granted security interests in substantially all of our personal property and that of our domestic subsidiaries, including a pledge of the equity interests in our subsidiaries (limited to 65% of outstanding equity interests in the case of our foreign subsidiaries), subject to customary exclusions and exceptions. In addition, our domestic subsidiaries, including BlueHalo and Arcturus, are required to be guarantors of the Credit Facilities.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our increased level of indebtedness may have important consequences to us, including:</w:t>
      </w:r>
    </w:p>
    <w:p>
      <w:pPr>
        <w:spacing w:after="0" w:line="225"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general economic and industry conditions;</w:t>
      </w:r>
    </w:p>
    <w:p>
      <w:pPr>
        <w:spacing w:after="0" w:line="225" w:lineRule="exact"/>
        <w:rPr>
          <w:rFonts w:ascii="Times New Roman" w:cs="Times New Roman" w:eastAsia="Times New Roman" w:hAnsi="Times New Roman"/>
          <w:sz w:val="18"/>
          <w:szCs w:val="18"/>
          <w:color w:val="auto"/>
        </w:rPr>
      </w:pPr>
    </w:p>
    <w:p>
      <w:pPr>
        <w:jc w:val="both"/>
        <w:ind w:left="1040" w:right="11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flows to the payment of interest and when applicable, principal, on our indebtedness and other obligations thereby reducing the availability of our cash flow to fund working capital, capital expenditures, R&amp;D efforts, execution of our business strategy, acquisitions and other general corporate purposes;</w:t>
      </w:r>
    </w:p>
    <w:p>
      <w:pPr>
        <w:spacing w:after="0" w:line="179"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the economy, the defense industry, and the markets in which we operate;</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maintenance of various financial covenants and adherence to certain other affirmative and negative covenants, requiring us to seek lender consent or waiver in relation to our financial performance or other potential strategic actions in the future;</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with less indebtedness;</w:t>
      </w:r>
    </w:p>
    <w:p>
      <w:pPr>
        <w:spacing w:after="0" w:line="225" w:lineRule="exact"/>
        <w:rPr>
          <w:rFonts w:ascii="Times New Roman" w:cs="Times New Roman" w:eastAsia="Times New Roman" w:hAnsi="Times New Roman"/>
          <w:sz w:val="18"/>
          <w:szCs w:val="18"/>
          <w:color w:val="auto"/>
        </w:rPr>
      </w:pPr>
    </w:p>
    <w:p>
      <w:pPr>
        <w:ind w:left="1040" w:right="29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substantial interest rate risk due to the variable interest rate under the Credit Facilities, such that, if interest rates were to increase substantially during the term of the Credit Facilities, the resulting increase in our interest payment obligations could adversely affect our operating results and our ability to service the indebtedness under the Credit Facilities; and</w:t>
      </w:r>
    </w:p>
    <w:p>
      <w:pPr>
        <w:spacing w:after="0" w:line="179"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borrow additional funds in the future to fund our growth, acquisitions, working capital, capital expenditures, and other purposes.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the extent we incur additional indebtedness, the risks described above could increase.</w:t>
      </w:r>
    </w:p>
    <w:p>
      <w:pPr>
        <w:spacing w:after="0" w:line="225"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If we do not have sufficient funds to repay the Term A Loan when it becomes due in 2027, it may be necessary to refinance our debt through additional debt or equity financings. Any refinancing with new debt could be at higher interest rates and may require us to comply with more onerous covenants than the Credit Agreement, which could further restrict our business operations. Any refinancing through our sale of equity or equity-linked securities would result in further dilution to our stockholders or may provide for rights, preferences or privileges senior to those of holders of our common stock.</w:t>
      </w:r>
    </w:p>
    <w:p>
      <w:pPr>
        <w:spacing w:after="0" w:line="187"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upon the occurrence and during the continuation of which, after any applicable grace period, the lenders would have the ability to declare the loans due and payable in whole or in part. Among other things, if we fail to make required debt payments, or if we fail to comply with financial or other covenants in the Credit Agreement, we would be in default under the terms thereof. The Credit Agreement contains customary negative covenants that include, subject to customary exclusions:</w:t>
      </w:r>
    </w:p>
    <w:p>
      <w:pPr>
        <w:spacing w:after="0" w:line="183"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additional liens on our assets;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incurring additional indebtedness;</w:t>
      </w:r>
    </w:p>
    <w:p>
      <w:pPr>
        <w:spacing w:after="0" w:line="9" w:lineRule="exact"/>
        <w:rPr>
          <w:rFonts w:ascii="Times New Roman" w:cs="Times New Roman" w:eastAsia="Times New Roman" w:hAnsi="Times New Roman"/>
          <w:sz w:val="18"/>
          <w:szCs w:val="18"/>
          <w:color w:val="auto"/>
        </w:rPr>
      </w:pPr>
    </w:p>
    <w:p>
      <w:pPr>
        <w:ind w:left="1040" w:right="479" w:hanging="315"/>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new investments, including acquisitions, mergers, investments in subsidiaries that are not guarantors of the debt, and joint ventures;</w:t>
      </w: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disposal of assets;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payments of cash dividends;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changing the nature of our business;</w:t>
      </w:r>
    </w:p>
    <w:p>
      <w:pPr>
        <w:spacing w:after="0" w:line="27" w:lineRule="exact"/>
        <w:rPr>
          <w:rFonts w:ascii="Times New Roman" w:cs="Times New Roman" w:eastAsia="Times New Roman" w:hAnsi="Times New Roman"/>
          <w:sz w:val="18"/>
          <w:szCs w:val="18"/>
          <w:color w:val="auto"/>
        </w:rPr>
      </w:pPr>
    </w:p>
    <w:p>
      <w:pPr>
        <w:ind w:left="1040" w:right="419" w:hanging="315"/>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maintain a maximum consolidated leverage ratio and a minimum fixed charge coverage ratio;</w:t>
      </w: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changes to our accounting policies;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payments of any junior indebtedness.</w:t>
      </w:r>
    </w:p>
    <w:p>
      <w:pPr>
        <w:spacing w:after="0" w:line="20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To the extent we would wish to engage in any of the prohibited behaviors, we would need to obtain consent under the Credit Agreement, which may not be timely forthcoming or at all. If a default event were to occur, we may not have sufficient available cash to repay such outstanding debt obligations at the time they become due or be able to refinance such debt on acceptable terms or at all.</w:t>
      </w:r>
    </w:p>
    <w:p>
      <w:pPr>
        <w:spacing w:after="0" w:line="180"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limitations or events could materially and adversely affect our financial condition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various risks related to pandemics and similar public health crises, which may adversely impact our business.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Global pandemics and similar public health crises, such as the COVID-19 coronavirus pandemic. Although our operations mostly continued uninterrupted during the COVID-19 pandemic, we cannot predict the effect of future public health crises on our business and operations. Pandemics and other public health crises may require the adoption of work from home protocols, social distancing measures in the workplace, international travel restrictions, vaccine mandates and other responsive actions and other changes to our operations. Public health crises may result in travel disruptions, quarantine requirements or other similar logistics restrictions, may further reduce our and our customers’ capabilities to travel, domestically and internationally, which may impact our ability to perform certain contracts, develop and renew contracts, or market our products, or could otherwise disrupt portions of our business and have a material adverse effect on our results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are subject to the risks of earthquakes and other natural catastrophic events.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have research and development and manufacturing operations located in California in regions known for seismic activity and wildfires, and in other areas prone to natural disasters. While we maintain insurance coverage to cover certain of risks of losses for damage or destruction to facilities and property and for interruption of our business, such insurance may not cover specific losses and the amount of our insurance coverage may not be adequate to cover all of our losses. A significant natural disaster, such as an earthquake, fire or other catastrophic event, could severely affect our ability to conduct normal business operations, and as a result, our future operating results could be materially and adversely affected, including if our losses are not adequately or timely covered by our insurance.</w:t>
      </w:r>
    </w:p>
    <w:p>
      <w:pPr>
        <w:spacing w:after="0" w:line="18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self-insure a portion of our health insurance program, which may expose us to unexpected costs and negatively affect our results of operations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We are self-insured for the majority of our employee medical claims, subject to individual and aggregate stop loss insurance policies. We estimate liability for claims filed and incurred but not reported based upon recent claims experience and an analysis of the average period between the occurrence of a claim and the time it is reported to and paid by us.</w:t>
      </w:r>
    </w:p>
    <w:p>
      <w:pPr>
        <w:spacing w:after="0" w:line="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However, unanticipated changes in assumptions and management estimates underlying our recorded liabilities for medical claims could result in materially different amounts of expense than expected under our health insurance program, which could have an adverse material impact on our financial condition and results of operations.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Recession, financial and credit market disruptions may adversely affect us.</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If another global recession emerges, we may experience declines in revenues, profitability and cash flows from reduced orders, payment delays, collection difficulties, increased price pressures for our products, increased risk of excess and obsolete inventories or other factors caused by the economic problems of our customers. If negative conditions in the global credit markets prevent our customers from having access to credit or render them insolvent, orders for our products may decrease, which would result in lower revenue. Likewise, if our suppliers face challenges in obtaining credit, selling their products, or otherwise in operating their businesses or remaining solvent, they may become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unable to offer the materials we use to manufacture our products. An economic or credit crisis could also have an impact on our ability to raise capital when needed. These events could adversely impact our ability to manufacture affected products and could also result in reductions in our revenue, increased price competition, and increased operating costs, which could adversely affect our business, financial condition, operational results, and cash flows.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U.S. Government Contracts</w:t>
      </w:r>
    </w:p>
    <w:p>
      <w:pPr>
        <w:spacing w:after="0" w:line="22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of April 30, 2025, we were classified as a small business defense contractor. The loss of our small business status may adversely affect our ability to compete for small business set aside US government contracts.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of April 30, 2025 we had fewer than 1,500 employees, and we are presently classified as a small business defense contractor under our primary North American Industry Classification Systems (“NAICS”) industry and product specific codes (336411 - Aircraft Manufacturing) which are regulated in the United States by the Small Business Administration (“SBA”). Businesses that meet the small business size standard for the relevant NAICS code are able to bid on small business set aside contracts. While we do not presently derive a substantial portion of our business from contracts which are set aside for small businesses, we have been able to bid on small business set aside contracts as well as contracts which are open to non-small business entities. With the acquisition of BlueHalo, we exceed 1,500 employees and no longer qualify as a small business, which could limit our ability to partner with other business entities that seek to team with small business entities as may be required under a specific contract. We will not be eligible to serve as the prime contractor on small business set aside programs and may need to implement a small business subcontracting plan with other companies that qualify as a small business, for SBA approval. The loss of our small business classification could have a material adverse effect on our financial position and/or results of operations.</w:t>
      </w:r>
    </w:p>
    <w:p>
      <w:pPr>
        <w:spacing w:after="0" w:line="19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Additionally, in accordance with 48 CFR § 9903.201-1(b), Cost Accounting Standards (“CAS”) Applicability, if we are no longer eligible for the small business exemption and we receive a CAS triggering contract of more than $7.5 million, we will be subject to the requirements of modified CAS. If net CAS-covered awards received in the prior year exceed $50 million or we receive a single CAS-covered contract of $50 million or more in the current year, we will be subject to full CAS requirements. We would be required to demonstrate compliance with such standards upon the award of a contract subject to the full range of CAS, which will impose additional administrative costs on our business, and may significantly affect the manner in which we conduct our business with our customers and adversely affect our results of operations.</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15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spacing w:after="0" w:line="176" w:lineRule="exact"/>
        <w:rPr>
          <w:sz w:val="20"/>
          <w:szCs w:val="20"/>
          <w:color w:val="auto"/>
        </w:rPr>
      </w:pPr>
    </w:p>
    <w:p>
      <w:pPr>
        <w:ind w:left="1040" w:right="23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Acquisition Regulations and supplemental agency regulations, which comprehensively regulate the formation and administration of, and performance under, U.S. government contracts;</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Negotiations Act, which requires certification and disclosure of all factual cost and pricing data in connection with contract negotiations;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17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which prohibits U.S. companies from providing anything of value to a foreign official to help obtain, retain or direct business, or obtain any unfair advantage;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39" w:hanging="315"/>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Telecommunications and Information Administration and the Federal Communications Commission, which regulate the wireless spectrum allocations upon which UAS depend for operation and data transmission in the United States;</w:t>
      </w:r>
    </w:p>
    <w:p>
      <w:pPr>
        <w:spacing w:after="0" w:line="17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Aviation Administration, which regulates the use of airspace for all aircraft, including UAS operation in the United States;</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to protect U.S. Government controlled unclassified information (“CUI”), which our suppliers have access to in order to comply with cyber security regulations;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Traffic in Arms Regulations and Export Administration Regulations, which regulate the export of sensitive technology and hardware, including controlled technical data, defense articles and defense services and restrict the countries from which we may purchase materials and services used in the production of certain of our products; and</w:t>
      </w:r>
    </w:p>
    <w:p>
      <w:pPr>
        <w:spacing w:after="0" w:line="179" w:lineRule="exact"/>
        <w:rPr>
          <w:rFonts w:ascii="Times New Roman" w:cs="Times New Roman" w:eastAsia="Times New Roman" w:hAnsi="Times New Roman"/>
          <w:sz w:val="18"/>
          <w:szCs w:val="18"/>
          <w:color w:val="auto"/>
        </w:rPr>
      </w:pPr>
    </w:p>
    <w:p>
      <w:pPr>
        <w:jc w:val="both"/>
        <w:ind w:left="1040" w:right="459" w:hanging="315"/>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executive orders restricting the use and dissemination of information classified for national security purposes or determined to be CUI and the exportation of certain products and technical data.</w:t>
      </w:r>
    </w:p>
    <w:p>
      <w:pPr>
        <w:spacing w:after="0" w:line="176"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Also, we need special security clearances and regulatory approvals to continue working on certain of our projects with the U.S. government. Classified programs generally require that we comply with various executive orders, federal laws and regulations and customer security requirements that may include restrictions on how we develop, store, protect and share information, and may require our employees and facilities to obtain government security clearances. We also must implement controls to protect U.S. government CUI. Failure to implement such controls to protect CUI could jeopardize our ability to continue receiving U.S. government contracts. Additionally, certain of our products are sold to the U.S. government as commercial items. If the U.S. government were to dispute the commercial designation of such items, and absent a successful appeal by us of such designation, the profitability of sales of such items could be negatively affected. Our failure to comply with applicable regulations, rules and approvals; changes in the government’s interpretation of such regulations, rules and approvals as have been and are applied to our contracts, proposals or business or misconduct by any of our employees could result in the imposition of fines and penalties, the loss of security clearances, a decrease in profitability, the loss of our government contracts or our suspension or debarment from contracting with the U.S. government generally, any of which could harm our business, financial condition and results of operations. We are also subject to certain regulations of comparable government agencies in other countries, and our failure to comply with these non-U.S. regulations could also harm our business, financial condition or results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a negative audit or investigation by the U.S. government.</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U.S. government agencies, primarily the DCAA and the DCMA, routinely audit and investigate government contractors. These agencies review a contractor’s performance under its contracts, cost structure and compliance with applicable laws, regulations and standards. These agencies also may review the adequacy of, and a contractor’s compliance with, its internal control systems and policies, including the contractor’s purchasing, quality, accounting, property, estimating, compensation and management information systems.</w:t>
      </w:r>
    </w:p>
    <w:p>
      <w:pPr>
        <w:spacing w:after="0" w:line="183"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Like most government contractors, our contracts are audited and reviewed on a continual basis by the DCMA and the DCAA. The indirect costs we incur in performing government contracts have been audited or have been subject to audit on an annual basis. The audits of our incurred cost claims through fiscal year 2022 have been settled and the audits of BlueHalo’s incurred cost claims through fiscal 2021 have been settled. As of April 30, 2025, we had no reserve for open incurred cost claim audits. In addition, non-audit reviews or investigations by the government may still be conducted on all our government contracts.</w:t>
      </w:r>
    </w:p>
    <w:p>
      <w:pPr>
        <w:spacing w:after="0" w:line="187" w:lineRule="exact"/>
        <w:rPr>
          <w:sz w:val="20"/>
          <w:szCs w:val="20"/>
          <w:color w:val="auto"/>
        </w:rPr>
      </w:pPr>
    </w:p>
    <w:p>
      <w:pPr>
        <w:ind w:left="60" w:right="359" w:firstLine="648"/>
        <w:spacing w:after="0" w:line="289" w:lineRule="auto"/>
        <w:rPr>
          <w:sz w:val="20"/>
          <w:szCs w:val="20"/>
          <w:color w:val="auto"/>
        </w:rPr>
      </w:pPr>
      <w:r>
        <w:rPr>
          <w:rFonts w:ascii="Times New Roman" w:cs="Times New Roman" w:eastAsia="Times New Roman" w:hAnsi="Times New Roman"/>
          <w:sz w:val="17"/>
          <w:szCs w:val="17"/>
          <w:color w:val="auto"/>
        </w:rPr>
        <w:t>Any costs found to be improperly allocated to a specific cost reimbursement contract will not be reimbursed, while such costs already reimbursed must be refunded. If an audit or investigation of our business were to uncover improper or illegal activities, we could be subject to civil and criminal penalties and administrative sanctions, including</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termination of contracts, suspension of payments, fines and suspension or debarment from doing business with the U.S. government. We could experience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spacing w:after="0" w:line="183"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Moreover, if any of our administrative processes and business systems are found not to comply with the applicable requirements, we may be subjected to increased government scrutiny or required to obtain additional governmental approvals that could delay or otherwise adversely affect our ability to compete for or perform contracts. Our purchasing system was most recently reviewed and approved again in February 2025 and BlueHalo’s purchasing system was recently reviewed and approved again in April 2025. An unfavorable outcome to such an audit or investigation by the DCAA, U.S. Department of Justice (“DOJ”), or other government agency, could materially adversely affect our competitive position, affect our ability to obtain new government business, and obtain the maximum price for our products and services, and result in a substantial reduction of our revenues.</w:t>
      </w:r>
    </w:p>
    <w:p>
      <w:pPr>
        <w:spacing w:after="0" w:line="19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could be materially harmed.</w:t>
      </w:r>
    </w:p>
    <w:p>
      <w:pPr>
        <w:spacing w:after="0" w:line="176"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the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188"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contracts with the U.S. government allow it to use inventions developed under the contracts and to disclose technical data to third parties, which could harm our ability to compete.</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Some of our contracts allow the U.S. government to use, royalty-free, or have others use, inventions or intellectual property developed under those contracts on behalf of the government. Some of the contracts allow the federal government to disclose technical data without constraining the recipient on how that data is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spacing w:after="0" w:line="185" w:lineRule="exact"/>
        <w:rPr>
          <w:sz w:val="20"/>
          <w:szCs w:val="20"/>
          <w:color w:val="auto"/>
        </w:rPr>
      </w:pPr>
    </w:p>
    <w:p>
      <w:pPr>
        <w:ind w:left="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 government contracts are generally not fully funded at inception, contain certain provisions that may be unfavorable to us and may be undefinitized at the time of the start of performance, which could prevent us from realizing our contract backlog and materially harm our business and results of operations.</w:t>
      </w:r>
    </w:p>
    <w:p>
      <w:pPr>
        <w:spacing w:after="0" w:line="175" w:lineRule="exact"/>
        <w:rPr>
          <w:sz w:val="20"/>
          <w:szCs w:val="20"/>
          <w:color w:val="auto"/>
        </w:rPr>
      </w:pPr>
    </w:p>
    <w:p>
      <w:pPr>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funds are committed only as Congress makes further appropriations. The termination or reduction of funding for a government program would result in a loss of anticipated future revenue attributable to that program.</w:t>
      </w:r>
    </w:p>
    <w:p>
      <w:pPr>
        <w:spacing w:after="0" w:line="162" w:lineRule="exact"/>
        <w:rPr>
          <w:sz w:val="20"/>
          <w:szCs w:val="20"/>
          <w:color w:val="auto"/>
        </w:rPr>
      </w:pPr>
    </w:p>
    <w:p>
      <w:pPr>
        <w:ind w:left="60" w:right="239" w:firstLine="648"/>
        <w:spacing w:after="0" w:line="312" w:lineRule="auto"/>
        <w:rPr>
          <w:sz w:val="20"/>
          <w:szCs w:val="20"/>
          <w:color w:val="auto"/>
        </w:rPr>
      </w:pPr>
      <w:r>
        <w:rPr>
          <w:rFonts w:ascii="Times New Roman" w:cs="Times New Roman" w:eastAsia="Times New Roman" w:hAnsi="Times New Roman"/>
          <w:sz w:val="17"/>
          <w:szCs w:val="17"/>
          <w:color w:val="auto"/>
        </w:rPr>
        <w:t>The actual receipt of revenue on awards included in backlog may never occur or may change because a program schedule could change or the program could be canceled, or a contract could be reduced, modified or terminated early.</w:t>
      </w:r>
    </w:p>
    <w:p>
      <w:pPr>
        <w:spacing w:after="0" w:line="14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negative impact on our results of operations and financial condition. Termination arising out of our default could result in damage to our reputation,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18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Furthermore, we may operate from time to time under UCAs or UCOs, under which we may begin performance at the direction of the U.S. government prior to completing contract negotiations regarding pricing, specifications and other terms. Under a UCA, the U.S. government has the ability to unilaterally definitize contracts and, absent a successful appeal of such action, the unilateral definitization of the contract would obligate us to perform under terms and conditions imposed by the U.S. government. Such unilaterally imposed contract terms could include less favorable pricing and/or terms and conditions more burdensome than those negotiated in other circumstances, which could negatively affect our expected profitability under such contract and could negatively affect our results of operations.</w:t>
      </w:r>
    </w:p>
    <w:p>
      <w:pPr>
        <w:spacing w:after="0" w:line="18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government contracts are subject to a competitive bidding process that can consume significant resources without generating any revenue.</w:t>
      </w:r>
    </w:p>
    <w:p>
      <w:pPr>
        <w:spacing w:after="0" w:line="159" w:lineRule="exact"/>
        <w:rPr>
          <w:sz w:val="20"/>
          <w:szCs w:val="20"/>
          <w:color w:val="auto"/>
        </w:rPr>
      </w:pPr>
    </w:p>
    <w:p>
      <w:pPr>
        <w:ind w:left="60" w:right="179" w:firstLine="648"/>
        <w:spacing w:after="0" w:line="277" w:lineRule="auto"/>
        <w:rPr>
          <w:sz w:val="20"/>
          <w:szCs w:val="20"/>
          <w:color w:val="auto"/>
        </w:rPr>
      </w:pPr>
      <w:r>
        <w:rPr>
          <w:rFonts w:ascii="Times New Roman" w:cs="Times New Roman" w:eastAsia="Times New Roman" w:hAnsi="Times New Roman"/>
          <w:sz w:val="17"/>
          <w:szCs w:val="17"/>
          <w:color w:val="auto"/>
        </w:rPr>
        <w:t>U.S. government contracts are frequently awarded only after formal, protracted competitive bidding processes and, in many cases, unsuccessful bidders for U.S. government contracts may protest contract awards through various agency, administrative and judicial channels. We derive significant revenue from U.S. government contracts that were awarded through a competitive bidding process. Much of the business that we expect to seek in the foreseeable future will likely be awarded through competitive bidding. Competitive bidding presents a number of risks, including the following:</w:t>
      </w:r>
    </w:p>
    <w:p>
      <w:pPr>
        <w:spacing w:after="0" w:line="168" w:lineRule="exact"/>
        <w:rPr>
          <w:sz w:val="20"/>
          <w:szCs w:val="20"/>
          <w:color w:val="auto"/>
        </w:rPr>
      </w:pPr>
    </w:p>
    <w:p>
      <w:pPr>
        <w:ind w:left="1040" w:right="39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bid on programs in advance of the completion of their design, which may result in unforeseen technological difficulties and cost overruns;</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 and managerial time and effort that must be spent to prepare bids and proposals for contracts that may not be awarded to us;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estimate accurately the resources and cost structure that will be required to service any contract we are awarded; and</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61"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p>
      <w:pPr>
        <w:spacing w:after="0" w:line="18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 to operate for a number of years in the market for goods and services that are provided under those contracts. If we are unable to win new contract awards over any extended period consistently, then our business and prospects will be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procurement rules and regulations, which increase our performance and compliance costs under our U.S. government contracts.</w:t>
      </w:r>
    </w:p>
    <w:p>
      <w:pPr>
        <w:spacing w:after="0" w:line="159"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We must comply with, and are affected by, laws and regulations relating to the formation, administration and performance of U.S. government contracts. These laws and regulations, among other things, require certification and disclosure of all cost and pricing data in connection with contract negotiation, define allowable and unallowable costs and otherwise govern our right to reimbursement under certain cost-based U.S. government contracts, and restrict the use and dissemination of classified information and the exportation of certain products and technical data. These requirements, although customary in U.S. government contracts, increase our performance and compliance costs. These costs might increase in the future, reducing our margins, which could have a negative effect on our financial condition. Although we believe we have implemented procedures to comply with these regulations and requirements, the regulations and requirements are complex and change frequently. Our or our agents’ failure to comply with these regulations and requirements under certain circumstances could lead to suspension or debarment from U.S. government contracting or subcontracting for a period of time and could have a negative effect on our reputation and ability to receive other U.S. government contract awards in the future.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Requirements</w:t>
      </w:r>
    </w:p>
    <w:p>
      <w:pPr>
        <w:spacing w:after="0" w:line="225"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could be prohibited from shipping our products to certain countries if we are unable to obtain U.S. government authorization regarding the export of our products and services, or if current or future export laws limit or otherwise restrict our business. In addition, failure to comply with export laws could result in fines, export restrictions and other sanctions and penalties.</w:t>
      </w:r>
    </w:p>
    <w:p>
      <w:pPr>
        <w:spacing w:after="0" w:line="180" w:lineRule="exact"/>
        <w:rPr>
          <w:sz w:val="20"/>
          <w:szCs w:val="20"/>
          <w:color w:val="auto"/>
        </w:rPr>
      </w:pPr>
    </w:p>
    <w:p>
      <w:pPr>
        <w:ind w:left="60" w:right="179" w:firstLine="648"/>
        <w:spacing w:after="0" w:line="274" w:lineRule="auto"/>
        <w:rPr>
          <w:sz w:val="20"/>
          <w:szCs w:val="20"/>
          <w:color w:val="auto"/>
        </w:rPr>
      </w:pPr>
      <w:r>
        <w:rPr>
          <w:rFonts w:ascii="Times New Roman" w:cs="Times New Roman" w:eastAsia="Times New Roman" w:hAnsi="Times New Roman"/>
          <w:sz w:val="17"/>
          <w:szCs w:val="17"/>
          <w:color w:val="auto"/>
        </w:rPr>
        <w:t>We must comply with U.S. and other laws regulating the export of our products and services. In some cases, explicit authorization from the relevant U.S. government authorities is needed to export our products and services. The export regulations and the governing policies applicable to our business are subject to change. We cannot provide assurance that such export authorizations will be available for our products and services in the future. Compliance with these laws has not significantly limited our operations or our sales in the recent past but could significantly limit them in the future. We maintain an export compliance program but there are risks that our compliance controls may be ineffective.</w:t>
      </w:r>
    </w:p>
    <w:p>
      <w:pPr>
        <w:spacing w:after="0" w:line="173" w:lineRule="exact"/>
        <w:rPr>
          <w:sz w:val="20"/>
          <w:szCs w:val="20"/>
          <w:color w:val="auto"/>
        </w:rPr>
      </w:pPr>
    </w:p>
    <w:p>
      <w:pPr>
        <w:ind w:left="60" w:right="499" w:firstLine="648"/>
        <w:spacing w:after="0" w:line="261" w:lineRule="auto"/>
        <w:rPr>
          <w:sz w:val="20"/>
          <w:szCs w:val="20"/>
          <w:color w:val="auto"/>
        </w:rPr>
      </w:pPr>
      <w:r>
        <w:rPr>
          <w:rFonts w:ascii="Times New Roman" w:cs="Times New Roman" w:eastAsia="Times New Roman" w:hAnsi="Times New Roman"/>
          <w:sz w:val="18"/>
          <w:szCs w:val="18"/>
          <w:color w:val="auto"/>
        </w:rPr>
        <w:t>Any failure to comply with the export laws and regulations in the future can subject us to additional fines, penalties and sanctions, including suspension of export privileges, which could have a material adverse impact on our business, operations and financial condition and limit or prevent us from being able to sell our products in certain international jurisdictions.</w:t>
      </w:r>
    </w:p>
    <w:p>
      <w:pPr>
        <w:spacing w:after="0" w:line="176"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government investigations, which could have a material adverse effect on our business, financial condition, results of operations, cash flows and equity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U.S. government contractors are subject to extensive legal and regulatory requirements, including International Traffic in Arms Regulations (“ITAR”) and U.S. Foreign Corrupt Practices Act (“FCPA”), and from time to time agencies of the U.S. government investigate whether we have been and are operating in accordance with these requirements. Under U.S. government regulations, an indictment of AeroVironment by a federal grand jury, or an administrative finding against us as to our present responsibility to be a U.S. government contractor or subcontractor, could result in us being suspended for a period of time from eligibility for awards of new government contracts or task orders or in a loss of export privileges, which could have a material adverse effect on our business, financial condition, results of operations, cash flows and equity. A conviction, or an administrative finding against us that satisfies the requisite level of seriousness, could result in debarment from contracting with the U.S. government for a specific term, which could have a material adverse effect on our business, financial condition, results of operations, cash flows and equity.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obtain necessary regulatory approvals from the FAA or other governmental agencies, or limitations put on the use of SUAS, MUAS and C-UAS in response to public privacy concerns, may prevent us from expanding the sales of our SUAS, MUAS and C-UAS to non-military customers in the United States.</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regulation of SUAS, MUAS and C-UAS for commercial use in the United States is undergoing substantial change and the ultimate treatment is uncertain. In 2006, the FAA issued a clarification of its existing policies stating that, in order to engage in commercial use of SUAS and MUAS in the U.S. National Airspace System, a public operator must obtain a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uncrewed aircraft system complies with appropriate cloud and terrain clearances and that the operator or spotter of the small uncrewed aircraft system is generally within one half-mile laterally and 400 feet vertically of the small uncrewed aircraft system while in operation. Furthermore, the FAA’s clarification of existing policy stated that the rules for radio-controlled hobby aircraft do not apply to public or commercial use of SUAS and MUAS.</w:t>
      </w:r>
    </w:p>
    <w:p>
      <w:pPr>
        <w:spacing w:after="0" w:line="19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February 14, 2012, the FAA Modernization and Reform Act of 2012 was enacted, establishing various deadlines for the FAA to allow expanded use of SUAS and MUAS for both public and commercial applications. On June 21, 2016, the FAA released its final rules regarding the routine use of certain SUAS (under 55 pounds) in the U.S. National Airspace System pursuant to the act (the “Part 107 Rules”). The Part 107 Rules, which became effective in August 2016, provided safety regulations for SUAS conducting non-recreational operations and contain various limitations and restrictions for such operations, including a requirement that operators keep UAS within visual-line-of-sight and prohibiting flights over unprotected people on the ground who are not directly participating in the operation of the UAS. Additionally, in December 2019, the FAA proposed rules regarding remote UAS identification, which final rule became effective on September 16, 2023. In April 2021, the final rule for operation of SUAS over people went into effect, which permits routine operations of small, uncrewed aircraft over people, moving vehicles, and at night under certain conditions. The FAA has also introduced proposed rules for a new policy regarding the airworthiness certification of a newly created special class of UAS, which rules are not yet in effect.</w:t>
      </w:r>
    </w:p>
    <w:p>
      <w:pPr>
        <w:spacing w:after="0" w:line="19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It is unclear when, if ever, the FAA will create a new class of UAS and what the final rules regarding the certification of such new class of UAS will state. We cannot assure you that the Part 107 Rules, or any final rules enacted in furtherance on the FAA’s announced proposals, will result in the expanded use of our SUAS and MUAS by law enforcement or other non-military government agencies or commercial entities and we may not be able to expand our sales of SUAS and MUAS beyond our military customers, which could harm our business prospects.</w:t>
      </w:r>
    </w:p>
    <w:p>
      <w:pPr>
        <w:spacing w:after="0" w:line="183"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In addition, there exists public concern regarding the privacy implications of U.S. commercial and law enforcement use of SUAS. This concern has included calls to develop explicit written policies and procedures establishing usage limitations. We cannot assure you that the response from regulatory agencies, customers and privacy advocates to these concerns will not delay or restrict the adoption of SUAS, MUAS and C-UAS by non-military customers.</w:t>
      </w:r>
    </w:p>
    <w:p>
      <w:pPr>
        <w:spacing w:after="0" w:line="164"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deployment of C-UAS that utilize RF and directed energy is subject to stringent regulatory scrutiny, which could limit the sales and operational deployment of these technologies. Non-compliance with these evolving regulations could lead to fines, operational restrictions, or other penalties that may adversely affect our business.</w:t>
      </w:r>
    </w:p>
    <w:p>
      <w:pPr>
        <w:spacing w:after="0" w:line="1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dependent upon our employees obtaining and maintaining required security clearances, as well as our ability to obtain security clearances for the facilities in which we perform sensitive government work.</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Certain of our U.S. government contracts require our employees to maintain various levels of security clearances, and we are required to maintain certain facility security clearances complying with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 clearances or terminate employment with us, then a customer requiring classified work could terminate the contract or decide not to renew 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1" w:lineRule="auto"/>
        <w:rPr>
          <w:sz w:val="20"/>
          <w:szCs w:val="20"/>
          <w:color w:val="auto"/>
        </w:rPr>
      </w:pPr>
      <w:r>
        <w:rPr>
          <w:rFonts w:ascii="Times New Roman" w:cs="Times New Roman" w:eastAsia="Times New Roman" w:hAnsi="Times New Roman"/>
          <w:sz w:val="17"/>
          <w:szCs w:val="17"/>
          <w:color w:val="auto"/>
        </w:rPr>
        <w:t>upon its expiration. In addition, we expect that many of the contracts on which we will bid will require us to demonstrate our ability to obtain facility security clearances and employ personnel with specified types of security clearances. To the extent that we are not able to obtain facility security clearances or engage employees with the required security clearances for a particular contract, we may not be able to bid on or win new contracts, or effectively rebid on expiring contracts.</w:t>
      </w:r>
    </w:p>
    <w:p>
      <w:pPr>
        <w:spacing w:after="0" w:line="160"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pending legal proceedings that may disrupt our business, cause us to incur substantial costs, expose us to significant legal liabilities and could have a material adverse impact on our financial performance.</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and additional lawsuits may arise in the future. Occasionally we are also involved in governmental inquiries and investigations and administrative and regulatory proceedings. Our activities relating to defending and responding to any such proceedings may result in substantial legal expenses, may disrupt our sales and marketing or other business activities, including our relationships with our customers, suppliers, employees and other third parties, and divert management’s and our employees’ attention from our day-to-day operations, which may have an adverse impact on our financial performance. The results of any such proceedings are unpredictable. We record accruals for liabilities where we believe a loss is probable and reasonably estimable, including when negotiating settlement where appropriate in response to such claims, however, our actual losses may differ significantly from our interim estimates. An adverse or unfavorable resolution of any proceedings against us could have a material impact on our financial position, cash flows and results of operations.</w:t>
      </w:r>
    </w:p>
    <w:p>
      <w:pPr>
        <w:spacing w:after="0" w:line="190"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p>
      <w:pPr>
        <w:spacing w:after="0" w:line="180"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business, we receive, collect, process and retain certain sensitive and confidential customer information. As a result, we are subject to increasingly rigorous federal, state and international laws regarding privacy and data protection. Personal privacy, data protection and information security are significant issues in the United States and the other jurisdictions where we offer our products and services. The regulatory framework for privacy and security issues worldwide is rapidly evolving and is likely to remain uncertain for the foreseeable future. Our handling of data is subject to a variety of laws and regulations, including regulation by various government agencies, including the United States Federal Trade Commission (“FTC”) and various state, local and foreign bodies and agencies. We also execute confidentiality agreements with various parties under which we are required to protect their confidential information.</w:t>
      </w:r>
    </w:p>
    <w:p>
      <w:pPr>
        <w:spacing w:after="0" w:line="19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United States federal and various state and foreign governments have adopted or proposed limitations on the collection, distribution, use and storage of personal information of individuals, including end-customers and employees. In the United States, the FTC and many state attorneys general are applying federal and state consumer protection laws to the online collection, use and dissemination of data. Additionally, many foreign countries and governmental bodies, and other jurisdictions in which we operate or conduct our business, have laws and regulations concerning the collection and use of personal information obtained from their residents or by businesses operating within their jurisdiction. These laws and regulations often are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and, in some cases, obtain individuals’ consent to use personal information for certain purposes.</w:t>
      </w:r>
    </w:p>
    <w:p>
      <w:pPr>
        <w:spacing w:after="0" w:line="194"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regulations and industry standards concerning privacy, data protection and information security in the United States, the European Union and other jurisdictions, and we cannot yet determine the impact of such future laws, regulations and standards may have on our business. For example, the California Consumer Privacy Act, which became effective in 2020, provides certain data privacy rights for consumers and employees and new operational requirements for companies. Additionally, we expect that existing laws, regulations and standards may be interpreted differently in the future. There remains significant uncertainty surrounding the regulatory framework for the future of personal data transfers from the European Union to the United States 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regulations such as the General Data Protection Regulation (“GDPR”), which imposes stringent E.U. data protection requirements, provides an enforcement authority, and imposes large penalties for noncompliance, including for the transfer of personal data between the company and our German subsidiary, Telerob. Future laws, regulations, standards and other obligations, including the adoption of the GDPR, as well as changes in the interpretation of existing laws, regulations, standards and other obligations could impair our ability to collect, use or disclose information relating to individuals, which could decrease demand for our products, require us to restrict our business operations, increase our costs and impair our ability to maintain and grow our customer base and increase our revenue.</w:t>
      </w:r>
    </w:p>
    <w:p>
      <w:pPr>
        <w:spacing w:after="0" w:line="18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business operations are subject to the evolving requirements of the U.S. DoD Cybersecurity Maturity Model Certification (“CMMC”) program. CMMC mandates third-party assessments for companies working with the U.S. DoD, verifying such companies’ adherence to specific cybersecurity standards. These certifications are essential for eligibility in new contract awards. We have completed/passed a DoD Defense Industrial Base Cybersecurity Assessment Center (DIBCAC) audit, high confident assessment, in 2022, which met the Level 3 requirements under the CMMC 1.0 framework. The recently acquired BlueHalo passed a Level 2 audit using a Third-Party Cybersecurity Assessor Organization (3CPAO), demonstrating adherence to updated security practices outlined in CMMC 2.0, which went into effect December 16, 2024.</w:t>
      </w:r>
    </w:p>
    <w:p>
      <w:pPr>
        <w:spacing w:after="0" w:line="19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ongoing compliance with the CMMC framework is critical, particularly as the National Institute of Standards and Technology (“NIST”) Special Publication 800-172 requirements, designed to enhance protection for controlled unclassified information, have not yet appeared in any government Requests for Proposals we have bid but are expected. We are actively preparing to meet the more stringent requirements of CMMC Level 3. There's a potential risk of not achieving Level 3 certification before upcoming contract awards or failing to attain the level required for a specific contract. Such a scenario could restrict us from bidding on those contracts, including follow-on awards for existing U.S. DoD work. Such limitations could negatively impact our revenue, profitability, and cash flow. Furthermore, compliance with CMMC may extend to our subcontractors and certain vendors, potentially requiring their certification as well. Their non-compliance could also pose challenges for our business. The associated costs of CMMC compliance are significant and may increase in the future, potentially affecting our operating results.</w:t>
      </w:r>
    </w:p>
    <w:p>
      <w:pPr>
        <w:spacing w:after="0" w:line="194"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Although we endeavor to comply with those federal, state and foreign laws and regulations, industry standards, contractual obligations and other legal obligations that apply to us, such laws, regulations, standards and obligations are evolving and may be modified, interpreted and applied in an inconsistent manner from one jurisdiction to another, and may conflict with one another, other requirements or legal obligations, our practices or the features of our products. As such, we cannot assure ongoing compliance with all such laws or regulations, industry standards, contractual obligations and other legal obligations, and our efforts to do so may cause us to incur significant costs or require changes to our business practices, which could adversely affect our business and operating results. Any failure or perceived failure by us to comply with federal, state or foreign laws or regulations, industry standards, contractual obligations or other legal obligations, or any actual or suspected security incident, whether or not resulting in unauthorized access to, or acquisition, release or transfer of personal information or other data, may result in governmental enforcement actions and prosecutions, private litigation, fines and penalties or adverse publicity and could cause our customers to lose trust in us, which could have an adverse effect on our reputation and business. Any inability to adequately address privacy and security concerns, even if unfounded, or comply with applicable laws, regulations, policies, industry standards, contractual obligations or other legal obligations could result in additional cost and liability to us, damage our reputation, inhibit sales, and adversely affect our business and operating results.</w:t>
      </w:r>
    </w:p>
    <w:p>
      <w:pPr>
        <w:spacing w:after="0" w:line="19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 and unforeseen costs, including in response to climate change, could impact our future earnings.</w:t>
      </w:r>
    </w:p>
    <w:p>
      <w:pPr>
        <w:spacing w:after="0" w:line="15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 those in the United States. Over time, the countries where these companies are located may adopt more stringent environmental regulations, resulting in an increase in our manufacturing costs. Given the increasing focus on environmental compliance by regulators and the general public, any incidence of non-compliance could result in damage to our reputation beyond the fines and other sanctions that could be imposed. Furthermore, certain environmental laws, including the U.S. Comprehensive, Environmental Response,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Compensation and Liability Act of 1980, impose strict, joint and several liability on current and previous owners or operators of real property for the cost of removal or remediation of hazardous substances and impose liability for damages to natural resources. These laws often impose liability even if the owner or operator did not know of, or was not responsible for, the release of such hazardous substances. These environmental laws also assess liability on persons who arrange for hazardous substances to be sent to disposal or treatment facilities when such facilities are later found to be contaminated. Such persons can be held responsible for cleanup costs even if they never owned or operated the contaminated facility. Although we have never been named a responsible party at a contaminated site, we could potentially be named a responsible party in the future.</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increasing global focus on climate change, including greenhouse gas (“GHG”) emissions, has resulted in legislative and regulatory efforts to address the causes and impacts of climate change. New and more strict laws and regulations to reduce GHG emissions and address other aspects of climate change, including carbon taxes, cap and trade programs, GHG reduction requirements, requirements for the use of green energy, and changes in procurement requirements, may result in increased operational and compliance obligations, which could adversely affect our financial condition and results of operations. Such laws and regulations could result in increased energy costs and costs to upgrade our facilities or change our manufacturing processes. Additionally, our suppliers may also face similar increased costs, which could result in them increasing the costs of components for our products and development programs. Changes to government procurement laws, including changes to the Federal Acquisition Regulations, designed to require climate risk and GHG emissions to be taken into account in the procurement process could result in increased costs to change our operations and manufacturing processes to ensure we remain competitive in the bidding process. We cannot predict the materiality of any potential additional costs associated with complying with such laws and regulations or whether we could raise prices to account for any such additional costs. Any non-compliance could negatively affect our reputation, our ability to compete in competitive bidding processes, including with the U.S. government, and our ability to sell our products and services. We cannot assure you that such existing laws or future laws addressing environmental concerns, including climate change, will not have a material adverse effect on our future earnings or results of operations.</w:t>
      </w:r>
    </w:p>
    <w:p>
      <w:pPr>
        <w:spacing w:after="0" w:line="191"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SEC’s conflict minerals regulations may increase our costs and adversely impact the supply-chain for our UAS products.</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August 2012, the SEC adopted disclosure rules regarding a company’s use of conflict minerals in its products with substantial supply chain verification requirements in the event that the conflict minerals come from, or could have come from, the Democratic Republic of the Congo or adjoining countries. These rules and verification requirements have imposed additional costs on us and on our suppliers, including costs related to determining the source of conflict minerals used in our products, which may adversely affect our results of operations. We are dependent on information supplied by our first-tier suppliers in conducting due diligence into the origins of conflict minerals in our products and in complying with our SEC reporting obligations. To the extent that information we receive from our suppliers is inaccurate or inadequate, we may not be able to determine whether our products are conflict mineral-free. We may face challenges in satisfying our customers who may require that our products be certified as conflict mineral-free, which could place us at a competitive disadvantage and could harm our business. These regulations could also have the effect of limiting the pool of suppliers from which we source items containing conflict minerals, and we may be unable to obtain conflict-free minerals at competitive prices, if at all, which could increase our costs and adversely affect our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or enforcing our intellectual property and other proprietary rights, our business, financial condition and results of operations could be materially harmed.</w:t>
      </w:r>
    </w:p>
    <w:p>
      <w:pPr>
        <w:spacing w:after="0" w:line="15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In addition, the U.S. government has licenses under certain of our patents and certain other intellectual property that are developed or used in performance of government contracts, and it may use or authorize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others to use such patents and intellectual property for government and other purposes. Moreover, existing U.S. legal standards relating to the validity, enforceability and scope of protection of intellectual property rights offer only limited protection, may not provide us with any competitive advantages, and our rights may be challenged by third parties. The laws of countries other than the United States may be even less protective of our intellectual property rights. Accordingly, despite our efforts, we may be unable to prevent third parties from infringing upon or misappropriating our intellectual property or otherwise gaining access to our technology. Unauthorized third parties may try to copy or reverse engineer our products or portions of our products or otherwise obtain and use our intellectual property. Moreover, many of our employees have access to our trade secrets and other intellectual property. Despite our efforts to protect such information, if one or more of these employees leave our employment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 From time to time, we have initiated lawsuits to protect our intellectual property and other proprietary rights. Pursuing these claims is time consuming and expensive and could adversely impact our results of operations.</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addition, affirmatively defending our intellectual property rights and investigating whether any of our products or services violate the rights of others may entail significant expense.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spacing w:after="0" w:line="183"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 which could be costly, time consuming and limit our ability to use certain technologies in the future.</w:t>
      </w:r>
    </w:p>
    <w:p>
      <w:pPr>
        <w:spacing w:after="0" w:line="159" w:lineRule="exact"/>
        <w:rPr>
          <w:sz w:val="20"/>
          <w:szCs w:val="20"/>
          <w:color w:val="auto"/>
        </w:rPr>
      </w:pPr>
    </w:p>
    <w:p>
      <w:pPr>
        <w:jc w:val="both"/>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We may become subject to claims that our technologies infringe upon the intellectual property or other proprietary rights of third parties. Defending against, or otherwise addressing, any such claims, regardless of their merit, could be time-consuming and expensive, and could divert our management’s attention away from the execution of our business plan.</w:t>
      </w:r>
    </w:p>
    <w:p>
      <w:pPr>
        <w:spacing w:after="0" w:line="2" w:lineRule="exact"/>
        <w:rPr>
          <w:sz w:val="20"/>
          <w:szCs w:val="20"/>
          <w:color w:val="auto"/>
        </w:rPr>
      </w:pPr>
    </w:p>
    <w:p>
      <w:pPr>
        <w:ind w:left="60" w:right="219"/>
        <w:spacing w:after="0" w:line="252" w:lineRule="auto"/>
        <w:rPr>
          <w:sz w:val="20"/>
          <w:szCs w:val="20"/>
          <w:color w:val="auto"/>
        </w:rPr>
      </w:pPr>
      <w:r>
        <w:rPr>
          <w:rFonts w:ascii="Times New Roman" w:cs="Times New Roman" w:eastAsia="Times New Roman" w:hAnsi="Times New Roman"/>
          <w:sz w:val="18"/>
          <w:szCs w:val="18"/>
          <w:color w:val="auto"/>
        </w:rPr>
        <w:t>Moreover, any settlement or adverse judgment resulting from such claims could require us to pay substantial amounts or obtain a license to continue to use the disputed technology, or otherwise restrict or prohibit our use of the technology. We cannot assure you that we would be able to: obtain from the third party asserting the claim a license on commercially reasonable terms, if at all; develop alternative technology on a timely basis, if at all; or obtain a license to use a suitable alternative technology to permit us to continue offering, and our customers to continue using, our affected product. An adverse determination could prevent us from offering our products to others. Infringement claims asserted against us may have a material adverse effect on our business, results of operations or financial condition.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Securities Markets and Investment in Our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significantly.</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market prices for securities of emerging technology companies have historically been highly volatile, and the market has from time to time experienced significant price and volume fluctuations that are unrelated to the operating performance of particular companies. The market price of our common stock may fluctuate significantly in response to a number of factors, most of which we cannot control, including the following:</w:t>
      </w:r>
    </w:p>
    <w:p>
      <w:pPr>
        <w:spacing w:after="0" w:line="180"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spending levels, both generally and by our particular customers;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U.S. trade policy, including the increase or introduction of tariffs;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operational activity by the U.S. military and allied militaries;</w:t>
      </w:r>
    </w:p>
    <w:p>
      <w:pPr>
        <w:spacing w:after="0" w:line="22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payment of our invoices by government payment offices, resulting in potentially reduced earnings during a particular fiscal quarter;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right="29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technologies, commercial relationships or other events relating to us or our industry or our competitors;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key products to gain market acceptance;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prospects for the markets in which we compete;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about the markets in which we compete or regarding our competitors;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or military action related to international conflicts, wars or otherwise;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coverage regarding our products and services;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6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trading volume that may result from the expiration of lock-up arrangements pertaining to acquisition-related issuances of our common stock;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the equity markets in general, and NASDAQ in particular, have experienced extreme price and volume fluctuations that have often been unrelated or disproportionate to the operating performance of companies. 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 litigation often has been instituted against that company. This type of litigation, if instituted against us, could result in substantial costs and a diversion of management’s attention and resources.</w:t>
      </w:r>
    </w:p>
    <w:p>
      <w:pPr>
        <w:spacing w:after="0" w:line="185"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largest stockholder may have the ability to significantly influence all matters submitted to stockholders for approval.</w:t>
      </w:r>
    </w:p>
    <w:p>
      <w:pPr>
        <w:spacing w:after="0" w:line="15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Entities affiliated with Arlington Capital Partners (the “Arlington Entities”), in the aggregate, beneficially own approximately 26.3% of our outstanding shares of common stock. This concentration of voting power gives the Arlington Entities the power to significantly influence matters submitted to our stockholders for approval, as well as our management and affairs. For example, the Arlington Entities could significantly influence the election of directors and approval of any merger, consolidation or sale of all or substantially all of our assets. In addition, this may prevent or discourage unsolicited acquisition proposals or offers for our capital stock that you may believe are in your best interest as one of our stockholders.</w:t>
      </w:r>
    </w:p>
    <w:p>
      <w:pPr>
        <w:spacing w:after="0" w:line="189"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Concurrently with the execution and delivery of the Merger Agreement, the Arlington Entities entered into a shareholder’s agreement with us pursuant to which the Arlington Entities have, among other things, agreed to abide by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customary standstill covenants, obligations to vote consistent with the recommendation of our Board of Directors, and customary employee non-solicit restrictions with respect to our and our subsidiaries’ employees (including BlueHalo and its subsidiaries). Under the shareholder’s agreement, we have, among other things, agreed to provide the Arlington Entities with certain board designation rights and, following a lock-up period as set forth in the shareholder’s agreement, customary registration rights, including customary demand and piggyback rights. The Arlington Entities will have such designation rights to designate two directors until they and their affiliates cease to collectively hold and own, directly or indirectly, at least 20% of our Adjusted Outstanding Shares and the Arlington Entities will have such designation rights to designate one director until they and their affiliates cease to collectively hold and own, directly or indirectly, at least 15% but less than 20% of our Adjusted Outstanding Shares. “Adjusted Outstanding Shares” is defined in the shareholder’s agreement to refer to the total number of our issued and outstanding shares of common stock, less then number of shares issued by us within six months of May 1, 2025. Our Board of Directors consists of ten members, two of whom have been designated by the Arlington Entities.</w:t>
      </w:r>
    </w:p>
    <w:p>
      <w:pPr>
        <w:spacing w:after="0" w:line="19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Moreover, the shareholder’s agreement provides that we renounce any interests or expectancy in being offered any business opportunities which the shareholder nominees, the Arlington Entities, or their affiliates conduct whether directly or indirectly, whether or not such business is competitive with or in the same or similar lines of business as us. This renunciation does not extend to business opportunities invested in on the basis of confidential information received from us or our representatives.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decline because of our acquisition activity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market price of our common stock may decline as a result of our acquisition activity if, among other things, we are unable to achieve the expected growth in revenue and earnings, or if the operational cost savings estimates in connection with the integration of acquired businesses are not realized. The market price of our common stock also may decline if we do not achieve the perceived benefits of the acquisitions as rapidly or to the extent anticipated by financial or industry analysts or if the effect of the acquisitions on our financial results is not consistent with the expectations of financial or industry analysts. The market price of our common stock may also be influenced by the issuance of our equity securities in acquisition transactions, which may or may not be at prevailing market prices and may have a dilutive effect on other stockholders.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or without dilution to our stockholders.</w:t>
      </w:r>
    </w:p>
    <w:p>
      <w:pPr>
        <w:spacing w:after="0" w:line="229" w:lineRule="exact"/>
        <w:rPr>
          <w:sz w:val="20"/>
          <w:szCs w:val="20"/>
          <w:color w:val="auto"/>
        </w:rPr>
      </w:pPr>
    </w:p>
    <w:p>
      <w:pPr>
        <w:ind w:left="60" w:right="179" w:firstLine="648"/>
        <w:spacing w:after="0" w:line="289" w:lineRule="auto"/>
        <w:rPr>
          <w:sz w:val="20"/>
          <w:szCs w:val="20"/>
          <w:color w:val="auto"/>
        </w:rPr>
      </w:pPr>
      <w:r>
        <w:rPr>
          <w:rFonts w:ascii="Times New Roman" w:cs="Times New Roman" w:eastAsia="Times New Roman" w:hAnsi="Times New Roman"/>
          <w:sz w:val="17"/>
          <w:szCs w:val="17"/>
          <w:color w:val="auto"/>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spacing w:after="0" w:line="158"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engineers and other critical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products and services;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operating infrastructure;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working capital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or technologies;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respond to competitive pressures.</w:t>
      </w:r>
    </w:p>
    <w:p>
      <w:pPr>
        <w:spacing w:after="0" w:line="225"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 We have obtained capital from the Credit Facilities noted above including the Term Loan Facility and Revolving Facility. We cannot assure you that additional financing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will be available on terms favorable to us, or at all. Our current Credit Facilities contain, and future debt financing may contain, covenants or other provisions that limit our operational or financial flexibility. In addition, certain of our customers require that we obtain letters of credit to support our obligations under some of our contracts.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could adversely affect our financial results.</w:t>
      </w:r>
    </w:p>
    <w:p>
      <w:pPr>
        <w:spacing w:after="0" w:line="229"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We must maintain effective internal controls in order to provide reasonable assurance regarding the financial reporting soundness for external purposes. Internal controls over financial reporting is not intended to impart absolute assurance that we can prevent or detect misstatements of its financial statement or fraud due to its inherent limitations. The failure to maintain an effective system of internal controls over financial reporting could limit our ability to report financial results accurately and in a timely manner or to detect and prevent fraud, which could cause a loss of investor confidence in our reporting, depress our stock price, adversely limit our liquidity and access to the capital markets and we may be unable to maintain compliance with applicable stock exchange listing requirements and debt covenant requirements.</w:t>
      </w:r>
    </w:p>
    <w:p>
      <w:pPr>
        <w:spacing w:after="0" w:line="167"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Prior to our acquisition of BlueHalo, BlueHalo was not a U.S. public reporting company. The obligations associated with integrating into a public company, including to remediate BlueHalo’s material weaknesses in internal control over financial reporting, may require significant resources and management attention.</w:t>
      </w:r>
    </w:p>
    <w:p>
      <w:pPr>
        <w:spacing w:after="0" w:line="175"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Prior to being acquired by AeroVironment, BlueHalo was a private company and not subject to public company reporting requirements. Additionally, from the time it was formed until the time it entered into the Merger Agreement, BlueHalo consummated a number of acquisitions of companies of varying degrees of size and sophistication with varying degrees of disclosure controls and procedures. As a public company, we are required to document and test our internal controls over financial reporting pursuant to Section 404(b) of the Sarbanes-Oxley Act of 2002, so that our management can certify as to the effectiveness of our internal control over financial reporting in connection with our annual report. BlueHalo (including all of its prior acquisitions) will be required to be included in the scope of our internal control over financial reporting in our annual report to be filed with the SEC following this annual report and thereafter, which requires us to make and document significant changes to our internal controls over financial reporting.</w:t>
      </w:r>
    </w:p>
    <w:p>
      <w:pPr>
        <w:spacing w:after="0" w:line="18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preparation of its audited consolidated financial statements for the year ended December 31, 2024, BlueHalo identified three material weaknesses in its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First, BlueHalo did not design and maintain effective information technology (“IT”) general controls for information systems that are relevant to the preparation of its financial statements. Specifically, BlueHalo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Second, BlueHalo did not design and maintain an effective control environment commensurate with our financial reporting requirements. Specifically, it did not maintain a sufficient complement of personnel with an appropriate degree of internal controls and accounting knowledge, experience, and training commensurate with its accounting and financial reporting requirements. The limited personnel resulted in an inability to consistently establish appropriate authorities and responsibilities in pursuit of financial reporting objectives, as demonstrated by, among other things, insufficient segregation of duties in the finance and accounting functions. Third, BlueHalo did not design and maintain effective monitoring activities of the design and operation of controls on a timely basis, taking necessary corrective action to ensure that controls continue to operate effectively and are modified for changes in conditions as appropriate.</w:t>
      </w:r>
    </w:p>
    <w:p>
      <w:pPr>
        <w:spacing w:after="0" w:line="19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Bringing BlueHalo into compliance with rules and regulations applicable to us as a public company and integrating BlueHalo into our current compliance and accounting system and disclosure controls and procedures is expected to increase our legal and financial compliance costs, make some activities more difficult, time consuming or costly and increase demand on our systems and resources. We cannot predict or estimate the amount of additional costs we may incur to bring BlueHalo into compliance with these requirements (including by remediating its outstanding material weaknesses) and we cannot guarantee the measures we take will be sufficient to satisfy our obligations as a public company. Ineffective internal control over financial reporting could also cause investors to lose confidence in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reported financial information, which would harm our business and likely have a negative effect on the trading price of shares of our common stock. Furthermore, the need to establish the necessary corporate infrastructure to integrate BlueHalo may divert management’s attention from implementing our growth strategy, which could prevent us from improving our business, financial condition and results of operations.</w:t>
      </w:r>
    </w:p>
    <w:p>
      <w:pPr>
        <w:spacing w:after="0" w:line="176"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any cash dividends on our common stock and do not anticipate paying any cash dividends in the foreseeable future.</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have not declared any cash dividends since becoming a public company and currently intend to retain all earnings to finance the operation and expansion of our business. Therefore, we do not anticipate that we will pay any cash dividends on shares of our common stock in the foreseeable future. We also do not expect to buy back any of our common stock for the foreseeable future. In addition, our ability to pay dividends and buy back shares of our common stock is restricted by the Credit Agreement. Any determination to pay dividends or stock buybacks in the future will be at the discretion of our board of directors and will be dependent upon our future financial condition, results of operations, capital requirements, legal restrictions, general business conditions and other relevant factors as determined by our Board of Directors. See the section herein titled, “Dividends.”</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anti-takeover provisions in our organizational documents may discourage our acquisition by a third party, which could make it more difficult to acquire us and limit your ability to sell your shares at a premium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certain provisions that reduce the probability of a change of control or acquisition of our company, even if such a transaction would be beneficial to our stockholders. These provisions include, but are not limited to:</w:t>
      </w:r>
    </w:p>
    <w:p>
      <w:pPr>
        <w:spacing w:after="0" w:line="176" w:lineRule="exact"/>
        <w:rPr>
          <w:sz w:val="20"/>
          <w:szCs w:val="20"/>
          <w:color w:val="auto"/>
        </w:rPr>
      </w:pPr>
    </w:p>
    <w:p>
      <w:pPr>
        <w:ind w:left="1040" w:right="19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preferred stock in one or more series of with such rights, obligations and preferences as the Board may determine, without further vote or action by our stockholders;</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notice procedures for stockholders to nominate candidates for election to the Board of Directors and for stockholders to submit proposals for consideration at a meeting of stockholders;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cumulative voting rights for our stockholders;</w:t>
      </w:r>
    </w:p>
    <w:p>
      <w:pPr>
        <w:spacing w:after="0" w:line="225"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Board of Directors, which effectively prevents stockholders from electing a majority of the Directors at any one annual meeting of stockholders;</w:t>
      </w:r>
    </w:p>
    <w:p>
      <w:pPr>
        <w:spacing w:after="0" w:line="67" w:lineRule="exact"/>
        <w:rPr>
          <w:rFonts w:ascii="Times New Roman" w:cs="Times New Roman" w:eastAsia="Times New Roman" w:hAnsi="Times New Roman"/>
          <w:sz w:val="18"/>
          <w:szCs w:val="18"/>
          <w:color w:val="auto"/>
        </w:rPr>
      </w:pPr>
    </w:p>
    <w:p>
      <w:pPr>
        <w:ind w:left="1040" w:right="199" w:hanging="315"/>
        <w:spacing w:after="0" w:line="275"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that Directors may be removed only for cause by the affirmative vote of the holders of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total voting power of all of our outstanding securities entitled to vote in the election of Directors, voting together as a single class; and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our stockholders to call a special meeting of stockholders.</w:t>
      </w:r>
    </w:p>
    <w:p>
      <w:pPr>
        <w:spacing w:after="0" w:line="22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are also subject to Section 203 of the Delaware General Corporation Law which, subject to certain exceptions, prohibits “business combinations” between a publicly-held Delaware corporation and an “interested stockholder,” which is generally defined as a stockholder who becomes a beneficial owner of 15% or more of a Delaware corporation’s voting stock for a three-year period following the date that such stockholder became an interested stockholder. This statute, as well as the provisions in our organizational documents, could have the effect of delaying, deterring or preventing certain potential acquisitions or a change in control of us.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inflation could adversely affect our business and financial results.</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Although historically our operations have not been materially affected by inflation and we have been successful in adjusting prices to our customers to reflect changes in our material and labor costs, the rate of current inflation and resulting pressures on our costs and pricing could adversely impact our business and financial results. Inflation can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adversely affect us by increasing our operating costs, including our materials, freight and labor costs, which are already under pressure due to supply chain constraints. As interest rates rise to address inflation, such increases will also impact the base rates applicable in our credit arrangements and will result in borrowed funds becoming more expensive to us over time; similar financing pressures from inflation also can have a negative impact on customers’ willingness to purchase our products in the same volumes and at the same rates as previously anticipated. In a highly inflationary environment, we may be unable to raise the sales prices of our products at or above the rate of inflation, which could reduce our profit margins having a material adverse effect on our financial performance.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face various cybersecurity threats as a prominent target, including denial-of-service attacks, ransomware, phishing, and advanced persistent threats. As an aerospace and defense company providing advanced defense technologies and services to the U.S. and foreign governments, these threats are not just from low-level threat actors, but rise to the level of sophisticated threat actors from organized and funded adversaries, including groups affiliated with various nation states. Our customers, suppliers, subcontractors, and vendors also face similar threats. Cybersecurity incidents impacting us, or any of these third parties, could have a material adverse effect on our operations, financial condition, and results of operations. Given the cybersecurity risks we face, we dedicate ample resources to addressing and mitigating our cyber risks.</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cybersecurity program is designed to identify, detect, protect against, respond to, and recover from cyber risks and incidents. Our cybersecurity program is part of our internal risk management processes, and we continually improve our cybersecurity practices as new threats and vulnerabilities emerge.</w:t>
      </w:r>
    </w:p>
    <w:p>
      <w:pPr>
        <w:spacing w:after="0" w:line="17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Chief Information Officer (“CIO”), Chief Information Security Officer (“CISO”), and Vice President of Cybersecurity, all within our “CIO organization,” lead our Detection and Response Team (“DART”) which is responsible for our cybersecurity incident response processes pursuant to our Incident Response Plan and playbooks. The DART also includes members of our IT department responsible for supporting the technologies and processes to protect against, detect, contain, mitigate, and recover from cybersecurity incidents. The DART evaluates and assigns severity levels to cybersecurity incidents and, based on the severity, escalates and engages incident response teams to respond to and mitigate the risks.</w:t>
      </w:r>
    </w:p>
    <w:p>
      <w:pPr>
        <w:spacing w:after="0" w:line="18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Our cybersecurity team proactively hunts for cyber threats and vulnerabilities in our networks and information systems as part of our cyber risk management program. This includes monitoring our networks and systems for indicators of compromise (“IOCs”), active intrusion attempts, and other suspicious activity, including insider threat risks. The cybersecurity team stays apprised of existing and emerging cybersecurity threats through commercial threat intelligence feeds and by partnering and data sharing with third parties such as the U.S. government, law enforcement agencies, customers, and other Defense Industrial Base (“DIB”) participants. We also engage third parties to conduct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evaluations of our cybersecurity controls by performing penetration testing and controlled cybersecurity framework audits.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also review the cybersecurity practices of our third-party service providers and suppliers.</w:t>
      </w:r>
    </w:p>
    <w:p>
      <w:pPr>
        <w:spacing w:after="0" w:line="20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require our employees to take cybersecurity-related training regularly to promote awareness of how to detect, report, and respond to cybersecurity threats. Employees with certain roles and responsibilities are also assigned cyber training for their specific functions. We also maintain an Insider Threat program, headed by our Director of Security, to identify, assess, and deal with potential risks from within our company, including cybersecurity risks.</w:t>
      </w:r>
    </w:p>
    <w:p>
      <w:pPr>
        <w:spacing w:after="0" w:line="180"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We have aligned our cybersecurity program to the National Institute of Standards and Technology’s (“NIST”) published cybersecurity standards, and our policies and processes are compliant with NIST Special Publication 800-171 and other applicable publications. Given our status as a defense contractor, we are subject to numerous regulations, including those pursuant to the Defense Federal Acquisition Regulation Supplement (“DFARS”), requiring us to have controls in place to protect U.S. government CUI and to report cybersecurity incidents to the DoD.</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the DoD CMMC requirements which necessitates that companies receiving, storing, or processing federal contract information (“FCI”) and CUI be formally assessed by a CMMC C3PAO. AeroVironment, Inc., including its subsidiaries Arcturus UAS and Tomahawk Robotics (but excluding any of the BlueHalo acquired entities) is scheduled for a formal Level 2 assessment. The recently acquired BlueHalo passed a formal CMMC Level 2 assessment under the CMMC 2.0 framework, which went into effect December 16, 2024. If we fail to achieve or maintain certification ahead of contract awards, or if we fail to achieve the level required for a particular contract, we will be unable to bid on new contracts or follow-on efforts containing CMMC clauses, which could adversely impact the success of our operations. Additionally, our subcontractors and certain vendors may need to obtain CMMC certification, and we may be negatively impacted if they are not compliant with the CMMC requirements.</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CIO, CISO, and VP of Cybersecurity, each with 20+ years of related experience, are responsible for the day-to-day management of our cybersecurity program and cybersecurity risks. Our CISO and team are primarily responsible for our overall cybersecurity risk management program and supervise both internal and external resources to identify, protect against, detect, respond to, and recover from cybersecurity risks, threats, and incidents.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have internal Cybersecurity Council which meets monthly to help communicate our enterprise cybersecurity strategy and ensure it is implemented across the business, as well as maintain awareness of events and changes occurring throughout the business. The Cybersecurity Council consists of members from our CIO organization as well as senior leadership from various functional areas of the business.</w:t>
      </w:r>
    </w:p>
    <w:p>
      <w:pPr>
        <w:spacing w:after="0" w:line="18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CISO and VP of Cybersecurity report cybersecurity incidents to members of the company’s senior management, including the Cybersecurity Council, CIO, CEO, and the Board of Directors based on the severity and type of the incident to ensure proper external reporting is completed thoroughly and timely.</w:t>
      </w:r>
    </w:p>
    <w:p>
      <w:pPr>
        <w:spacing w:after="0" w:line="176"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Pursuant to its charter, the Cybersecurity Committee of our Board of Directors is responsible for reviewing, discussing, and making recommendations to the full board regarding cybersecurity matters. Our CIO, CISO, and VP of Cybersecurity provide presentations to the Cybersecurity Committee on our cybersecurity program at each of the committee’s regularly scheduled quarterly meetings. These briefings include assessments of the cyber risk and threats landscape, updates on incidents, policies and procedures, and our investments and plans in cybersecurity risk mitigation and governance. The Cybersecurity Committee also meets with members of the Cybersecurity Council to discuss various aspects of our cybersecurity program between regular meetings. All members of the Board of Directors are invited to attend all meetings of the Cybersecurity Committee, and the committee regularly briefs the entire board regarding their oversight of our cybersecurity program.</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Cybersecurity Threats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have experienced cybersecurity incidents in the past and will experience cybersecurity incidents in the future. Prior cybersecurity incidents have not materially affected, or are reasonably likely to affect, our business strategy, results of operations or financial condition; however, there is no guarantee that a future cybersecurity incident would not have a material adverse effect on such items. While our cybersecurity program is designed to mitigate cybersecurity risks, we cannot eliminate all risks from cybersecurity threats. See Item 1A. Risk Factors for more information on our cybersecurity risks.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259" w:firstLine="648"/>
        <w:spacing w:after="0" w:line="271" w:lineRule="auto"/>
        <w:rPr>
          <w:sz w:val="20"/>
          <w:szCs w:val="20"/>
          <w:color w:val="auto"/>
        </w:rPr>
      </w:pPr>
      <w:r>
        <w:rPr>
          <w:rFonts w:ascii="Times New Roman" w:cs="Times New Roman" w:eastAsia="Times New Roman" w:hAnsi="Times New Roman"/>
          <w:sz w:val="17"/>
          <w:szCs w:val="17"/>
          <w:color w:val="auto"/>
        </w:rPr>
        <w:t>As of April 30, 2025, our facilities are primarily leased. Our corporate headquarters are located in Arlington, Virginia where we currently occupy approximately 7,400 square feet under an amended lease agreement expiring in June 2030. Under leases in effect prior to the closing of the BlueHalo acquisition, we also lease (i) a total of approximately 280,000 square feet of space in Simi Valley, California, which leases expire between 2027 and 2030, (ii) approximately 150,000 square feet of space in Moorpark, California, which lease expires in 2027, used for administration and to design, engineer, test and manufacture UAS, and (iii) other facilities in California, Alabama, Kansas, Massachusetts, Florida, Pennsylvania, Minnesota, and Virginia. We have international locations in Hampton Bishop, United Kingdom, used for business development and program management support, and Stuttgart, Germany, which facilities are used for administration, research and development, logistics, testing and manufacturing of UGV products.</w:t>
      </w:r>
    </w:p>
    <w:p>
      <w:pPr>
        <w:spacing w:after="0" w:line="17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As of April 30, 2025, our business segments as in effect during the year ended on such date (Uncrewed Systems, or “UxS;” Loitering Munitions Systems, or “LMS;” and MacCready Works, or “MW”) had significant operations at the following locations:</w:t>
      </w:r>
    </w:p>
    <w:p>
      <w:pPr>
        <w:spacing w:after="0" w:line="176" w:lineRule="exact"/>
        <w:rPr>
          <w:sz w:val="20"/>
          <w:szCs w:val="20"/>
          <w:color w:val="auto"/>
        </w:rPr>
      </w:pPr>
    </w:p>
    <w:p>
      <w:pPr>
        <w:ind w:left="1040" w:right="359" w:hanging="315"/>
        <w:spacing w:after="0" w:line="261"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UxS, LMS, and MW: Simi Valley, CA; Moorpark, CA; Huntsville, AL; Lawrence, KS; Wilmington, MA; Centreville, VA; and Minneapolis, MN.</w:t>
      </w:r>
    </w:p>
    <w:p>
      <w:pPr>
        <w:ind w:left="1040" w:right="9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UxS: Petaluma, CA; Rohnert Park, CA; San Diego, CA; Melbourne, FL; Hampton Bishop, United Kingdom; Stuttgart, Germany and Erie, PA.</w:t>
      </w: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Arlington, VA, Moorpark, CA and Simi Valley, CA.</w:t>
      </w:r>
    </w:p>
    <w:p>
      <w:pPr>
        <w:spacing w:after="0" w:line="207"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Additionally in May 2025, we acquired BlueHalo, which has operations in Florida, Pennsylvania, New Mexico, California, Maryland, Virginia, Alabama, and Ohio.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On August 9, 2021, a former employee filed a class action complaint against AeroVironment in California Superior Court in Los Angeles, California alleging various claims pursuant to the California Labor Code related to wages, meal breaks, overtime, unreimbursed business expenses and other recordkeeping matters. The complaint seeks a jury trial and payment of various alleged unpaid wages, penalties, interest and attorneys’ fees in unspecified amounts. We filed our answer on December 16, 2021. The parties participated in a mediation session on May 8, 2025, but did not reach a resolution during the session.</w:t>
      </w:r>
    </w:p>
    <w:p>
      <w:pPr>
        <w:spacing w:after="0" w:line="187"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March 29, 2024, a former employee filed a complaint against AeroVironment in the Ventura County Superior Court in California, alleging violations of the California Labor Code related to wages, meal breaks, overtime, unreimbursed business expenses and other recordkeeping matters and seeking penalties recoverable under California Labor Code section 2698, et. seq., Private Attorney General Act of 2004 (“PAGA”) and all other remedies available under PAGA. The complaint seeks civil penalties on behalf of the plaintiff and similarly situations persons pursuant to PAGA. We filed our answer on June 20, 2024. The parties stipulated to stay this PAGA case ahead of the mediation in the class action matter listed in the immediately preceding paragraph above.</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On June 11, 2025, the parties reached an agreement in principle to settle all claims in the class action complaint and PAGA complaint pursuant to a mediator’s proposal made on such a date by the mediator from the May 8, 2025 class action mediation session. A court must approve the terms of the settlement before we will pay any amounts pursuant to the settlement. The estimated settlement was accrued in our consolidated statements of income(loss) for the year ended April 30, 2025.</w:t>
      </w:r>
    </w:p>
    <w:p>
      <w:pPr>
        <w:spacing w:after="0" w:line="18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76" w:lineRule="exact"/>
        <w:rPr>
          <w:sz w:val="20"/>
          <w:szCs w:val="20"/>
          <w:color w:val="auto"/>
        </w:rPr>
      </w:pPr>
    </w:p>
    <w:p>
      <w:pPr>
        <w:jc w:val="center"/>
        <w:ind w:right="6459"/>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22" w:lineRule="exact"/>
        <w:rPr>
          <w:sz w:val="20"/>
          <w:szCs w:val="20"/>
          <w:color w:val="auto"/>
        </w:rPr>
      </w:pPr>
    </w:p>
    <w:p>
      <w:pPr>
        <w:ind w:left="760" w:right="459" w:hanging="71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On June 18, 2025, the closing sales price of our common stock as reported on the NASDAQ Global Select Market, where it trades under the symbol AVAV, was $190.04 per share. As of June 19, 2025, there were 419 holders of record of our common stock.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To date we have retained all earnings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capital allocation policy, expected return on invested capital, contractual restrictions and such other factors as our board of directors deems relevant. The terms of our Credit Agreement restrict our ability to pay dividends.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14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following graph shows a comparison of cumulative returns on our common stock, based on the market price of the common stock, with the cumulative total returns of companies in the Russell 2000 Index and the SPADE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71755</wp:posOffset>
            </wp:positionV>
            <wp:extent cx="5297805" cy="3051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9780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value of $100 invested on April 30, 2020 in AeroVironment, Inc., the Russell 2000 Index and the SPADE Defense Index.</w:t>
      </w:r>
    </w:p>
    <w:p>
      <w:pPr>
        <w:spacing w:after="0" w:line="8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Performance Graph Table ($)</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AeroVironment, Inc. Stock</w:t>
            </w: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Russell 2000 Index</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SPADE Defense Index</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Reserved.</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The following discussion of our financial condition and results of operations should be read in conjunction with our consolidated financial statements and notes thereto included herein as Item 8. This discussion contains forward-looking statements. Refer to Part I, “Forward-Looking Statements” on page 2 and Item 1A, “Risk Factors” beginning on page 14, for a discussion of the uncertainties, risks and assumptions associated with these statements. The disclosures and references in Item 7 of this Annual Report, including the description of our business, financial data, management’s discussion and analysis of financial condition and results of operations do not include the BlueHalo acquisition which closed on May 1, 2025, unless otherwise specifically noted. The assets, liabilities and results of operations of BlueHalo have not been consolidated into our results as of and for the period ended April 30, 2025 or any of the historical periods presented.</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design, develop, produce, deliver and support a technologically advanced portfolio of intelligent, multi-domain robotic systems and related services for government agencies and businesses. We supply uncrewed aircraft and ground robot systems, loitering munitions systems and related services primarily to organizations within or supplying the U.S. DoD, other federal agencies and to international allied governments. We derive the majority of our revenue from these business areas, and we believe that the markets for these solutions offer the potential for significant long-term growth. In addition, we believe that some of the innovative potential products, services and technologies in our research and development pipeline will emerge as new growth platforms in the future, creating additional market opportunities.</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success of our current product and service offerings stems from our investments in R&amp;D to invent and deliver advanced solutions, utilizing proprietary and commercially available technologies, and in acquiring leading businesses that help our customers achieve their desired outcomes. We develop and acquire these highly innovative solutions by working closely with our key customers to solve their most important challenges related to our areas of expertise. Our core technological capabilities, developed over more than 50 years of innovation or acquired through acquisitions, include robotics and robotics systems autonomy; modular open systems architecture, sensor design, development, miniaturization and integration; embedded software and firmware; miniature, low power, secure wireless digital communications and networks; lightweight aerostructures; high-altitude systems design, integration and operations; machine vision, machine learning and autonomy; land, maritime and air deployment of munitions and aircraft systems; design and qualification for robotics in extreme terrestrial and space environments; munitions systems warhead integration; low SWaP (Size, Weight and Power) system design and integration; collaborative multi-robotic crewed and uncrewed mission operation; power electronics and electric propulsion systems; efficient electric power conversion, storage systems and high density energy packaging; controls and systems integration; vertical takeoff and landing for fixed wing and hybrid aircraft and rotocraft systems; image stabilization and target tracking; advanced flight control systems; fluid dynamics; human-machine interface development; modular dismounted, networked multi-domain robotic control interfaces and analytic processing architecture; and integrated mission solutions for austere environments.</w:t>
      </w:r>
    </w:p>
    <w:p>
      <w:pPr>
        <w:spacing w:after="0" w:line="195" w:lineRule="exact"/>
        <w:rPr>
          <w:sz w:val="20"/>
          <w:szCs w:val="20"/>
          <w:color w:val="auto"/>
        </w:rPr>
      </w:pPr>
    </w:p>
    <w:p>
      <w:pPr>
        <w:ind w:left="60" w:right="199" w:firstLine="648"/>
        <w:spacing w:after="0" w:line="289" w:lineRule="auto"/>
        <w:rPr>
          <w:sz w:val="20"/>
          <w:szCs w:val="20"/>
          <w:color w:val="auto"/>
        </w:rPr>
      </w:pPr>
      <w:r>
        <w:rPr>
          <w:rFonts w:ascii="Times New Roman" w:cs="Times New Roman" w:eastAsia="Times New Roman" w:hAnsi="Times New Roman"/>
          <w:sz w:val="17"/>
          <w:szCs w:val="17"/>
          <w:color w:val="auto"/>
        </w:rPr>
        <w:t>Our business focuses primarily on the design, development, production, marketing, support and operation of innovative UxS and LMS products that provide situational awareness, remote sensing, multi band communications, force protection and other information and mission effects to increase the safety and effectiveness of our customers’ operations.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We generate our revenue primarily from the sale, support, design and operation of our UxS, LMS and HAPS products. Support for our SUAS, MUAS and LMS customers includes training, spare parts, product repair and product replacement. Under ISR services contracts we deliver the information our MUAS produce to our customers, who use that information to support their missions. We refer to these support activities, in conjunction with customer-funded R&amp;D, as our services operation. We derive most of our SUAS, MUAS, LMS and HAPS revenue from fixed-price and cost-plus-fee contracts with the majority from U.S. government and allied foreign governments for SUAS, MUAS, and LMS.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Cost of sales consists of direct costs and allocated indirect costs. Direct costs include labor, materials, travel, subcontracts and other costs directly related to the execution of a specific contract. Indirect costs include overhead expenses, fringe benefits, depreciation of in-service ISR assets, amortization of acquired intangible assets and other costs that are not directly charged to a specific contract.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29"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Gross margin is equal to revenue minus cost of sales. We use gross margin as a financial metric to help us understand trends in our direct costs and allocated indirect costs when compared to the revenue we generate.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Our selling, general and administrative expenses (“SG&amp;A”), include salaries, fringe benefits, and other expenses related to selling, marketing and proposal activities, and other administrative costs and amortization of acquired intangible assets. Some SG&amp;A expenses relate to marketing, commissions on certain direct commercial sales to international customers and business development activities that support both ongoing business areas as well as new and emerging market areas. These activities can be directly associated with developing requirements for and applications of capabilities created in our R&amp;D activities. SG&amp;A is an important financial metric that we analyze to help us evaluate the contribution of our selling, marketing and proposal activities to revenue generation.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p>
      <w:pPr>
        <w:spacing w:after="0" w:line="229"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R&amp;D is an integral part of our business model. We normally conduct significant internally funded R&amp;D. Our R&amp;D activities focus specifically on creating capabilities that support our existing product portfolio as well as new solutions.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As part of our annual goodwill impairment and identifiable asset test during the fiscal quarter ended April 30, 2025, we determined carrying value of the UGV reporting unit exceeded its fair value due to a decrease in forecasted results of the UGV reporting unit resulting from reduced probability and delays of obtaining certain opportunities as well as an increase in forecast expenditures to support operational decisions identified during the fiscal quarter ended April 30, 2025. These changes in estimates resulted in the recognition of a goodwill impairment charge of $18.4 million during the three months ended April 30, 2025 in the UGV reporting unit.</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For the fiscal year ended April 30, 2025, we determined that it was more likely than not that the fair value of each of the other reporting units, other than UGV, was more than their carrying values as of the annual goodwill impairment test date, including the MUAS reporting unit which was no longer considered at an increased risk of failing future quantitative goodwill impairment tests due to an increase in the estimated fair value of the reporting unit from significant increases in forecasted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Subsequent to the performance of our annual goodwill impairment test for the fiscal year ended April 30, 2023,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EBITDA growth rate expectations used in the valuation of the MUAS reporting unit. These changes in estimates, resulted in the recognition of a goodwill impairment charge of $156.0 million recorded during the year ended April 30,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(Loss) Income, net</w:t>
      </w:r>
    </w:p>
    <w:p>
      <w:pPr>
        <w:spacing w:after="0" w:line="22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Other (loss) income, net includes unrealized losses associated with decreases in the fair market value for equity security investments, interest income, and interest expense.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rates for fiscal years 2025 and 2024 were lower than the U.S. federal statutory rate of 21% primarily due to tax benefits from the Foreign Derived Intangible Income deduction (“FDII”), excess benefits from stock-based compensation, the U.S. federal research tax credit.</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Method Investment (Loss) Income, Net of Tax</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Equity method investment (loss) income, net of tax, includes equity method income or loss related to our investment in limited partnership funds for which we have concluded we have influence for holding more than a minor interest. Beginning October 14, 2022, equity method investment (loss) income, net of tax also includes our proportion of any gains or losses of our Turkish joint venture, Altoy Savunma Sanayi ve Havacilik Anonim Sirketi (“Altoy”), due to our share sale in which we decreased our ownership interest to 15% but concluded we retain the ability to exercise significant influence.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includes the 50% interest in the income or losses of Altoy, between May 1, 2022 and October 14, 2022. Subsequent to October 14, 2022, Altoy is no longer consolidated, and therefore, noncontrolling interest is no longer recorded.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9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believe the following critical accounting estimates affect our more significant judgments and estimates used in preparing our consolidated financial statements. Please see Note 1 to our consolidated financial statements entitled “Organization and Significant Accounting Policies,” which is included in Part II, Item 8 “Financial Statements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Supplementary Data” of this Annual Report. There have been no material changes made to the critical accounting estimates during the periods presented in the consolidated financial statements.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Management judgments and estimates have been applied consistently and have been reliable historically. We believe that there are two key factors which impact the reliability of management’s estimates. The first of those key factors is that the terms of our contracts are typically less than six months. The short-term nature of such contracts reduces the risk that material changes in accounting estimates will occur on the basis of market conditions or other factors. The second key factor is that we have hundreds of contracts in any given accounting period, which reduces the risk that any one change in an accounting estimate on one or several contracts would have a material impact on our consolidated financial statements.</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cost-reimbursable, or time and materials. We account for all revenue contracts in accordance with ASC 606. 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For contracts with multiple performance obligations, we allocate the contract’s transaction price to each performance obligation using observable standalone selling prices for similar products and services. When the standalone selling price is not directly observable, we use our best estimate of the standalone selling price of each distinct good or service in the contract using the cost plus reasonable margin approach.</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performance obligations are satisfied over time or at a point in time. Revenue for LMS product deliveries, customization of UGV transport vehicles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87" w:lineRule="exact"/>
        <w:rPr>
          <w:sz w:val="20"/>
          <w:szCs w:val="20"/>
          <w:color w:val="auto"/>
        </w:rPr>
      </w:pPr>
    </w:p>
    <w:p>
      <w:pPr>
        <w:jc w:val="both"/>
        <w:ind w:left="60" w:right="299" w:firstLine="648"/>
        <w:spacing w:after="0" w:line="272" w:lineRule="auto"/>
        <w:rPr>
          <w:sz w:val="20"/>
          <w:szCs w:val="20"/>
          <w:color w:val="auto"/>
        </w:rPr>
      </w:pPr>
      <w:r>
        <w:rPr>
          <w:rFonts w:ascii="Times New Roman" w:cs="Times New Roman" w:eastAsia="Times New Roman" w:hAnsi="Times New Roman"/>
          <w:sz w:val="17"/>
          <w:szCs w:val="17"/>
          <w:color w:val="auto"/>
        </w:rPr>
        <w:t>For performance obligations which are not satisfied over time per the aforementioned criteria above, revenue is recognized at the point in time in which each performance obligation is fully satisfied. Our UxS product sales revenue is primarily composed of revenue recognized on contracts for the delivery of UxS systems and spare parts, respectively.</w:t>
      </w:r>
    </w:p>
    <w:p>
      <w:pPr>
        <w:spacing w:after="0" w:line="2" w:lineRule="exact"/>
        <w:rPr>
          <w:sz w:val="20"/>
          <w:szCs w:val="20"/>
          <w:color w:val="auto"/>
        </w:rPr>
      </w:pPr>
    </w:p>
    <w:p>
      <w:pPr>
        <w:jc w:val="both"/>
        <w:ind w:left="60" w:right="319"/>
        <w:spacing w:after="0" w:line="260" w:lineRule="auto"/>
        <w:rPr>
          <w:sz w:val="20"/>
          <w:szCs w:val="20"/>
          <w:color w:val="auto"/>
        </w:rPr>
      </w:pPr>
      <w:r>
        <w:rPr>
          <w:rFonts w:ascii="Times New Roman" w:cs="Times New Roman" w:eastAsia="Times New Roman" w:hAnsi="Times New Roman"/>
          <w:sz w:val="18"/>
          <w:szCs w:val="18"/>
          <w:color w:val="auto"/>
        </w:rPr>
        <w:t>Revenue is recognized at the point in time when control transfers to the customer, which generally occurs when title and risk of loss have passed to the customer.</w:t>
      </w:r>
    </w:p>
    <w:p>
      <w:pPr>
        <w:spacing w:after="0" w:line="181"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review cost performance, estimates to complete and variable consideration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4" w:lineRule="auto"/>
        <w:rPr>
          <w:sz w:val="20"/>
          <w:szCs w:val="20"/>
          <w:color w:val="auto"/>
        </w:rPr>
      </w:pPr>
      <w:r>
        <w:rPr>
          <w:rFonts w:ascii="Times New Roman" w:cs="Times New Roman" w:eastAsia="Times New Roman" w:hAnsi="Times New Roman"/>
          <w:sz w:val="17"/>
          <w:szCs w:val="17"/>
          <w:color w:val="auto"/>
        </w:rPr>
        <w:t>undefinitized contract actions or unpriced change orders could result in cumulative catch up adjustments to revenue that could be material. During the fiscal years ended April 30, 2025, 2024 and 2023,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ASC 606. Incentives or penalties and awards applicable to performance on contracts are considered in estimating revenue and profit rates, and are recorded when there is sufficient information to assess anticipated contract performance.</w:t>
      </w:r>
    </w:p>
    <w:p>
      <w:pPr>
        <w:spacing w:after="0" w:line="173"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April 30, 2025, 2024 and 2023, favorable and unfavorable cumulative catch-up adjustments included in revenue were as follows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1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adjustments</w:t>
            </w:r>
          </w:p>
        </w:tc>
        <w:tc>
          <w:tcPr>
            <w:tcW w:w="1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April 30, 2025, favorable cumulative catch up adjustments of $11.1 million were primarily due to favorable adjustments on eight contracts. Four LMS undefinitized contract actions were definitized during the year ended April 30, 2025, which resulted in cumulative catch-up revenue adjustments that increased revenue by approximately $9.9 million. The remaining adjustments individually were not material. For the same period, unfavorable cumulative catch up adjustments of $5.1 million were primarily related to unfavorable adjustments on 17 contracts for higher revised estimates of the total expected costs to complete the contract, including one LMS contract, which decreased revenue by approximately $2.9 million. The remaining adjustments individually were not material.</w:t>
      </w:r>
    </w:p>
    <w:p>
      <w:pPr>
        <w:spacing w:after="0" w:line="12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April 30, 2024, favorable cumulative catch up adjustments of $7.4 million were primarily due to final cost adjustments on 17 contracts. During the year ended April 30, 2024, we revised our estimates of the total expected costs to complete two LMS contracts. The aggregate impact of these adjustments in contract estimates on revenue related to performance obligations satisfied or partially satisfied in previous periods was an increase to revenue of approximately $2.7 million. For the same period, unfavorable cumulative catch up adjustments of $2.0 million were primarily related to higher than expected costs on 11 contracts, which individually were not material.</w:t>
      </w:r>
    </w:p>
    <w:p>
      <w:pPr>
        <w:spacing w:after="0" w:line="18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April 30, 2023, favorable cumulative catch up adjustments of $2.9 million were primarily due to final cost adjustments on 23 contracts, which individually were not material. For the same period, unfavorable cumulative catch up adjustments of $3.8 million were primarily related to unfavorable adjustments on 5 contracts for higher revised estimates of the total expected costs to complete the contract, including one LMS variant contract, which decreased revenue by approximately $1.9 million. The remaining adjustments individually were not material.</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Inventories Reserves for Excess and Obsolescence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slow-moving items. We write down our inventory for estimated obsolescence or unmarketable inventory equal to the difference between the cost of inventory and the estimated net realizable value based on assumptions about future demand and market conditions and record to cost of sales. We may be required to record additional inventory write-downs if actual market conditions are less favorable than those projected by our management.</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Intangible Assets – Acquired in Business Combinations</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We perform valuations of assets acquired and liabilities assumed on each acquisition accounted for as a business combination and allocate the purchase price of each acquired business to our respective net tangible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intangible assets. Acquired intangible assets include: technology, backlog, in-process research and development, customer relationships, licenses, trademarks and tradenames, and non-compete agreements. We use valuation techniques to value these intangibles assets, with the primary technique being a discounted cash flow analysis. A discounted cash 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of such assets are consumed. As part of our annual goodwill impairment and identifiable asset test, performed during the quarter ended April 30, 2025, a decrease in forecasted results for the UGV reporting unit resulting from reduced probability and delays of obtaining certain opportunities as well as an increase in forecast expenditures to support operational decisions identified during the fiscal quarter ended April 30, 2025 resulted in accelerated intangible amortization expenses of $4.3 million which were recorded during the three months ended April 30, 2025. Due to the closure of all of our MUAS COCO sites during the three months ended April 30, 2023, we revised the estimated useful life for MUAS customer relationships which resulted in accelerated intangible amortization expenses of $34.1 million during the fiscal year ended April 30, 2023. Additionally, in conjunction with the goodwill impairment test performed during the year ended April 30, 2023, the remaining intangibles in the MUAS reporting unit were tested for recoverability. The asset recoverability test did not result in an impairment for the remaining intangibles in the MUAS reporting unit. Refer to Note 6—Goodwill for further details.</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its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its business.</w:t>
      </w:r>
    </w:p>
    <w:p>
      <w:pPr>
        <w:spacing w:after="0" w:line="192" w:lineRule="exact"/>
        <w:rPr>
          <w:sz w:val="20"/>
          <w:szCs w:val="20"/>
          <w:color w:val="auto"/>
        </w:rPr>
      </w:pPr>
    </w:p>
    <w:p>
      <w:pPr>
        <w:ind w:left="60" w:right="199" w:firstLine="648"/>
        <w:spacing w:after="0" w:line="273" w:lineRule="auto"/>
        <w:rPr>
          <w:sz w:val="20"/>
          <w:szCs w:val="20"/>
          <w:color w:val="auto"/>
        </w:rPr>
      </w:pPr>
      <w:r>
        <w:rPr>
          <w:rFonts w:ascii="Times New Roman" w:cs="Times New Roman" w:eastAsia="Times New Roman" w:hAnsi="Times New Roman"/>
          <w:sz w:val="17"/>
          <w:szCs w:val="17"/>
          <w:color w:val="auto"/>
        </w:rPr>
        <w:t>As part of our annual goodwill impairment and identifiable asset test during the fiscal quarter ended April 30, 2025, we determined the carrying value of the UGV reporting unit exceeded its fair value due to a decrease in forecasted results of the UGV reporting unit resulting from reduced probability and delays of obtaining certain opportunities as well as an increase in forecast expenditures to support operational decisions identified during the fiscal quarter ended April 30, 2025. These changes in estimates resulted in the recognition of a goodwill impairment charge of $18.4 million during the three months ended April 30, 2025 in the UGV reporting unit. We determined that it was more likely than not that the fair value of our other reporting units were more than their carrying values as of the annual goodwill impairment test date.</w:t>
      </w:r>
    </w:p>
    <w:p>
      <w:pPr>
        <w:spacing w:after="0" w:line="17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Subsequent to the performance of our annual goodwill impairment test for the fiscal year ended April 30, 2023,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EBITDA growth rate expectations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99"/>
        <w:spacing w:after="0" w:line="312" w:lineRule="auto"/>
        <w:rPr>
          <w:sz w:val="20"/>
          <w:szCs w:val="20"/>
          <w:color w:val="auto"/>
        </w:rPr>
      </w:pPr>
      <w:r>
        <w:rPr>
          <w:rFonts w:ascii="Times New Roman" w:cs="Times New Roman" w:eastAsia="Times New Roman" w:hAnsi="Times New Roman"/>
          <w:sz w:val="17"/>
          <w:szCs w:val="17"/>
          <w:color w:val="auto"/>
        </w:rPr>
        <w:t>used in the valuation of the MUAS reporting unit. These changes in estimates, resulted in the recognition of a goodwill impairment charge of $156.0 million in the MUAS reporting unit recorded during the fiscal year ended April 30, 2023.</w:t>
      </w:r>
    </w:p>
    <w:p>
      <w:pPr>
        <w:spacing w:after="0" w:line="140"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of April 30, 2025, our MUAS reporting unit has a goodwill balance of $135.8 million. During the most recent annual impairment test during the fourth quarter of fiscal year 2025, the estimated fair value of all reporting units, other than UGV, substantially exceeded their carrying value.</w:t>
      </w:r>
    </w:p>
    <w:p>
      <w:pPr>
        <w:spacing w:after="0" w:line="176"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income tax provision and related income tax assets and liabilities are based on actual and expected future income, U.S. and foreign statutory income tax rates, and tax regulations and planning opportunities in the various jurisdictions in which it operates. Significant judgment is required in interpreting tax regulations in the United States and in foreign jurisdictions, evaluating our worldwide uncertain tax positions, and assessing the likelihood of realizing certain tax benefits. Actual results could differ materially from those judgments, and changes in judgments could materially affect our consolidated financial statements.</w:t>
      </w:r>
    </w:p>
    <w:p>
      <w:pPr>
        <w:spacing w:after="0" w:line="187" w:lineRule="exact"/>
        <w:rPr>
          <w:sz w:val="20"/>
          <w:szCs w:val="20"/>
          <w:color w:val="auto"/>
        </w:rPr>
      </w:pPr>
    </w:p>
    <w:p>
      <w:pPr>
        <w:ind w:left="60" w:right="199" w:firstLine="648"/>
        <w:spacing w:after="0" w:line="272" w:lineRule="auto"/>
        <w:rPr>
          <w:sz w:val="20"/>
          <w:szCs w:val="20"/>
          <w:color w:val="auto"/>
        </w:rPr>
      </w:pPr>
      <w:r>
        <w:rPr>
          <w:rFonts w:ascii="Times New Roman" w:cs="Times New Roman" w:eastAsia="Times New Roman" w:hAnsi="Times New Roman"/>
          <w:sz w:val="17"/>
          <w:szCs w:val="17"/>
          <w:color w:val="auto"/>
        </w:rPr>
        <w:t>We are required to estimate our income taxes, which includes estimating our current income taxes as well as measuring the temporary differences resulting from different treatment of items for tax and accounting purposes. We currently have significant deferred tax assets, which are subject to periodic recoverability assessments. Realizing our deferred tax assets principally depends on our achieving projected future taxable income. We may change our judgments regarding future profitability due to future market conditions and other factors, which may result in recording a valuation allowance against those deferred tax assets. We record a valuation allowance to reduce our deferred tax assets if, based on the weight of available evidence, we believe expected future taxable income is not likely to support the use of a deduction or credit in that jurisdiction. We evaluate the level of our valuation allowances during the interim and annually.</w:t>
      </w:r>
    </w:p>
    <w:p>
      <w:pPr>
        <w:spacing w:after="0" w:line="17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record unrecognized tax benefits for U.S. federal, state, local, and foreign tax positions related primarily to tax credits claimed and tax nexus. For each reporting period, we apply a consistent methodology to measure unrecognized tax benefits and all unrecognized tax benefits are reviewed periodically and adjusted as circumstances warrant. Our measurement of our unrecognized tax benefits is based on our assessment of all relevant information, including prior audit experience, the status of audits, conclusions of tax audits, lapsing of applicable statutes of limitations, identification of new issues, and any administrative guidance or developments. We recognize unrecognized tax benefits in the first financial reporting period in which information becomes available indicating that such benefits will more likely than not (a greater than 50% likelihood) be realized.</w:t>
      </w:r>
    </w:p>
    <w:p>
      <w:pPr>
        <w:spacing w:after="0" w:line="19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have various foreign subsidiaries to conduct or support our business outside the United States. We do not provide for U.S. income taxes on undistributed earnings for our foreign subsidiaries as we expect the foreign earnings will be indefinitely reinvested in such foreign jurisdictions.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fiscal year ends on April 30. Due to our fixed year end date of April 30, our first and fourth quarters each consist of approximately 13 weeks. The second and third quarters each consist of exactly 13 weeks. Our first three quarters end on a Saturday.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619"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sets forth certain historical consolidated income statement data expressed in dollars (in thousands) and as a percentage of revenue for the periods indicated. Certain amounts may not sum due to rounding.</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820,627</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540,536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501,991</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432,789</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367,022</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318,636</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283,931</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173,514</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158,753</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114,420</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131,905</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100,729</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97,687</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64,255</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156,017</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40,795</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71,824</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(178,663)</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80" w:type="dxa"/>
            <w:vAlign w:val="bottom"/>
          </w:tcPr>
          <w:p>
            <w:pPr>
              <w:spacing w:after="0"/>
              <w:rPr>
                <w:sz w:val="18"/>
                <w:szCs w:val="18"/>
                <w:color w:val="auto"/>
              </w:rPr>
            </w:pPr>
          </w:p>
        </w:tc>
        <w:tc>
          <w:tcPr>
            <w:tcW w:w="6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18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18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(188,377)</w:t>
            </w:r>
          </w:p>
        </w:tc>
        <w:tc>
          <w:tcPr>
            <w:tcW w:w="180" w:type="dxa"/>
            <w:vAlign w:val="bottom"/>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 income (loss), net of tax</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80" w:type="dxa"/>
            <w:vAlign w:val="bottom"/>
          </w:tcPr>
          <w:p>
            <w:pPr>
              <w:spacing w:after="0"/>
              <w:rPr>
                <w:sz w:val="18"/>
                <w:szCs w:val="18"/>
                <w:color w:val="auto"/>
              </w:rPr>
            </w:pPr>
          </w:p>
        </w:tc>
        <w:tc>
          <w:tcPr>
            <w:tcW w:w="6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43,619</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(176,167)</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AeroVironment, Inc.</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have the following reportable segments through its fiscal year ended April 30, 2025: Uncrewed Systems (“UxS”) segment, Loitering Munition Systems (“LMS”) segment; and the MacCready Works (“MW”) segment. The following table (in thousands) sets forth our revenue and segment adjusted gross margin generated by each reporting segment for the periods indicated. Segment adjusted gross margin is defined as gross margin before intangible amortization and amortization of other purchase accounting adjustments.</w:t>
      </w:r>
    </w:p>
    <w:p>
      <w:pPr>
        <w:spacing w:after="0" w:line="183"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Effective May 1, 2025 due to the acquisition of BlueHalo and our reorganization, reportable segments will be updated into the two reportable segments (i) Autonomous Systems and (ii) Space, Cyber and Directed Energy. Autonomous Systems will include the historical AeroVironment businesses (UxS, LMS and MW) as well as Unmanned Maritime, Radio Frequency and Kinetic C-UAS, Electronic Warfare Systems and Autonomous R&amp;D. Space, Cyber and Directed Energy will include the remaining acquired BlueHalo businesses including Digital beamforming technology, Laser Communications, Space-Qualified Hardware, Phased Array Antenna Technology, Directed Energy, Cyber and Mission Systems. We will begin to report our segments in the new structure in our Quarterly Report on Form 10-Q for the quarter ending July 26, 2025, the period in which the new organizational structure became effective.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93"/>
        <w:spacing w:after="0" w:line="255" w:lineRule="auto"/>
        <w:rPr>
          <w:sz w:val="20"/>
          <w:szCs w:val="20"/>
          <w:color w:val="auto"/>
        </w:rPr>
      </w:pPr>
      <w:r>
        <w:rPr>
          <w:rFonts w:ascii="Times New Roman" w:cs="Times New Roman" w:eastAsia="Times New Roman" w:hAnsi="Times New Roman"/>
          <w:sz w:val="18"/>
          <w:szCs w:val="18"/>
          <w:color w:val="auto"/>
        </w:rPr>
        <w:t>Also effective May 1, 2025 due to the increased size and complexity of the businesses, the significant amount of debt to finance the acquisition and the related debt covenants, the Chief Operating Decision Maker’s (“CODM”) measure of profitability for the new reportable segments will be Segment Adjusted EBITDA, defined as income from operations before interest income, interest expense, income tax expense (benefit) and depreciation and amortization, adjusted for the impact of certain other non-cash items, including goodwill impairment, amortization of implementation of cloud computing arrangements, stock-based compensation, other purchase accounting adjustments and cash items including acquisition related expenses.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UxS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April 30, 2025</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LMS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352,932</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333,506</w:t>
            </w:r>
          </w:p>
        </w:tc>
        <w:tc>
          <w:tcPr>
            <w:tcW w:w="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28,846</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80,588</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127,905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Cost of sales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501,991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Intangible amortization included in cost of</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187,125</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128,555</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UxS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April 30, 2024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LMS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415,074</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168,863</w:t>
            </w:r>
          </w:p>
        </w:tc>
        <w:tc>
          <w:tcPr>
            <w:tcW w:w="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Cost of sales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Add: Intangible amortization included in cost of</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0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UxS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April 30, 2023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LMS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268,021</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84,686</w:t>
            </w:r>
          </w:p>
        </w:tc>
        <w:tc>
          <w:tcPr>
            <w:tcW w:w="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353,062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35,938</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75,647</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187,474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Cost of sales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Intangible amortization included in cost of</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124,681</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42,736</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20,103</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We recorded intangible amortization expense and other purchase accounting adjustments in the following categories on the accompanying consolidated statements of income (loss):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w:t>
            </w:r>
          </w:p>
        </w:tc>
      </w:tr>
      <w:tr>
        <w:trPr>
          <w:trHeight w:val="21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49,561</w:t>
            </w:r>
          </w:p>
        </w:tc>
      </w:tr>
      <w:tr>
        <w:trPr>
          <w:trHeight w:val="209"/>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63,567</w:t>
            </w: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 April 30, 2025 Compared to Fiscal Year Ended April 30, 2024</w:t>
      </w:r>
    </w:p>
    <w:p>
      <w:pPr>
        <w:spacing w:after="0" w:line="225" w:lineRule="exact"/>
        <w:rPr>
          <w:sz w:val="20"/>
          <w:szCs w:val="20"/>
          <w:color w:val="auto"/>
        </w:rPr>
      </w:pPr>
    </w:p>
    <w:p>
      <w:pPr>
        <w:jc w:val="both"/>
        <w:ind w:left="60" w:right="259" w:firstLine="648"/>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Revenue for the fiscal year ended April 30, 2025 was $820.6 million, as compared to $716.7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fiscal year ended April 30, 2024, representing an increase of $103.9 million, or 14%. The increase in revenue was due to an increase in product revenue of $107.0 million, partially offset by a decrease in service revenue of $3.0 million.</w:t>
      </w:r>
    </w:p>
    <w:p>
      <w:pPr>
        <w:spacing w:after="0" w:line="1"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The increase in product revenue was primarily due to an increase of $164.7 million from the production of our Switchblade products, driven by increased global demand for our LMS associated with the current global conflicts as well as U.S. DoD. resupply and an increase of $4.4 million from the delivery of MW products driven by demand for new product releases, partially offset by a decrease of $62.1 million of product deliveries of our UxS products, primarily due to a decrease in international sales to Ukraine. Fiscal 2025 also included favorable cumulative catch-up revenue adjustments of $12.0 million due to changes in estimates associated with the definitization of certain LMS contracts. The decrease in service revenue was primarily due to a decrease of $2.8 million in other engineering services and customer-funded R&amp;D activities primarily associated with the shift from development to production of certain LMS products. With the acquisition of BlueHalo, we expect the proportion of service revenue to total revenue to increase in fiscal year 2026 and beyond.</w:t>
      </w:r>
    </w:p>
    <w:p>
      <w:pPr>
        <w:spacing w:after="0" w:line="17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Cost of sales for the fiscal year ended April 30, 2025 was $502.0 million, as compared to $432.8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fiscal year ended April 30, 2024, representing an increase of $69.2 million, or 16%. The increase in cost of sales was a result of an increase in product cost of sales of $64.2 million and an increase in service costs of sales of $5.0 million. The increase in product cost of sales was primarily due to approximately $62 million associated with the increase in product sales volume, $4.6 million due to the UGV accelerated intangible amortization expenses, partially offset by a decrease of approximately $3 million due to product mix shift primarily to the definitization of LMS contracts. The increase of $5.0 million in service costs of sales was primarily due to approximately $7 million increase due to mix shift associated with a higher proportion of engineering services, partially offset by approximately $2 million associated with the decreased service volume. Cost of sales for the fiscal year ended April 30, 2025 included $19.4 million of intangible amortization as compared to $13.5 million of intangible amortization and other related non-cash purchase accounting expenses for the fiscal year ended April 30, 2024. As a percentage of revenue, cost of sales increased from 60% to 61%, primarily due to the accelerated amortization of UGV intangibles of $4.6 million, partially offset by an increase in the proportion of product revenue to total revenue, resulting in a decrease in gross margin from 40% to 39%.</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SG&amp;A expense for the fiscal year ended April 30, 2025 was $158.8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19% of revenue, as compared to SG&amp;A expense of $114.4 million, or 16% of revenue, for the fiscal year ended April 30, 2024. The increase in SG&amp;A expense was primarily due to an increase of $17.2 million in acquisition related expenses related to the BlueHalo acquisition, an increase in employee related expenses of $10.0 million driven by an increase in average headcount and expansion of our global business development team, and an increase in sales and marketing expense of $9.4 million driven by an increase in bid and proposal efforts associated with the higher sales volume.</w:t>
      </w:r>
    </w:p>
    <w:p>
      <w:pPr>
        <w:spacing w:after="0" w:line="183" w:lineRule="exact"/>
        <w:rPr>
          <w:sz w:val="20"/>
          <w:szCs w:val="20"/>
          <w:color w:val="auto"/>
        </w:rPr>
      </w:pPr>
    </w:p>
    <w:p>
      <w:pPr>
        <w:ind w:left="60" w:right="1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R&amp;D expense for the fiscal year ended April 30, 2025 was $100.7 million, or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revenue, as compared to R&amp;D expense of $97.7 million, or 14% of revenue, for the fiscal year ended April 30,</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2024. R&amp;D expense increased by $3.0 million, or 3%, for the fiscal year ended April 30, 2025, primarily due to an increase in development activities regarding enhanced capabilities for our products, development of new product lines and to support our acquired businesses.</w:t>
      </w:r>
    </w:p>
    <w:p>
      <w:pPr>
        <w:spacing w:after="0" w:line="172"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w:t>
      </w:r>
      <w:r>
        <w:rPr>
          <w:rFonts w:ascii="Times New Roman" w:cs="Times New Roman" w:eastAsia="Times New Roman" w:hAnsi="Times New Roman"/>
          <w:sz w:val="18"/>
          <w:szCs w:val="18"/>
          <w:color w:val="auto"/>
        </w:rPr>
        <w:t>A goodwill impairment charge of $18.4 million resulting from a decrease in forecasted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of the UGV reporting unit identified during our annual goodwill impairment test during the three months ended April 30, 2025 in the UGV reporting unit.</w:t>
      </w:r>
    </w:p>
    <w:p>
      <w:pPr>
        <w:spacing w:after="0" w:line="171"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Interest Expense, net. </w:t>
      </w:r>
      <w:r>
        <w:rPr>
          <w:rFonts w:ascii="Times New Roman" w:cs="Times New Roman" w:eastAsia="Times New Roman" w:hAnsi="Times New Roman"/>
          <w:sz w:val="18"/>
          <w:szCs w:val="18"/>
          <w:color w:val="auto"/>
        </w:rPr>
        <w:t>Interest expense, net for the fiscal year ended April 30, 2025 was $2.2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interest expense net of $4.2 million for the fiscal year ended April 30, 2024. The decrease in interest expense, net was primarily due to a decrease of $5.0 million in interest expense primarily due to lower average outstanding balances on our debt facility, partially offset by a decrease in interest income of $2.5 million primarily due to lower interest rates and a decrease in our average investment balances. On May 1, 2025 in connection with the closing of the BlueHalo acquisition, we entered into a new Term A Loan and borrowed from our revolving credit facility (the “Revolving Credit Facility,” and together with the Term A Loan, the “Credit Facilities”). As of May 1, 2025, the outstanding balance of the Credit Facilities was $955.0 million, which bears a variable interest rate. Interest expense for fiscal year 2026 is expected to increase significantly.</w:t>
      </w:r>
    </w:p>
    <w:p>
      <w:pPr>
        <w:spacing w:after="0" w:line="188" w:lineRule="exact"/>
        <w:rPr>
          <w:sz w:val="20"/>
          <w:szCs w:val="20"/>
          <w:color w:val="auto"/>
        </w:rPr>
      </w:pPr>
    </w:p>
    <w:p>
      <w:pPr>
        <w:ind w:left="60" w:right="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Income (Expense), net. </w:t>
      </w:r>
      <w:r>
        <w:rPr>
          <w:rFonts w:ascii="Times New Roman" w:cs="Times New Roman" w:eastAsia="Times New Roman" w:hAnsi="Times New Roman"/>
          <w:sz w:val="18"/>
          <w:szCs w:val="18"/>
          <w:color w:val="auto"/>
        </w:rPr>
        <w:t>Other income, net for the fiscal year ended April 30, 2025 was $1.1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other expense, net of $4.4 million for the fiscal year ended April 30, 2024. The increase in other income, net is primarily due to a decrease in unrealized losses associated with increases in fair market value for equity security investments of $4.1 million.</w:t>
      </w:r>
    </w:p>
    <w:p>
      <w:pPr>
        <w:spacing w:after="0" w:line="176" w:lineRule="exact"/>
        <w:rPr>
          <w:sz w:val="20"/>
          <w:szCs w:val="20"/>
          <w:color w:val="auto"/>
        </w:rPr>
      </w:pPr>
    </w:p>
    <w:p>
      <w:pPr>
        <w:ind w:left="60" w:right="2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income tax rate was 2.2% for the fiscal year ended April 30, 2025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for the fiscal year ended April 30, 2024. The decrease in our effective tax rate in fiscal 2025 compared with fiscal 2024 was primarily due to a decrease in net income, a decrease in our FDII deduction, offset by non-deductible goodwill impairment expense from our foreign subsidiary.</w:t>
      </w:r>
    </w:p>
    <w:p>
      <w:pPr>
        <w:spacing w:after="0" w:line="176" w:lineRule="exact"/>
        <w:rPr>
          <w:sz w:val="20"/>
          <w:szCs w:val="20"/>
          <w:color w:val="auto"/>
        </w:rPr>
      </w:pPr>
    </w:p>
    <w:p>
      <w:pPr>
        <w:jc w:val="both"/>
        <w:ind w:left="6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 gain (loss), net of tax. </w:t>
      </w:r>
      <w:r>
        <w:rPr>
          <w:rFonts w:ascii="Times New Roman" w:cs="Times New Roman" w:eastAsia="Times New Roman" w:hAnsi="Times New Roman"/>
          <w:sz w:val="18"/>
          <w:szCs w:val="18"/>
          <w:color w:val="auto"/>
        </w:rPr>
        <w:t>Equity method investment gain, net of tax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April 30, 2025 was $4.8 million, as compared to equity method investment loss of $(1.7) million for the fiscal year ended April 30, 2024.</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Segment Results of Operations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Loitering Munitions Systems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7"/>
        </w:trPr>
        <w:tc>
          <w:tcPr>
            <w:tcW w:w="4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412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r>
      <w:tr>
        <w:trPr>
          <w:trHeight w:val="196"/>
        </w:trPr>
        <w:tc>
          <w:tcPr>
            <w:tcW w:w="4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19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333,506</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168,863</w:t>
            </w:r>
          </w:p>
        </w:tc>
        <w:tc>
          <w:tcPr>
            <w:tcW w:w="20" w:type="dxa"/>
            <w:vAlign w:val="bottom"/>
          </w:tcPr>
          <w:p>
            <w:pPr>
              <w:spacing w:after="0"/>
              <w:rPr>
                <w:sz w:val="18"/>
                <w:szCs w:val="18"/>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1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18,471</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351,977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192,587</w:t>
            </w:r>
          </w:p>
        </w:tc>
        <w:tc>
          <w:tcPr>
            <w:tcW w:w="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Cost of sales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223,422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124,363</w:t>
            </w:r>
          </w:p>
        </w:tc>
        <w:tc>
          <w:tcPr>
            <w:tcW w:w="20" w:type="dxa"/>
            <w:vAlign w:val="bottom"/>
          </w:tcPr>
          <w:p>
            <w:pPr>
              <w:spacing w:after="0"/>
              <w:rPr>
                <w:sz w:val="18"/>
                <w:szCs w:val="18"/>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Intangible amortization included in cost of sales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74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128,555</w:t>
            </w:r>
          </w:p>
        </w:tc>
        <w:tc>
          <w:tcPr>
            <w:tcW w:w="3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68,224</w:t>
            </w:r>
          </w:p>
        </w:tc>
        <w:tc>
          <w:tcPr>
            <w:tcW w:w="20" w:type="dxa"/>
            <w:vAlign w:val="bottom"/>
          </w:tcPr>
          <w:p>
            <w:pPr>
              <w:spacing w:after="0"/>
              <w:rPr>
                <w:sz w:val="19"/>
                <w:szCs w:val="19"/>
                <w:color w:val="auto"/>
              </w:rPr>
            </w:pPr>
          </w:p>
        </w:tc>
      </w:tr>
      <w:tr>
        <w:trPr>
          <w:trHeight w:val="846"/>
        </w:trPr>
        <w:tc>
          <w:tcPr>
            <w:tcW w:w="4120" w:type="dxa"/>
            <w:vAlign w:val="bottom"/>
          </w:tcPr>
          <w:p>
            <w:pPr>
              <w:spacing w:after="0"/>
              <w:rPr>
                <w:sz w:val="24"/>
                <w:szCs w:val="24"/>
                <w:color w:val="auto"/>
              </w:rPr>
            </w:pPr>
          </w:p>
        </w:tc>
        <w:tc>
          <w:tcPr>
            <w:tcW w:w="174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LMS Revenue. </w:t>
      </w:r>
      <w:r>
        <w:rPr>
          <w:rFonts w:ascii="Times New Roman" w:cs="Times New Roman" w:eastAsia="Times New Roman" w:hAnsi="Times New Roman"/>
          <w:sz w:val="18"/>
          <w:szCs w:val="18"/>
          <w:color w:val="auto"/>
        </w:rPr>
        <w:t>LMS revenue for the fiscal year ended April 30, 2025 was $352.0 million, as compared to $192.6</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for the fiscal year ended April 30, 2024, representing an increase of $159.4 million, or 83%. The increase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was due to an increase in product revenue of $164.6 million, partially offset by a decrease in service revenue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$5.2 million. The increase in product revenue was primarily due to increased production of our LMS systems due to global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demand for our LMS systems associated with the current global conflicts as well as U.S. DoD resupply. Fiscal 2025 also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included favorable cumulative catch-up revenue adjustments of $12.0 million due to changes in estimates associated with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definitization of certain LMS contracts. The decrease in service revenue was primarily due to a decrease of $4.2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customer-funded R&amp;D activities primarily associated with the shift from development to production of certain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Switchblade products.</w:t>
      </w:r>
    </w:p>
    <w:p>
      <w:pPr>
        <w:spacing w:after="0" w:line="20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LMS Segment Adjusted Gross Margin. </w:t>
      </w:r>
      <w:r>
        <w:rPr>
          <w:rFonts w:ascii="Times New Roman" w:cs="Times New Roman" w:eastAsia="Times New Roman" w:hAnsi="Times New Roman"/>
          <w:sz w:val="18"/>
          <w:szCs w:val="18"/>
          <w:color w:val="auto"/>
        </w:rPr>
        <w:t>LMS segment adjusted gross margin for the fiscal year ended April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was $128.6 million, as compared to $68.2 million for the fiscal year ended April 30, 2024, representing an increase of $60.4 million. The increase in LMS segment adjusted gross margin was primarily due to an increase of $159.4 million in revenue, inclusive of the cumulative catch-up revenue adjustments of $12.0 million, partially offset by an increase of $99.0 million in cost of sales excluding amortization of intangibles, of which approximately $103 million is associated with the increased sales volume, partially offset by approximately $4 million due to shift in mix primarily related to the definitization of LMS contracts.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Uncrewed Systems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7"/>
        </w:trPr>
        <w:tc>
          <w:tcPr>
            <w:tcW w:w="4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412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r>
      <w:tr>
        <w:trPr>
          <w:trHeight w:val="196"/>
        </w:trPr>
        <w:tc>
          <w:tcPr>
            <w:tcW w:w="4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19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352,932</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415,074</w:t>
            </w:r>
          </w:p>
        </w:tc>
        <w:tc>
          <w:tcPr>
            <w:tcW w:w="20" w:type="dxa"/>
            <w:vAlign w:val="bottom"/>
          </w:tcPr>
          <w:p>
            <w:pPr>
              <w:spacing w:after="0"/>
              <w:rPr>
                <w:sz w:val="18"/>
                <w:szCs w:val="18"/>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1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28,846</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20" w:type="dxa"/>
            <w:vAlign w:val="bottom"/>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381,778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448,006</w:t>
            </w:r>
          </w:p>
        </w:tc>
        <w:tc>
          <w:tcPr>
            <w:tcW w:w="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Cost of sales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249,763</w:t>
            </w:r>
          </w:p>
        </w:tc>
        <w:tc>
          <w:tcPr>
            <w:tcW w:w="20" w:type="dxa"/>
            <w:vAlign w:val="bottom"/>
          </w:tcPr>
          <w:p>
            <w:pPr>
              <w:spacing w:after="0"/>
              <w:rPr>
                <w:sz w:val="18"/>
                <w:szCs w:val="18"/>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Intangible amortization included in cost of sales</w:t>
            </w:r>
          </w:p>
        </w:tc>
        <w:tc>
          <w:tcPr>
            <w:tcW w:w="1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20" w:type="dxa"/>
            <w:vAlign w:val="bottom"/>
          </w:tcPr>
          <w:p>
            <w:pPr>
              <w:spacing w:after="0"/>
              <w:rPr>
                <w:sz w:val="18"/>
                <w:szCs w:val="18"/>
                <w:color w:val="auto"/>
              </w:rPr>
            </w:pPr>
          </w:p>
        </w:tc>
      </w:tr>
      <w:tr>
        <w:trPr>
          <w:trHeight w:val="22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74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187,125</w:t>
            </w:r>
          </w:p>
        </w:tc>
        <w:tc>
          <w:tcPr>
            <w:tcW w:w="3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210,523</w:t>
            </w:r>
          </w:p>
        </w:tc>
        <w:tc>
          <w:tcPr>
            <w:tcW w:w="20" w:type="dxa"/>
            <w:vAlign w:val="bottom"/>
          </w:tcPr>
          <w:p>
            <w:pPr>
              <w:spacing w:after="0"/>
              <w:rPr>
                <w:sz w:val="19"/>
                <w:szCs w:val="19"/>
                <w:color w:val="auto"/>
              </w:rPr>
            </w:pPr>
          </w:p>
        </w:tc>
      </w:tr>
      <w:tr>
        <w:trPr>
          <w:trHeight w:val="630"/>
        </w:trPr>
        <w:tc>
          <w:tcPr>
            <w:tcW w:w="4120" w:type="dxa"/>
            <w:vAlign w:val="bottom"/>
          </w:tcPr>
          <w:p>
            <w:pPr>
              <w:spacing w:after="0"/>
              <w:rPr>
                <w:sz w:val="24"/>
                <w:szCs w:val="24"/>
                <w:color w:val="auto"/>
              </w:rPr>
            </w:pPr>
          </w:p>
        </w:tc>
        <w:tc>
          <w:tcPr>
            <w:tcW w:w="174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UxS Revenue. </w:t>
      </w:r>
      <w:r>
        <w:rPr>
          <w:rFonts w:ascii="Times New Roman" w:cs="Times New Roman" w:eastAsia="Times New Roman" w:hAnsi="Times New Roman"/>
          <w:sz w:val="18"/>
          <w:szCs w:val="18"/>
          <w:color w:val="auto"/>
        </w:rPr>
        <w:t>UxS revenue for the fiscal year ended April 30, 2025 was $381.8 million, as compared to $448.0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fiscal year ended April 30, 2024, representing a decrease of $66.2 million, or 15%. The decrease in revenue was due to a decrease in product revenue of $62.1 million and a decrease in service revenue of $4.1 million. The decrease in product revenue was primarily due to a decrease of $51.0 million for product shipments of our SUAS and MUAS family of systems driven by decreased international sales, most significantly to Ukraine. The decrease in service revenue was primarily due to a decrease of $3.3 million of customer funded R&amp;D and engineering services primarily due to the completion of certain MUAS contracts during the fiscal year ended April 30, 2024.</w:t>
      </w:r>
    </w:p>
    <w:p>
      <w:pPr>
        <w:spacing w:after="0" w:line="183" w:lineRule="exact"/>
        <w:rPr>
          <w:sz w:val="20"/>
          <w:szCs w:val="20"/>
          <w:color w:val="auto"/>
        </w:rPr>
      </w:pPr>
    </w:p>
    <w:p>
      <w:pPr>
        <w:ind w:left="60" w:right="2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UxS Segment Adjusted Gross Margin. </w:t>
      </w:r>
      <w:r>
        <w:rPr>
          <w:rFonts w:ascii="Times New Roman" w:cs="Times New Roman" w:eastAsia="Times New Roman" w:hAnsi="Times New Roman"/>
          <w:sz w:val="18"/>
          <w:szCs w:val="18"/>
          <w:color w:val="auto"/>
        </w:rPr>
        <w:t>UxS segment adjusted gross margin for the fiscal year ended April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was $187.1 million, as compared to $210.5 million for the fiscal year ended April 30, 2024, representing a decrease of $23.4 million. The decrease in UxS segment adjusted gross margin was primarily due to a decrease of $66.2 million in revenue, partially offset by a decrease of $42.8 million in cost of sales excluding intangible amortization. The decrease of $42.8 million in costs of sales excluding intangible amortization is primarily due to a decrease of approximately $35 million associated with the decreased sales volume and shift in mix of approximately $8 million due to mix.</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MacCready Works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Borders>
              <w:bottom w:val="single" w:sz="8" w:color="auto"/>
            </w:tcBorders>
          </w:tcPr>
          <w:p>
            <w:pPr>
              <w:spacing w:after="0"/>
              <w:rPr>
                <w:sz w:val="14"/>
                <w:szCs w:val="14"/>
                <w:color w:val="auto"/>
              </w:rPr>
            </w:pPr>
          </w:p>
        </w:tc>
      </w:tr>
      <w:tr>
        <w:trPr>
          <w:trHeight w:val="227"/>
        </w:trPr>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20" w:type="dxa"/>
            <w:vAlign w:val="bottom"/>
          </w:tcPr>
          <w:p>
            <w:pPr>
              <w:spacing w:after="0"/>
              <w:rPr>
                <w:sz w:val="19"/>
                <w:szCs w:val="19"/>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5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16"/>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80,588</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r>
      <w:tr>
        <w:trPr>
          <w:trHeight w:val="209"/>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76,127</w:t>
            </w:r>
          </w:p>
        </w:tc>
      </w:tr>
      <w:tr>
        <w:trPr>
          <w:trHeight w:val="216"/>
        </w:trPr>
        <w:tc>
          <w:tcPr>
            <w:tcW w:w="5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Cost of sales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58,663</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Intangible amortization included in cost of sales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3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18,732</w:t>
            </w:r>
          </w:p>
        </w:tc>
      </w:tr>
    </w:tbl>
    <w:p>
      <w:pPr>
        <w:spacing w:after="0" w:line="175"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MW Revenue. </w:t>
      </w:r>
      <w:r>
        <w:rPr>
          <w:rFonts w:ascii="Times New Roman" w:cs="Times New Roman" w:eastAsia="Times New Roman" w:hAnsi="Times New Roman"/>
          <w:sz w:val="18"/>
          <w:szCs w:val="18"/>
          <w:color w:val="auto"/>
        </w:rPr>
        <w:t>MW revenue for the fiscal year ended April 30, 2025 was $86.9 million, as compared to $76.1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fiscal year ended April 30, 2024, representing an increase of $10.8 million, or 14%. The increase in revenue was primarily due to an increase of $6.3 million in service revenue and an increase of $4.5 million in product sales. The increase in service revenue is primarily due to an increase in engineering services and customer-funded R&amp;D in part due to HAPS return to flight services. The increase in product sales is primarily due to the shift from development to early-stage production of certain new products.</w:t>
      </w:r>
    </w:p>
    <w:p>
      <w:pPr>
        <w:spacing w:after="0" w:line="182" w:lineRule="exact"/>
        <w:rPr>
          <w:sz w:val="20"/>
          <w:szCs w:val="20"/>
          <w:color w:val="auto"/>
        </w:rPr>
      </w:pPr>
    </w:p>
    <w:p>
      <w:pPr>
        <w:ind w:left="60" w:right="9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MW Segment Adjusted Gross Margin. </w:t>
      </w:r>
      <w:r>
        <w:rPr>
          <w:rFonts w:ascii="Times New Roman" w:cs="Times New Roman" w:eastAsia="Times New Roman" w:hAnsi="Times New Roman"/>
          <w:sz w:val="18"/>
          <w:szCs w:val="18"/>
          <w:color w:val="auto"/>
        </w:rPr>
        <w:t>MW segment adjusted gross margin for the fiscal year ended April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was $22.4 million, as compared to MW segment adjusted gross margin of $18.7 million for the fiscal year ended April 30, 2024, representing an increase of $3.7 million. The increase in MW segment adjusted gross margin was primarily due to an increase of $10.8 million in revenue, partially offset by an increase of $7.1 million in cost of sales excluding amortization of intangibles of which approximately $8 million is associated with the increased sales volume.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 April 30, 2024 Compared to Fiscal Year Ended April 30, 2023</w:t>
      </w:r>
    </w:p>
    <w:p>
      <w:pPr>
        <w:spacing w:after="0" w:line="225"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Revenue for the fiscal year ended April 30, 2024 was $716.7 million, as compared to $540.5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fiscal year ended April 30, 2023, representing an increase of $176.2 million, or 33%. The increase in revenue was due to an increase in product revenue of $232.7 million, partially offset by a decrease in service revenue of $56.5 million. The increase in product revenue was primarily due to an increase of $147.1 million of product deliveries of our UxS products, including $10.6 million associated with the recent Tomahawk acquisition, and an increase of $84.2 million from the production of our Switchblade products. These increases were primarily driven by increased global demand for our uncrewed systems and loitering munitions systems associated with the current global conflicts as well as U.S. DoD resupply. The decrease in service revenue was primarily due to a decrease of $49.7 million due to the closure of all COCO site locations during fiscal year 2023 and a decrease of $11.1 million in other engineering services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customer-funded R&amp;D activities primarily associated with the shift from development to production of certain LMS products, partially offset by $5.3 million associated with the recent Tomahawk acquisition.</w:t>
      </w:r>
    </w:p>
    <w:p>
      <w:pPr>
        <w:spacing w:after="0" w:line="15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Cost of sales for the fiscal year ended April 30, 2024 was $432.8 million, as compared to $367.0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fiscal year ended April 30, 2023, representing an increase of $65.8 million, or 18%. The increase in cost of sales was a result of an increase in product cost of sales of $136.8 million, partially offset by a decrease in service costs of sales of $71.0 million. The increase of $136.8 million in product cost of sales was primarily due to approximately $126 million associated with the increase in product sales volume, an increase in inventory reserve charges of $5.8 million primarily related to the introduction of our next generation products and an increase of $4.1 million in intangible amortization expense primarily resulting from the Tomahawk acquisition. The decrease of $71.0 million in service costs of sales was primarily due to approximately $47 million associated with the decreased service volume, of which $44.4 million is due to the closure of all COCO site locations in the prior year, mix shift of approximately $20 million due to the continuation of services with higher margins than the ceased COCO services, and a decrease of $4.6 million in intangible amortization expense due to intangible assets being fully amortized. Cost of sales for the fiscal year ended April 30, 2024 included $13.5 million of intangible amortization and other related non-cash purchase accounting expenses as compared to $14.0 million for the fiscal year ended April 30, 2023. As a percentage of revenue, cost of sales decreased from 68% to 60%, primarily due to an increase in the proportion of product revenue to total revenue and the prior year COCO accelerated depreciation and amortization expenses resulting in an increase in gross margin from 32% to 40%.</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SG&amp;A expense for the fiscal year ended April 30, 2024 was $114.4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16% of revenue, as compared to SG&amp;A expense of $131.9 million, or 24% of revenue, for the fiscal year ended April 30, 2023. The decrease in SG&amp;A expense was primarily due to a decrease of $44.6 million in intangible amortization and other non-cash purchase accounting expenses. The decrease in intangible amortization expense was primarily driven by a decrease in COCO customer relationship amortization of $46.5 million due to the accelerated amortization of COCO customer relationships recorded during the three months ended April 30, 2023, partially offset by an increase of $1.7 million resulting from the Tomahawk acquisition. The decrease in SG&amp;A expense was partially offset by an increase in employee related expenses of $15.7 million driven by an increase in average headcount and expansion of our global business development team, an increase in sales and marketing expense of $6.4 million primarily due to an increase in bid and proposal efforts and an increase in depreciation expense of $1.4 million driven by increased capital requirements to support our growth.</w:t>
      </w:r>
    </w:p>
    <w:p>
      <w:pPr>
        <w:spacing w:after="0" w:line="182" w:lineRule="exact"/>
        <w:rPr>
          <w:sz w:val="20"/>
          <w:szCs w:val="20"/>
          <w:color w:val="auto"/>
        </w:rPr>
      </w:pPr>
    </w:p>
    <w:p>
      <w:pPr>
        <w:ind w:left="60" w:right="15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R&amp;D expense for the fiscal year ended April 30, 2024 was $97.7 million, or 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revenue, as compared to R&amp;D expense of $64.3 million, or 12% of revenue, for the fiscal year ended April 30, 2023. R&amp;D expense increased by $33.4 million, or 52%, for the fiscal year ended April 30, 2024, primarily due to an increase in development activities regarding enhanced capabilities for our products, development of new product lines and to support our acquired businesses.</w:t>
      </w:r>
    </w:p>
    <w:p>
      <w:pPr>
        <w:spacing w:after="0" w:line="179" w:lineRule="exact"/>
        <w:rPr>
          <w:sz w:val="20"/>
          <w:szCs w:val="20"/>
          <w:color w:val="auto"/>
        </w:rPr>
      </w:pPr>
    </w:p>
    <w:p>
      <w:pPr>
        <w:ind w:left="60" w:right="9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w:t>
      </w:r>
      <w:r>
        <w:rPr>
          <w:rFonts w:ascii="Times New Roman" w:cs="Times New Roman" w:eastAsia="Times New Roman" w:hAnsi="Times New Roman"/>
          <w:sz w:val="18"/>
          <w:szCs w:val="18"/>
          <w:color w:val="auto"/>
        </w:rPr>
        <w:t>During the fiscal year ended April 30, 2023, we recorded a goodwill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 of $156.0 million in the MUAS reporting unit due to a trigger event identified once we received notification that we were not down selected for a U.S. DoD program of record which resulted in a significant decrease in the projected future cash flows of the MUAS reporting unit.</w:t>
      </w:r>
    </w:p>
    <w:p>
      <w:pPr>
        <w:spacing w:after="0" w:line="176" w:lineRule="exact"/>
        <w:rPr>
          <w:sz w:val="20"/>
          <w:szCs w:val="20"/>
          <w:color w:val="auto"/>
        </w:rPr>
      </w:pPr>
    </w:p>
    <w:p>
      <w:pPr>
        <w:ind w:left="60" w:right="1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Interest Expense, net. </w:t>
      </w:r>
      <w:r>
        <w:rPr>
          <w:rFonts w:ascii="Times New Roman" w:cs="Times New Roman" w:eastAsia="Times New Roman" w:hAnsi="Times New Roman"/>
          <w:sz w:val="18"/>
          <w:szCs w:val="18"/>
          <w:color w:val="auto"/>
        </w:rPr>
        <w:t>Interest expense, net for the fiscal year ended April 30, 2024 was $4.2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interest expense net of $9.4 million for the fiscal year ended April 30, 2023. The decrease in interest expense, net was primarily due to an increase of $2.7 million in interest income due to an increase in the average interest rate earned on our cash balances and a decrease in interest expense of $2.5 million due to lower average outstanding balances on our debt facility, partially offset by higher interest rates applicable to our debt facility.</w:t>
      </w:r>
    </w:p>
    <w:p>
      <w:pPr>
        <w:spacing w:after="0" w:line="179" w:lineRule="exact"/>
        <w:rPr>
          <w:sz w:val="20"/>
          <w:szCs w:val="20"/>
          <w:color w:val="auto"/>
        </w:rPr>
      </w:pPr>
    </w:p>
    <w:p>
      <w:pPr>
        <w:ind w:left="60" w:right="2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Expense, net. </w:t>
      </w:r>
      <w:r>
        <w:rPr>
          <w:rFonts w:ascii="Times New Roman" w:cs="Times New Roman" w:eastAsia="Times New Roman" w:hAnsi="Times New Roman"/>
          <w:sz w:val="18"/>
          <w:szCs w:val="18"/>
          <w:color w:val="auto"/>
        </w:rPr>
        <w:t>Other expense, net for the fiscal year ended April 30, 2024 was $4.4 million, as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other expense, net of $0.3 million for the fiscal year ended April 30, 2023. The increase in other expense, net is</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primarily due to unrealized losses associated with decreases in fair market value for equity security investments of $3.9 million.</w:t>
      </w:r>
    </w:p>
    <w:p>
      <w:pPr>
        <w:spacing w:after="0" w:line="158" w:lineRule="exact"/>
        <w:rPr>
          <w:sz w:val="20"/>
          <w:szCs w:val="20"/>
          <w:color w:val="auto"/>
        </w:rPr>
      </w:pPr>
    </w:p>
    <w:p>
      <w:pPr>
        <w:ind w:left="6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income tax rate was 3.0% for the fiscal year ended April 30, 2024,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7.8% for the fiscal year ended April 30, 2023. The decrease in our effective tax rate was primarily due to the prior year’s loss before income taxes, an increase in the foreign-derived intangible income deduction and an increase in R&amp;D tax credits, partially offset by the prior year non-deductible goodwill impairment expense.</w:t>
      </w:r>
    </w:p>
    <w:p>
      <w:pPr>
        <w:spacing w:after="0" w:line="176" w:lineRule="exact"/>
        <w:rPr>
          <w:sz w:val="20"/>
          <w:szCs w:val="20"/>
          <w:color w:val="auto"/>
        </w:rPr>
      </w:pPr>
    </w:p>
    <w:p>
      <w:pPr>
        <w:ind w:left="60" w:right="2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 loss, net of tax. </w:t>
      </w:r>
      <w:r>
        <w:rPr>
          <w:rFonts w:ascii="Times New Roman" w:cs="Times New Roman" w:eastAsia="Times New Roman" w:hAnsi="Times New Roman"/>
          <w:sz w:val="18"/>
          <w:szCs w:val="18"/>
          <w:color w:val="auto"/>
        </w:rPr>
        <w:t>Equity method investment loss, net of tax for the fiscal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30, 2024 was $1.7 million, as compared to $2.5 million for the fiscal year ended April 30, 2023.</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Business Segment Results of Operations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Loitering Munitions Systems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Borders>
              <w:bottom w:val="single" w:sz="8" w:color="auto"/>
            </w:tcBorders>
          </w:tcPr>
          <w:p>
            <w:pPr>
              <w:spacing w:after="0"/>
              <w:rPr>
                <w:sz w:val="15"/>
                <w:szCs w:val="15"/>
                <w:color w:val="auto"/>
              </w:rPr>
            </w:pPr>
          </w:p>
        </w:tc>
      </w:tr>
      <w:tr>
        <w:trPr>
          <w:trHeight w:val="227"/>
        </w:trPr>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20" w:type="dxa"/>
            <w:vAlign w:val="bottom"/>
          </w:tcPr>
          <w:p>
            <w:pPr>
              <w:spacing w:after="0"/>
              <w:rPr>
                <w:sz w:val="19"/>
                <w:szCs w:val="19"/>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5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168,863</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84,686</w:t>
            </w:r>
          </w:p>
        </w:tc>
      </w:tr>
      <w:tr>
        <w:trPr>
          <w:trHeight w:val="216"/>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35,938</w:t>
            </w:r>
          </w:p>
        </w:tc>
      </w:tr>
      <w:tr>
        <w:trPr>
          <w:trHeight w:val="209"/>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192,587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120,624</w:t>
            </w:r>
          </w:p>
        </w:tc>
      </w:tr>
      <w:tr>
        <w:trPr>
          <w:trHeight w:val="216"/>
        </w:trPr>
        <w:tc>
          <w:tcPr>
            <w:tcW w:w="5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Cost of sales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77,888</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Intangible amortization included in cost of sales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68,224</w:t>
            </w:r>
          </w:p>
        </w:tc>
        <w:tc>
          <w:tcPr>
            <w:tcW w:w="3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42,736</w:t>
            </w:r>
          </w:p>
        </w:tc>
      </w:tr>
    </w:tbl>
    <w:p>
      <w:pPr>
        <w:spacing w:after="0" w:line="17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LMS Revenue. </w:t>
      </w:r>
      <w:r>
        <w:rPr>
          <w:rFonts w:ascii="Times New Roman" w:cs="Times New Roman" w:eastAsia="Times New Roman" w:hAnsi="Times New Roman"/>
          <w:sz w:val="18"/>
          <w:szCs w:val="18"/>
          <w:color w:val="auto"/>
        </w:rPr>
        <w:t>LMS revenue for the fiscal year ended April 30, 2024 was $192.6 million, as compared to $120.6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fiscal year ended April 30, 2023, representing an increase of $72.0 million, or 60%. The increase in revenue was due to an increase in product revenue of $84.2 million, partially offset by a decrease in service revenue of $12.2 million. The increase in product revenue was primarily due to increased production of our LMS systems due to global demand for our LMS systems associated with the current global conflicts as well as U.S. DoD resupply. The decrease in service revenue was primarily due to a decrease of $11.9 million in customer-funded R&amp;D activities primarily associated with the shift from development to production of certain Switchblade products.</w:t>
      </w:r>
    </w:p>
    <w:p>
      <w:pPr>
        <w:spacing w:after="0" w:line="183" w:lineRule="exact"/>
        <w:rPr>
          <w:sz w:val="20"/>
          <w:szCs w:val="20"/>
          <w:color w:val="auto"/>
        </w:rPr>
      </w:pPr>
    </w:p>
    <w:p>
      <w:pPr>
        <w:ind w:left="60" w:right="15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LMS Segment Adjusted Gross Margin. </w:t>
      </w:r>
      <w:r>
        <w:rPr>
          <w:rFonts w:ascii="Times New Roman" w:cs="Times New Roman" w:eastAsia="Times New Roman" w:hAnsi="Times New Roman"/>
          <w:sz w:val="18"/>
          <w:szCs w:val="18"/>
          <w:color w:val="auto"/>
        </w:rPr>
        <w:t>LMS segment adjusted gross margin for the fiscal year ended April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was $68.2 million, as compared to $42.7 million for the fiscal year ended April 30, 2023, representing an increase of $25.5 million. The increase in LMS segment adjusted gross margin was primarily due to an increase of $72.0 million in revenue; partially offset by an increase of $46.5 million in cost of sales excluding amortization of intangibles, of which approximately $46 million is associated with the increased sales volume.</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Uncrewed Systems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Borders>
              <w:bottom w:val="single" w:sz="8" w:color="auto"/>
            </w:tcBorders>
          </w:tcPr>
          <w:p>
            <w:pPr>
              <w:spacing w:after="0"/>
              <w:rPr>
                <w:sz w:val="14"/>
                <w:szCs w:val="14"/>
                <w:color w:val="auto"/>
              </w:rPr>
            </w:pPr>
          </w:p>
        </w:tc>
      </w:tr>
      <w:tr>
        <w:trPr>
          <w:trHeight w:val="227"/>
        </w:trPr>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20" w:type="dxa"/>
            <w:vAlign w:val="bottom"/>
          </w:tcPr>
          <w:p>
            <w:pPr>
              <w:spacing w:after="0"/>
              <w:rPr>
                <w:sz w:val="19"/>
                <w:szCs w:val="19"/>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5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415,074</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268,021</w:t>
            </w:r>
          </w:p>
        </w:tc>
      </w:tr>
      <w:tr>
        <w:trPr>
          <w:trHeight w:val="216"/>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75,889</w:t>
            </w:r>
          </w:p>
        </w:tc>
      </w:tr>
      <w:tr>
        <w:trPr>
          <w:trHeight w:val="209"/>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448,006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343,910</w:t>
            </w:r>
          </w:p>
        </w:tc>
      </w:tr>
      <w:tr>
        <w:trPr>
          <w:trHeight w:val="216"/>
        </w:trPr>
        <w:tc>
          <w:tcPr>
            <w:tcW w:w="5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Cost of sales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249,763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231,960</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Intangible amortization included in cost of sales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w:t>
            </w: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210,523</w:t>
            </w:r>
          </w:p>
        </w:tc>
        <w:tc>
          <w:tcPr>
            <w:tcW w:w="3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124,681</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UxS Revenue. </w:t>
      </w:r>
      <w:r>
        <w:rPr>
          <w:rFonts w:ascii="Times New Roman" w:cs="Times New Roman" w:eastAsia="Times New Roman" w:hAnsi="Times New Roman"/>
          <w:sz w:val="18"/>
          <w:szCs w:val="18"/>
          <w:color w:val="auto"/>
        </w:rPr>
        <w:t>UxS revenue for the fiscal year ended April 30, 2024 was $448.0 million, as compared to $343.9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fiscal year ended April 30, 2023, representing an increase of $104.1 million, or 30%. The increase in revenue was due to an increase in product revenue of $147.1 million, partially offset by a decrease in service revenue of $43.0 million. The increase in product revenue was primarily due to $136.1 million from increased product shipments of our SUAS and MUAS family of systems driven by increased global demand for our uncrewed systems associated with the current global conflicts as well as U.S. DoD resupply and $10.6 million associated with the recent Tomahawk acquisition. The decrease in service revenue was primarily due to decreases of $49.7 million from the closure of all COCO site locations during fiscal year 2023, partially offset by an increase of $5.3 million associated with the recent Tomahawk acquisition.</w:t>
      </w:r>
    </w:p>
    <w:p>
      <w:pPr>
        <w:spacing w:after="0" w:line="18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UxS Segment Adjusted Gross Margin. </w:t>
      </w:r>
      <w:r>
        <w:rPr>
          <w:rFonts w:ascii="Times New Roman" w:cs="Times New Roman" w:eastAsia="Times New Roman" w:hAnsi="Times New Roman"/>
          <w:sz w:val="18"/>
          <w:szCs w:val="18"/>
          <w:color w:val="auto"/>
        </w:rPr>
        <w:t>UxS segment adjusted gross margin for the fiscal year ended April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was $210.5 million, as compared to $124.7 million for the fiscal year ended April 30, 2023, representing an increase of $85.8 million. The increase in UxS segment adjusted margin was primarily due to an increase of $104.1 million in revenue, partially offset by an increase of $18.3 million in cost of sales excluding intangible amortization. The increase of $18.3 million in costs of sales excluding intangible amortization is primarily due to an increase of approximately $65 million associated with the increased sales volume and $6.0 million from an increase in inventory reserve charges primarily related to the introduction of our next generation products, partially offset by shift in mix of approximately $53 million due to a higher proportion of international products sales and lower levels of COCO service revenue.</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MacCready Works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Borders>
              <w:bottom w:val="single" w:sz="8" w:color="auto"/>
            </w:tcBorders>
          </w:tcPr>
          <w:p>
            <w:pPr>
              <w:spacing w:after="0"/>
              <w:rPr>
                <w:sz w:val="14"/>
                <w:szCs w:val="14"/>
                <w:color w:val="auto"/>
              </w:rPr>
            </w:pPr>
          </w:p>
        </w:tc>
      </w:tr>
      <w:tr>
        <w:trPr>
          <w:trHeight w:val="227"/>
        </w:trPr>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20" w:type="dxa"/>
            <w:vAlign w:val="bottom"/>
          </w:tcPr>
          <w:p>
            <w:pPr>
              <w:spacing w:after="0"/>
              <w:rPr>
                <w:sz w:val="19"/>
                <w:szCs w:val="19"/>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5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w:t>
            </w:r>
          </w:p>
        </w:tc>
      </w:tr>
      <w:tr>
        <w:trPr>
          <w:trHeight w:val="210"/>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76,002</w:t>
            </w:r>
          </w:p>
        </w:tc>
      </w:tr>
      <w:tr>
        <w:trPr>
          <w:trHeight w:val="216"/>
        </w:trPr>
        <w:tc>
          <w:tcPr>
            <w:tcW w:w="5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Cost of sales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57,174</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Intangible amortization included in cost of sales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18,732</w:t>
            </w:r>
          </w:p>
        </w:tc>
        <w:tc>
          <w:tcPr>
            <w:tcW w:w="3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20,103</w:t>
            </w:r>
          </w:p>
        </w:tc>
      </w:tr>
    </w:tbl>
    <w:p>
      <w:pPr>
        <w:spacing w:after="0" w:line="175"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MW Revenue. </w:t>
      </w:r>
      <w:r>
        <w:rPr>
          <w:rFonts w:ascii="Times New Roman" w:cs="Times New Roman" w:eastAsia="Times New Roman" w:hAnsi="Times New Roman"/>
          <w:sz w:val="18"/>
          <w:szCs w:val="18"/>
          <w:color w:val="auto"/>
        </w:rPr>
        <w:t>MW revenue for the fiscal year ended April 30, 2024 was $76.1 million, as compared to $76.0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fiscal year ended April 30, 2023, representing an increase of $0.1 million. The increase in revenue was primarily due to an increase of $1.5 million in product sales, partially offset by a decrease of $1.4 million in service revenue. The increase in product sales is primarily due to the shift from development to early-stage production of certain products. The decrease in service revenue is primarily due to a decrease in engineering services and customer-funded R&amp;D due to delays in anticipated contract awards associated with the government budget authorization process.</w:t>
      </w:r>
    </w:p>
    <w:p>
      <w:pPr>
        <w:spacing w:after="0" w:line="182" w:lineRule="exact"/>
        <w:rPr>
          <w:sz w:val="20"/>
          <w:szCs w:val="20"/>
          <w:color w:val="auto"/>
        </w:rPr>
      </w:pPr>
    </w:p>
    <w:p>
      <w:pPr>
        <w:ind w:left="60" w:right="1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MW Segment Adjusted Gross Margin. </w:t>
      </w:r>
      <w:r>
        <w:rPr>
          <w:rFonts w:ascii="Times New Roman" w:cs="Times New Roman" w:eastAsia="Times New Roman" w:hAnsi="Times New Roman"/>
          <w:sz w:val="18"/>
          <w:szCs w:val="18"/>
          <w:color w:val="auto"/>
        </w:rPr>
        <w:t>MW segment adjusted gross margin for the fiscal year ended April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was $18.7 million, as compared to MW segment adjusted gross margin of $20.1 million for the fiscal year ended April 30, 2023, representing a decrease of $1.4 million. The decrease in MW segment adjusted gross margin was primarily due to an increase of $1.5 million in cost of sales excluding amortization of intangibles driven by increased sales mix of approximately $1 million due to the shift from development to early-stage production of certain products.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February 19, 2021 in connection with the consummation of the Arcturus acquisition, we entered into a credit agreement, subsequently amended February 4, 2022, June 6, 2023, October 4, 2024 and May 1, 2025, (as amended, the “Credit Agreement”). The October 4, 2024 amendment increased the Revolving Credit Facility to $200 million, and a previously provided Term Loan Facility was fully repaid in full and removed from the Credit Agreement. Our ability to borrow under the Revolving Credit Facility includes a sublimit for the issuance of standby and commercial letters of credit, of which there were outstanding letters of credit of $39.4 million as of April 30, 2025. As of April 30,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2025, approximately $160.6 million was available under the Revolving Facility. Borrowings under the Revolving Facility may be used for working capital, acquisition costs and other general corporate purposes. Refer to Note 11—Debt to our financial statements for further details. In addition, Telerob has a line of credit of €7.0 million (approximately $8.0 million) available for issuing letters of credit of which €2.3 million (approximately $2.6 million) was outstanding as of April 30, 2025.</w:t>
      </w:r>
    </w:p>
    <w:p>
      <w:pPr>
        <w:spacing w:after="0" w:line="183"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On May 1, 2025 in connection with the closing of the BlueHalo acquisition, we amended the Credit Agreement to provide for a new $700 million term A loan (the “Term A Loan,” and with the Revolving Credit Facility, the “Credit Facilities”), the proceeds of which were used on the Closing Date to repay certain outstanding indebtedness of BlueHalo and to pay for certain related transaction costs. The Term A Loan matures two years after the closing date of the BlueHalo acquisition and amortizes at a rate of 5.00% per annum, with the remaining outstanding principal amount due and payable on the maturity date. The applicable margin on the Term A Loan is based upon our Consolidated Leverage Ratio (as defined in the Credit Agreement) and whether we elect as its benchmark rate (i) SOFR (in which case, the applicable margin ranges from 1.50 - 2.50% per annum depending on our Consolidated Leverage Ratio) plus a credit spread adjustment of 0.10% or (ii) Base Rate (in which case, the applicable margin ranges from 0.50 - 1.50% per annum depending on our Consolidated Leverage Ratio). Upon the occurrence of an event of default, an additional 2.00% per annum default interest rate may apply. Mandatory prepayments of the Term A Loan are required in connection with (i) the disposition of certain assets to the extent not reinvested and (ii) the incurrence of non-permitted debt. The May 1, 2025 amendment also, among other things, (a) increased the revolving commitment amount to an aggregate principal amount of $350 million, (b) increased certain negative covenant baskets, thresholds and de minimis amounts, (c) amended the definition of “Consolidated EBITDA” to include additional add-backs thereto and (d) added materiality qualifiers to certain covenants and events of default. On May 1, 2025, we borrowed approximately $225 million under the amended Revolving Credit Facility to repay certain outstanding indebtedness of BlueHalo and to pay for certain related transaction costs.</w:t>
      </w:r>
    </w:p>
    <w:p>
      <w:pPr>
        <w:spacing w:after="0" w:line="39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anticipate funding our normal recurring trade payables, accrued expenses, ongoing R&amp;D costs and obligations under the Credit Facilities through our existing working capital and funds provided by operating activities including those provided by our acquisitions of Arcturus, ISG, Telerob, Planck, Tomahawk and BlueHalo.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92"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Our primary liquidity needs are for financing working capital, investing in capital expenditures, supporting product development efforts, support our credit facility, introducing new products and enhancing existing products,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our Credit Agreement. In addition, we may also need to seek additional equity funding or debt financing if we become a party to any agreement or letter of intent for potential investments in, or acquisitions of, businesses, services or technologies. Any financing or refinancing with new debt could be at higher interest rates and may require us to comply with more onerous covenants than the Credit Facilities, which could further restrict our business operations. Any financing or refinancing through our sale of equity or equity-linked securities would result in further dilution to our stockholders or may provide for rights, preferences or privileges senior to those of holders of our common stock.</w:t>
      </w:r>
    </w:p>
    <w:p>
      <w:pPr>
        <w:spacing w:after="0" w:line="19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cost-plus-fee programs, we typically bill our incurred costs and fees monthly as work progresses, and therefore working capital investment is minimal. On fixed-price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contracts, we typically are paid as we deliver products, and working capital is needed to fund labor and expenses incurred during the lead time from contract award until contract deliveries begin.</w:t>
      </w:r>
    </w:p>
    <w:p>
      <w:pPr>
        <w:spacing w:after="0" w:line="16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have made certain investment commitments outside of the ordinary course of business, including capital contribution commitments to certain limited partnership funds. Under the terms of the most recent limited partnership agreement, we have committed to make capital contributions to such fund totaling $20.0 million, inclusive of the expected reinvestment of distributions from our existing investments in an affiliated fund, at April 30, 2025, $5.5 million of our commitment remains to be funded.</w:t>
      </w:r>
    </w:p>
    <w:p>
      <w:pPr>
        <w:spacing w:after="0" w:line="18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Due to the new internal revenue service tax capitalization rules, Section 174, which requires R&amp;D expenditures to be capitalized and amortized over a 5-year period for tax return purposes, we experienced an increase in cash paid for U.S. federal income taxes during the fiscal year ended April 30, 2025 and expect higher levels of cash taxes in in future fiscal years relative to historical periods.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our cash flow data from continuing operations for the periods ended: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142"/>
        </w:trPr>
        <w:tc>
          <w:tcPr>
            <w:tcW w:w="4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91"/>
        </w:trPr>
        <w:tc>
          <w:tcPr>
            <w:tcW w:w="4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(51,714)</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50,834</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Cash (Used in) Provided by Operating Activities. </w:t>
      </w:r>
      <w:r>
        <w:rPr>
          <w:rFonts w:ascii="Times New Roman" w:cs="Times New Roman" w:eastAsia="Times New Roman" w:hAnsi="Times New Roman"/>
          <w:sz w:val="18"/>
          <w:szCs w:val="18"/>
          <w:color w:val="auto"/>
        </w:rPr>
        <w:t>Net cash used in operating activities for the fiscal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30, 2025 increased by $16.6 million to $1.3 million, as compared to net cash provided by operating activities of $15.3 million for the fiscal year ended April 30, 2024. This decrease in net cash provided by operating activities was primarily due to a decrease in net income of $16.0 million and changes in operating assets and liabilities, largely resulting from increases in accounts receivable and income tax receivable and a decrease in other liabilities, partially offset by a decrease in inventories and an increase in accounts payable due to year over year timing differences. The decrease in cash provided by operating activities was partially offset by an increase in non-cash expenses of $10.9 million, primarily due to a goodwill impairment of $18.4 million in the fiscal year ended April 30, 2025, an increase in stock-based compensation and depreciation and amortization, partially offset by a decrease in stock inventory reserve charges.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 for the fiscal year ended April 30, 2024 increased by $3.9 million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$15.3 million, as compared to $11.4 million for the fiscal year ended April 30, 2023. This increase in net cash provided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activities was primarily due an increase in net income of $235.8 million, partially offset by a decrease in non-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expenses of $209.3 million, primarily due to a goodwill impairment of $156.0 million in the fiscal year ended April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30, 2023 and a decrease in depreciation and amortization, largely due to $34.1 million of accelerated MUAS intangible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amortization expenses in the prior year end, partially offset by an increase in stock-based compensation and an in increase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inventory reserve charges primarily related to the introduction of our next generation products and an increase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used as a result of changes in operating assets and liabilities largely resulting from increases in unbilled receivables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retentions and prepaid expenses and other assets, partially offset by decreases in accounts receivables and inventory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due to year over year timing differences.</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Cash Used in Investing Activities. </w:t>
      </w:r>
      <w:r>
        <w:rPr>
          <w:rFonts w:ascii="Times New Roman" w:cs="Times New Roman" w:eastAsia="Times New Roman" w:hAnsi="Times New Roman"/>
          <w:sz w:val="18"/>
          <w:szCs w:val="18"/>
          <w:color w:val="auto"/>
        </w:rPr>
        <w:t>Net cash used in investing activities decreased by $23.2 million to</w:t>
      </w:r>
    </w:p>
    <w:p>
      <w:pPr>
        <w:spacing w:after="0" w:line="31"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$28.5 million for the fiscal year ended April 30, 2025, compared to $51.7 million for the fiscal year ended April 30, 2024. The decrease in net cash used in investing activities was primarily due to a decrease in business acquisitions, net of cash acquired of $24.2 million related to the Tomahawk acquisition in the fiscal year ended April 30, 2024. During the fiscal years ended April 30, 2025 and 2024, we used cash to purchase property and equipment totaling $22.8 million and $23.0 million,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increased by $44.7 million to $51.7 million for the fiscal year ended April 30, 2024, compared to $7.0 million for the fiscal year ended April 30, 2023. The increase in net cash used in investing activities was primarily due to a decrease in net redemptions of available-for-sale investments of $24.7 million, an increase in business acquisitions, net of cash acquired of $19.1 million, and an increase in the acquisition of property and equipment of $8.1 million, partially offset by a decrease in equity security investments of $5.1 million. During the fiscal years ended April 30, 2024 and 2023, we used cash to purchase property and equipment totaling $23.0 million and $14.9 million, respectively.</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Cash (Used in) Provided by Financing Activities. </w:t>
      </w:r>
      <w:r>
        <w:rPr>
          <w:rFonts w:ascii="Times New Roman" w:cs="Times New Roman" w:eastAsia="Times New Roman" w:hAnsi="Times New Roman"/>
          <w:sz w:val="18"/>
          <w:szCs w:val="18"/>
          <w:color w:val="auto"/>
        </w:rPr>
        <w:t>Net cash used in financing activities decreased by</w:t>
      </w:r>
    </w:p>
    <w:p>
      <w:pPr>
        <w:spacing w:after="0" w:line="3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$20.0 million to $2.9 million for the fiscal year ended April 30, 2025, compared to net cash provided by financing activities of $22.9 million for the fiscal year ended April 30, 2024. The decrease in net cash used in financing activities was primarily due to a decrease in the principal payments on the credit facility of $69.0 million and an increase in proceeds from the credit facility of $40.0 million, partially offset by a decrease in the proceeds from shares issued, net of issuance costs of $88.4 million in the fiscal year ended April 30, 2024.</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increased by $73.7 million to $22.9 million for the fiscal year ended April 30, 2024, compared to net cash provided by financing activities of $50.8 million for the fiscal year ended April 30, 2023. The increase in net cash used in financing activities was primarily due to an increase in the principal payments on the debt facility of $52.0 million and a decrease in the proceeds from shares issued, net of issuance costs of $16.2 million in the fiscal year ended April 30, 2023, a decrease in the exercise of stock options of $2.3 million and increase in the payment of contingent consideration of $2.1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describes our commitments to settle contractual obligations as of April 30, 2025:</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Payments Due By Period (2)</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40" w:type="dxa"/>
            <w:vAlign w:val="bottom"/>
            <w:vMerge w:val="restart"/>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40" w:type="dxa"/>
            <w:vAlign w:val="bottom"/>
            <w:vMerge w:val="restart"/>
          </w:tcPr>
          <w:p>
            <w:pPr>
              <w:spacing w:after="0"/>
              <w:rPr>
                <w:sz w:val="10"/>
                <w:szCs w:val="10"/>
                <w:color w:val="auto"/>
              </w:rPr>
            </w:pPr>
          </w:p>
        </w:tc>
        <w:tc>
          <w:tcPr>
            <w:tcW w:w="7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obligations(1)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383,795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325,145</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all cancelable and non-cancelable purchase orders as of April 30, 2025.</w:t>
      </w:r>
    </w:p>
    <w:p>
      <w:pPr>
        <w:spacing w:after="0" w:line="27" w:lineRule="exact"/>
        <w:rPr>
          <w:rFonts w:ascii="Times New Roman" w:cs="Times New Roman" w:eastAsia="Times New Roman" w:hAnsi="Times New Roman"/>
          <w:sz w:val="18"/>
          <w:szCs w:val="18"/>
          <w:color w:val="auto"/>
        </w:rPr>
      </w:pPr>
    </w:p>
    <w:p>
      <w:pPr>
        <w:ind w:left="380" w:right="519" w:hanging="330"/>
        <w:spacing w:after="0" w:line="26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included in the table above is additional capital contributions of $5.5 million committed under the terms of a limited partnership agreement.</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improves reportable segment disclosure requirements, primarily through enhanced disclosures about significant segment expenses reported to the CODM. ASU 2023-07 also requires all segment profit or loss and assets disclosures to be provided on an annual and interim basis. Effective April 30, 2025, we adopted ASU 2023-07. ASU 2023-07 was adopted retrospectively and did not have a material impact on our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updates to the rate reconciliation, income taxes paid and other disclosures. The new standard is effective for fiscal years beginning after December 15, 2024 and interim periods within fiscal years beginning after December 15, 2025, with early adoption permitted. ASU 2023-09 is adopted retrospectively. We are evaluating the potential impact of this adoption on its consolidated financial statements.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 Expense Disaggregation Disclosures (Subtopic 220-40): Disaggregation of Income Statement Expenses (“ASU 2024-03”). ASU 2024-03 requires disclosure, in the notes to financial statements, of specified information about certain costs and expenses included in each expense caption on the face of the income statement at interim and annual reporting periods. The new standard is effective for fiscal years beginning after December 15, 2026, and interim periods within fiscal years beginning after December 15, 2027, and should be applied either prospectively to financial statements issued for reporting periods after the effective date of this ASU or retrospectively to any or all prior periods presented in the financial statements. We are evaluating the potential impact of this adoption on our consolidated financial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As of April 30, 2025, the outstanding balance of the Credit Facilities was $39.4 million. On May 1, 2025 in connection with the closing of the BlueHalo acquisition, we entered into the Fourth Amendment of the Credit Facilities. The Fourth Amendment provided a new $700.0 million Term A Loan. The Fourth Amendment also increased the revolving commitment amount to an aggregate principal amount of $350.0 million, and on May 1, 2025, we borrowed approximately $225.0 million from the Revolving Credit Facility. As a result, as of May 1, 2025, the outstanding balance of the Credit Facilities was $955.0 million and bears a variable interest rate. If market interest rates increase significantly, interest due on the Credit Facilities would increase. An increase or decrease in the variable interest rate of 100 basis points would result in an increase or decrease to our interest expense for the fiscal year ending April 30, 2026 of approximately $9.5 million.</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Since a significant part of our sales and expenses are denominated in U.S. dollars, we have not experienced significant foreign exchange gains or losses to date. We currently do not engage in forward contracts or other derivatives in foreign currencies to limit our exposure on non-U.S. dollar transactions. As our German subsidiary, Telerob conducts sales denominated in Euros, we are exposed to future foreign exchange gains or losses, and we will consider methods to limit our exposure on non-U.S. dollar transactions in the future.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Supplementary Data</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34)</w:t>
            </w:r>
          </w:p>
        </w:tc>
        <w:tc>
          <w:tcPr>
            <w:tcW w:w="980" w:type="dxa"/>
            <w:vAlign w:val="bottom"/>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42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at April 30, 2025 and 2024</w:t>
            </w:r>
          </w:p>
        </w:tc>
        <w:tc>
          <w:tcPr>
            <w:tcW w:w="3700" w:type="dxa"/>
            <w:vAlign w:val="bottom"/>
            <w:tcBorders>
              <w:top w:val="single" w:sz="8" w:color="CCEEFF"/>
            </w:tcBorders>
            <w:gridSpan w:val="7"/>
          </w:tcPr>
          <w:p>
            <w:pPr>
              <w:spacing w:after="0"/>
              <w:rPr>
                <w:sz w:val="15"/>
                <w:szCs w:val="15"/>
                <w:color w:val="auto"/>
              </w:rPr>
            </w:pPr>
          </w:p>
        </w:tc>
        <w:tc>
          <w:tcPr>
            <w:tcW w:w="980" w:type="dxa"/>
            <w:vAlign w:val="bottom"/>
            <w:tcBorders>
              <w:top w:val="single" w:sz="8" w:color="CCEEFF"/>
            </w:tcBorders>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7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Income (Loss) for the Years Ended April 30, 2025, 2024 and 2023</w:t>
            </w:r>
          </w:p>
        </w:tc>
        <w:tc>
          <w:tcPr>
            <w:tcW w:w="112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(Loss) for the Years Ended April 30, 2025, 2024 and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0000EE"/>
            </w:tcBorders>
            <w:gridSpan w:val="4"/>
          </w:tcPr>
          <w:p>
            <w:pPr>
              <w:jc w:val="right"/>
              <w:ind w:right="2580"/>
              <w:spacing w:after="0" w:line="196" w:lineRule="exact"/>
              <w:rPr>
                <w:sz w:val="20"/>
                <w:szCs w:val="20"/>
                <w:color w:val="auto"/>
              </w:rPr>
            </w:pPr>
            <w:r>
              <w:rPr>
                <w:rFonts w:ascii="Times New Roman" w:cs="Times New Roman" w:eastAsia="Times New Roman" w:hAnsi="Times New Roman"/>
                <w:sz w:val="18"/>
                <w:szCs w:val="18"/>
                <w:color w:val="0000EE"/>
              </w:rPr>
              <w:t>2023</w:t>
            </w:r>
          </w:p>
        </w:tc>
        <w:tc>
          <w:tcPr>
            <w:tcW w:w="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72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for the Years Ended April 30, 2025, 2024 and 2023</w:t>
            </w: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April 30, 2025, 2024 and 2023</w:t>
            </w:r>
          </w:p>
        </w:tc>
        <w:tc>
          <w:tcPr>
            <w:tcW w:w="980" w:type="dxa"/>
            <w:vAlign w:val="bottom"/>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80" w:type="dxa"/>
            <w:vAlign w:val="bottom"/>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Supplementary Data</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 Schedule: Schedule II—Valuation and Qualifying Accounts</w:t>
            </w:r>
          </w:p>
        </w:tc>
        <w:tc>
          <w:tcPr>
            <w:tcW w:w="980" w:type="dxa"/>
            <w:vAlign w:val="bottom"/>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right="119"/>
        <w:spacing w:after="0" w:line="286" w:lineRule="auto"/>
        <w:rPr>
          <w:sz w:val="20"/>
          <w:szCs w:val="20"/>
          <w:color w:val="auto"/>
        </w:rPr>
      </w:pPr>
      <w:r>
        <w:rPr>
          <w:rFonts w:ascii="Times New Roman" w:cs="Times New Roman" w:eastAsia="Times New Roman" w:hAnsi="Times New Roman"/>
          <w:sz w:val="18"/>
          <w:szCs w:val="18"/>
          <w:b w:val="1"/>
          <w:bCs w:val="1"/>
          <w:color w:val="auto"/>
        </w:rPr>
        <w:t>All other schedules are omitted because they are not applicable, not required or the information required is included in the Consolidated Financial Statements, including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AeroVironment,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AeroVironment, Inc. and subsidiaries (the "Company") as of April 30, 2025 and 2024, the related consolidated statements of income (loss), comprehensive income (loss), stockholders' equity, and cash flows, for each of the three years in the period ended April 30, 2025, and the related notes and the schedule listed in the Index at Item 15(a) (collectively referred to as the "financial statements"). In our opinion, the financial statements present fairly, in all material respects, the financial position of the Company as of April 30, 2025 and 2024, and the results of its operations and its cash flows for each of the three years in the period ended April 30, 2025, in conformity with accounting principles generally accepted in the United States of America.</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April 30, 2025, based on criteria established in Internal Control — Integrated Framework (2013) issued by the Committee of Sponsoring Organizations of the Treadway Commission and our report dated June 24, 2025, expressed an unqualified opinion on the Company's internal control over financial reporting.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ind w:left="60" w:right="939"/>
        <w:spacing w:after="0" w:line="40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Contract Estimates on Select Contracts - Refer to Note 1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As further described in Note 1 to the financial statements, for performance obligations satisfied over time, revenue is generally recognized using costs incurred to date relative to total estimated costs at completion to measure progress. Contract estimates are based on various assumptions to project the outcome of future events that may span several years.</w:t>
      </w:r>
    </w:p>
    <w:p>
      <w:pPr>
        <w:spacing w:after="0" w:line="1" w:lineRule="exact"/>
        <w:rPr>
          <w:sz w:val="20"/>
          <w:szCs w:val="20"/>
          <w:color w:val="auto"/>
        </w:rPr>
      </w:pPr>
    </w:p>
    <w:p>
      <w:pPr>
        <w:jc w:val="both"/>
        <w:ind w:left="60" w:right="59" w:firstLine="100"/>
        <w:spacing w:after="0" w:line="260" w:lineRule="auto"/>
        <w:rPr>
          <w:sz w:val="20"/>
          <w:szCs w:val="20"/>
          <w:color w:val="auto"/>
        </w:rPr>
      </w:pPr>
      <w:r>
        <w:rPr>
          <w:rFonts w:ascii="Times New Roman" w:cs="Times New Roman" w:eastAsia="Times New Roman" w:hAnsi="Times New Roman"/>
          <w:sz w:val="18"/>
          <w:szCs w:val="18"/>
          <w:color w:val="auto"/>
        </w:rPr>
        <w:t>Contract costs include labor, materials, subcontractors’ costs, other direct costs, and indirect costs applicable on government and commercial contracts. Additionally, the nature of the Company’s contracts gives rise to several types of</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variable consideration, including undefinitized contract actions and unpriced change orders, which are within the scope of ASC 606 with final contract values to be negotiated, penalty fees and incentive awards generally for late delivery and early delivery, respectively. The Company regularly reviews and updates its contract-related estimates. Changes in cumulative revenue estimates, due to changes in the estimated transaction price or cost estimates including definitization of contracts, are recorded using a cumulative catch-up adjustment in the period identified. We analyzed the Company’s contract portfolio to identify contracts that we believe had elevated financial or performance risk. For those contracts identified, the evaluation of one or more contract estimate assumptions used to recognize revenue required extensive audit effort due to the complexity of the contracts and a high degree of auditor judgments.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audit procedures related to the contract estimates for these contracts identified included the following, among others:</w:t>
      </w:r>
    </w:p>
    <w:p>
      <w:pPr>
        <w:spacing w:after="0" w:line="144" w:lineRule="exact"/>
        <w:rPr>
          <w:sz w:val="20"/>
          <w:szCs w:val="20"/>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management’s controls over the significant assumptions and judgments underlying the contract estimates associated with these contracts.</w:t>
      </w:r>
    </w:p>
    <w:p>
      <w:pPr>
        <w:spacing w:after="0" w:line="8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risk characteristic identified on an individual contract, we evaluated certain contract estimates by:</w:t>
      </w:r>
    </w:p>
    <w:p>
      <w:pPr>
        <w:spacing w:after="0" w:line="225" w:lineRule="exact"/>
        <w:rPr>
          <w:sz w:val="20"/>
          <w:szCs w:val="20"/>
          <w:color w:val="auto"/>
        </w:rPr>
      </w:pPr>
    </w:p>
    <w:p>
      <w:pPr>
        <w:ind w:left="1380" w:right="79" w:hanging="331"/>
        <w:spacing w:after="0" w:line="264" w:lineRule="auto"/>
        <w:tabs>
          <w:tab w:leader="none" w:pos="1380" w:val="left"/>
        </w:tabs>
        <w:numPr>
          <w:ilvl w:val="0"/>
          <w:numId w:val="3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Reading the underlying contract and any amendments or modifications to understand the contractual requirements and performance obligations.</w:t>
      </w:r>
    </w:p>
    <w:p>
      <w:pPr>
        <w:spacing w:after="0" w:line="95" w:lineRule="exact"/>
        <w:rPr>
          <w:rFonts w:ascii="Courier New" w:cs="Courier New" w:eastAsia="Courier New" w:hAnsi="Courier New"/>
          <w:sz w:val="18"/>
          <w:szCs w:val="18"/>
          <w:color w:val="auto"/>
        </w:rPr>
      </w:pPr>
    </w:p>
    <w:p>
      <w:pPr>
        <w:jc w:val="both"/>
        <w:ind w:left="1380" w:right="79" w:hanging="331"/>
        <w:spacing w:after="0" w:line="253" w:lineRule="auto"/>
        <w:tabs>
          <w:tab w:leader="none" w:pos="1380" w:val="left"/>
        </w:tabs>
        <w:numPr>
          <w:ilvl w:val="0"/>
          <w:numId w:val="3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Assessing the reasonableness of the assumed variable consideration based on contract terms, relevant historical trends, and performing inquiries with the Company’s program and business management regarding their basis of estimates including work plans, engineering specifications, program labor and suppliers, actual performance to date, and any recent correspondence between the company and the customer.</w:t>
      </w:r>
    </w:p>
    <w:p>
      <w:pPr>
        <w:spacing w:after="0" w:line="189" w:lineRule="exact"/>
        <w:rPr>
          <w:rFonts w:ascii="Courier New" w:cs="Courier New" w:eastAsia="Courier New" w:hAnsi="Courier New"/>
          <w:sz w:val="18"/>
          <w:szCs w:val="18"/>
          <w:color w:val="auto"/>
        </w:rPr>
      </w:pPr>
    </w:p>
    <w:p>
      <w:pPr>
        <w:ind w:left="1380" w:right="79" w:hanging="331"/>
        <w:spacing w:after="0" w:line="264" w:lineRule="auto"/>
        <w:tabs>
          <w:tab w:leader="none" w:pos="1380" w:val="left"/>
        </w:tabs>
        <w:numPr>
          <w:ilvl w:val="0"/>
          <w:numId w:val="3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Evaluating the appropriateness of the timing and amounts of changes in select contract estimates by obtaining supporting documentation.</w:t>
      </w:r>
    </w:p>
    <w:p>
      <w:pPr>
        <w:spacing w:after="0" w:line="176" w:lineRule="exact"/>
        <w:rPr>
          <w:rFonts w:ascii="Courier New" w:cs="Courier New" w:eastAsia="Courier New" w:hAnsi="Courier New"/>
          <w:sz w:val="18"/>
          <w:szCs w:val="18"/>
          <w:color w:val="auto"/>
        </w:rPr>
      </w:pPr>
    </w:p>
    <w:p>
      <w:pPr>
        <w:ind w:left="1380" w:hanging="331"/>
        <w:spacing w:after="0"/>
        <w:tabs>
          <w:tab w:leader="none" w:pos="1380" w:val="left"/>
        </w:tabs>
        <w:numPr>
          <w:ilvl w:val="0"/>
          <w:numId w:val="3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Assessing the completeness and accuracy of information utilized to develop contract estimates.</w:t>
      </w:r>
    </w:p>
    <w:p>
      <w:pPr>
        <w:spacing w:after="0" w:line="209" w:lineRule="exact"/>
        <w:rPr>
          <w:rFonts w:ascii="Courier New" w:cs="Courier New" w:eastAsia="Courier New" w:hAnsi="Courier New"/>
          <w:sz w:val="18"/>
          <w:szCs w:val="18"/>
          <w:color w:val="auto"/>
        </w:rPr>
      </w:pPr>
    </w:p>
    <w:p>
      <w:pPr>
        <w:ind w:left="1380" w:right="79" w:hanging="331"/>
        <w:spacing w:after="0" w:line="264" w:lineRule="auto"/>
        <w:tabs>
          <w:tab w:leader="none" w:pos="1380" w:val="left"/>
        </w:tabs>
        <w:numPr>
          <w:ilvl w:val="0"/>
          <w:numId w:val="3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Testing the mathematical accuracy of management’s calculation of revenue recognized during the period for the selected contracts, and the cumulative catch-up adjustment, if applicable.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24,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40,862</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$203 at April 30, 2025 and $159</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at April 30, 2024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Unbilled receivables and retentions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290,009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144,090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28,966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22,333</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606,516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256,781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32,889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13,505</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1,120,567</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1,015,860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72,462</w:t>
            </w:r>
          </w:p>
        </w:tc>
        <w:tc>
          <w:tcPr>
            <w:tcW w:w="200" w:type="dxa"/>
            <w:vAlign w:val="bottom"/>
          </w:tcPr>
          <w:p>
            <w:pPr>
              <w:spacing w:after="0"/>
              <w:rPr>
                <w:sz w:val="17"/>
                <w:szCs w:val="17"/>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Wages and related accruals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advances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28,659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172,161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Authorized shares—10,000,000; none issued or outstanding at April 30, 2025 and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April 30, 2024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Authorized shares—100,000,000</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Issued and outstanding shares—28,267,517 shares at April 30, 2025 and 28,134,438</w:t>
            </w:r>
          </w:p>
        </w:tc>
        <w:tc>
          <w:tcPr>
            <w:tcW w:w="98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rPr>
              <w:t>shares at</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April 30, 2024</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597,646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274,306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230,687</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886,507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60" w:type="dxa"/>
            <w:vAlign w:val="bottom"/>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1,120,567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1,015,860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692,722</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585,771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127,905</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130,949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820,627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716,720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404,347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97,644</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92,615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501,991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288,375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245,597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30,261</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318,636</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283,931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173,514</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158,753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97,687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goodwill</w:t>
            </w:r>
          </w:p>
        </w:tc>
        <w:tc>
          <w:tcPr>
            <w:tcW w:w="1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18,359</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(loss) income:</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Equity method investment income (loss), net of tax</w:t>
            </w: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AeroVironment, Inc.</w:t>
            </w: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43,619</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(176,212)</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28,018,656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27,203,417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25,044,881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28,173,488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27,327,993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25,044,881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Year Ended April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43,619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59,666</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Unrealized gain on available-for-sale investments, net of deferred tax</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 of $0 for the fiscal years ended April 30, 2023</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42,697</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AeroVironment, Inc.</w:t>
            </w: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42,697</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1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72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ComprehensiveAeroVironment, Inc.Controlling</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88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20" w:type="dxa"/>
            <w:vAlign w:val="bottom"/>
          </w:tcPr>
          <w:p>
            <w:pPr>
              <w:spacing w:after="0"/>
              <w:rPr>
                <w:sz w:val="11"/>
                <w:szCs w:val="11"/>
                <w:color w:val="auto"/>
              </w:rPr>
            </w:pPr>
          </w:p>
        </w:tc>
        <w:tc>
          <w:tcPr>
            <w:tcW w:w="78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2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 Income</w:t>
            </w:r>
          </w:p>
        </w:tc>
        <w:tc>
          <w:tcPr>
            <w:tcW w:w="1000" w:type="dxa"/>
            <w:vAlign w:val="bottom"/>
          </w:tcPr>
          <w:p>
            <w:pPr>
              <w:jc w:val="right"/>
              <w:ind w:right="309"/>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1"/>
                <w:szCs w:val="11"/>
                <w:color w:val="auto"/>
              </w:rPr>
            </w:pPr>
          </w:p>
        </w:tc>
        <w:tc>
          <w:tcPr>
            <w:tcW w:w="6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1"/>
                <w:szCs w:val="11"/>
                <w:color w:val="auto"/>
              </w:rPr>
            </w:pPr>
          </w:p>
        </w:tc>
        <w:tc>
          <w:tcPr>
            <w:tcW w:w="66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24,951,287</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267,248</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347,233</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(6,514)</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607,969</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608,210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(176,212)</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(176,212)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(176,167)</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80,168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(11,476)</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to net share settlement of equity</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(12,812)</w:t>
            </w:r>
          </w:p>
        </w:tc>
        <w:tc>
          <w:tcPr>
            <w:tcW w:w="220" w:type="dxa"/>
            <w:vAlign w:val="bottom"/>
          </w:tcPr>
          <w:p>
            <w:pPr>
              <w:spacing w:after="0"/>
              <w:rPr>
                <w:sz w:val="12"/>
                <w:szCs w:val="12"/>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(1,065)</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8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71"/>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Shares issued, net of issuance</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1,109,730</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105,171</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105,173</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105,173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costs</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Deconsolidation of previously</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(286)</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71"/>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controlled subsidiary</w:t>
            </w: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2023</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26,216,897</w:t>
            </w: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384,397</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171,021</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(4,452)</w:t>
            </w:r>
          </w:p>
        </w:tc>
        <w:tc>
          <w:tcPr>
            <w:tcW w:w="12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550,970</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550,970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151,113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(11,470)</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to net share settlement of equity</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(15,471)</w:t>
            </w: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(1,596)</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(1,596)</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Shares issued, net of issuance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807,370</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87,956</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87,956</w:t>
            </w:r>
          </w:p>
        </w:tc>
        <w:tc>
          <w:tcPr>
            <w:tcW w:w="8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87,956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costs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985,999</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business acquisition</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17,069</w:t>
            </w: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17,069</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2024</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28,134,438</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597,646</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230,687</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(5,592)</w:t>
            </w: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822,745</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822,745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43,619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43,619</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43,619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0" w:type="dxa"/>
            <w:vAlign w:val="bottom"/>
          </w:tcPr>
          <w:p>
            <w:pPr>
              <w:spacing w:after="0"/>
              <w:rPr>
                <w:sz w:val="1"/>
                <w:szCs w:val="1"/>
                <w:color w:val="auto"/>
              </w:rPr>
            </w:pPr>
          </w:p>
        </w:tc>
      </w:tr>
      <w:tr>
        <w:trPr>
          <w:trHeight w:val="126"/>
        </w:trPr>
        <w:tc>
          <w:tcPr>
            <w:tcW w:w="23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14,598</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8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contributions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66,164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75,499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(10,453)</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to net share settlement of equity</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(12,729)</w:t>
            </w:r>
          </w:p>
        </w:tc>
        <w:tc>
          <w:tcPr>
            <w:tcW w:w="220" w:type="dxa"/>
            <w:vAlign w:val="bottom"/>
          </w:tcPr>
          <w:p>
            <w:pPr>
              <w:spacing w:after="0"/>
              <w:rPr>
                <w:sz w:val="12"/>
                <w:szCs w:val="12"/>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(4,147)</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(4,147)</w:t>
            </w:r>
          </w:p>
        </w:tc>
        <w:tc>
          <w:tcPr>
            <w:tcW w:w="8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(4,147)</w:t>
            </w:r>
          </w:p>
        </w:tc>
        <w:tc>
          <w:tcPr>
            <w:tcW w:w="0" w:type="dxa"/>
            <w:vAlign w:val="bottom"/>
          </w:tcPr>
          <w:p>
            <w:pPr>
              <w:spacing w:after="0"/>
              <w:rPr>
                <w:sz w:val="1"/>
                <w:szCs w:val="1"/>
                <w:color w:val="auto"/>
              </w:rPr>
            </w:pPr>
          </w:p>
        </w:tc>
      </w:tr>
      <w:tr>
        <w:trPr>
          <w:trHeight w:val="171"/>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21,461</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2025</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28,267,517</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$ 618,711</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$ 274,306</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(6,514)$</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886,507</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886,507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AEROVIRONMENT,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4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43,619</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59,666</w:t>
            </w:r>
          </w:p>
        </w:tc>
        <w:tc>
          <w:tcPr>
            <w:tcW w:w="200" w:type="dxa"/>
            <w:vAlign w:val="bottom"/>
          </w:tcPr>
          <w:p>
            <w:pPr>
              <w:spacing w:after="0"/>
              <w:rPr>
                <w:sz w:val="12"/>
                <w:szCs w:val="12"/>
                <w:color w:val="auto"/>
              </w:rPr>
            </w:pPr>
          </w:p>
        </w:tc>
        <w:tc>
          <w:tcPr>
            <w:tcW w:w="28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(176,167)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cash provided by operating activities: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40,998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35,749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99,999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18,359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156,017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loss from equity method investments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deconsolidation of previously controlled subsidiary</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Reserve for inventory excess and obsolescence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8,136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non-cash expense, net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8,048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foreign currency transactions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loss on available-for-sale equity securities, net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(23,290)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(18,661)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securities discount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(31,761)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Unbilled receivables and retentions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(90,514)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(23,045)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(61,846)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(21,010)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22,331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(2,832)</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(2,635)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15,292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 and capitalized software to be sold</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(22,816)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(14,868)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Contributions in equity method investments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security investments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acquisitions, net of cash acquired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(24,157)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intangibles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deconsolidation of previously controlled subsidiary, net of cash deconsolidated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Redemptions of available-for-sale investments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available-for-sale investments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(28,490)</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(51,714)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term loan</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revolver</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Holdback and retention payments for business acquisition</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contingent consideration</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shares issued, net of issuance costs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88,437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104,649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Employee stock purchase plan contributions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(2,856)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(22,852)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50,834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Effects of currency translation on cash and cash equivalents</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(32,439)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(59,558)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55,628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73,301</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132,859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77,231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40,862</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73,301</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132,859</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net during the period for:</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4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24,631</w:t>
            </w:r>
          </w:p>
        </w:tc>
        <w:tc>
          <w:tcPr>
            <w:tcW w:w="4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20,438</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4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6,823</w:t>
            </w:r>
          </w:p>
        </w:tc>
        <w:tc>
          <w:tcPr>
            <w:tcW w:w="200" w:type="dxa"/>
            <w:vAlign w:val="bottom"/>
          </w:tcPr>
          <w:p>
            <w:pPr>
              <w:spacing w:after="0"/>
              <w:rPr>
                <w:sz w:val="12"/>
                <w:szCs w:val="12"/>
                <w:color w:val="auto"/>
              </w:rPr>
            </w:pPr>
          </w:p>
        </w:tc>
        <w:tc>
          <w:tcPr>
            <w:tcW w:w="28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activities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6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 on available-for-sale investments, net of deferred tax expense of $0 for the fiscal years</w:t>
            </w: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ended April 30, 2023</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4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200" w:type="dxa"/>
            <w:vAlign w:val="bottom"/>
          </w:tcPr>
          <w:p>
            <w:pPr>
              <w:spacing w:after="0"/>
              <w:rPr>
                <w:sz w:val="12"/>
                <w:szCs w:val="12"/>
                <w:color w:val="auto"/>
              </w:rPr>
            </w:pPr>
          </w:p>
        </w:tc>
        <w:tc>
          <w:tcPr>
            <w:tcW w:w="28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Issuances of inventory to property and equipment, ISR in-service assets</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48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00" w:type="dxa"/>
            <w:vAlign w:val="bottom"/>
          </w:tcPr>
          <w:p>
            <w:pPr>
              <w:spacing w:after="0"/>
              <w:rPr>
                <w:sz w:val="16"/>
                <w:szCs w:val="16"/>
                <w:color w:val="auto"/>
              </w:rPr>
            </w:pPr>
          </w:p>
        </w:tc>
        <w:tc>
          <w:tcPr>
            <w:tcW w:w="28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3" w:right="839"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40" w:right="4559" w:firstLine="4"/>
        <w:spacing w:after="0" w:line="487" w:lineRule="auto"/>
        <w:tabs>
          <w:tab w:leader="none" w:pos="67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Significant Accounting Policies Organization</w:t>
      </w:r>
    </w:p>
    <w:p>
      <w:pPr>
        <w:spacing w:after="0" w:line="1" w:lineRule="exact"/>
        <w:rPr>
          <w:sz w:val="20"/>
          <w:szCs w:val="20"/>
          <w:color w:val="auto"/>
        </w:rPr>
      </w:pPr>
    </w:p>
    <w:p>
      <w:pPr>
        <w:ind w:left="40" w:right="219" w:firstLine="648"/>
        <w:spacing w:after="0" w:line="258" w:lineRule="auto"/>
        <w:rPr>
          <w:sz w:val="20"/>
          <w:szCs w:val="20"/>
          <w:color w:val="auto"/>
        </w:rPr>
      </w:pPr>
      <w:r>
        <w:rPr>
          <w:rFonts w:ascii="Times New Roman" w:cs="Times New Roman" w:eastAsia="Times New Roman" w:hAnsi="Times New Roman"/>
          <w:sz w:val="18"/>
          <w:szCs w:val="18"/>
          <w:color w:val="auto"/>
        </w:rPr>
        <w:t>AeroVironment, Inc., a Delaware corporation, is engaged in the design, development, production, delivery and support of a technologically advanced portfolio of intelligent, multi-domain robotic systems and related services for government agencies and businesses. AeroVironment, Inc. supplies uncrewed aircraft and ground robot systems, loitering munitions systems and related services primarily to organizations within or supplying the U.S. Department of Defense (“DoD”), other federal agencies and to international allied governments.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16"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AeroVironment, Inc. and its wholly-owned subsidiaries Arcturus UAV, Inc. (“Arcturus”), Telerob Gesellschaft für Fernhantierungstechnik mbH (“Telerob”), Tomahawk Robotics, Inc. (“Tomahawk”) and Archangel Merger Sub LLC (collectively referred to herein as the “Company”).</w:t>
      </w:r>
    </w:p>
    <w:p>
      <w:pPr>
        <w:spacing w:after="0" w:line="180"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On August 17, 2022, the Company purchased certain assets of, and assumed certain liabilities of Planck Aerosystems, Inc. (“Planck”) pursuant to the purchase agreement, and post-acquisition, Planck has been incorporated into the UxS segment. The assets, liabilities and operating results of Planck have been included in the Company’s consolidated financial statements. Refer to Note 21—Business Acquisitions for further details.</w:t>
      </w:r>
    </w:p>
    <w:p>
      <w:pPr>
        <w:spacing w:after="0" w:line="180"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On September 15, 2023, the Company closed its acquisition of Tomahawk pursuant to a merger agreement, and post-acquisition, Tomahawk has been incorporated into the UxS segment. The assets, liabilities and operating results of Tomahawk have been included in the Company’s consolidated financial statements. Refer to Note 21—Business Acquisitions for further details.</w:t>
      </w:r>
    </w:p>
    <w:p>
      <w:pPr>
        <w:spacing w:after="0" w:line="180"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On November 13, 2024, the Company formed Archangel Merger Sub LLC, a Delaware limited liability company and a direct wholly owned subsidiary of the Company (“Merger Sub”), for the purpose of the announced acquisition of BlueHalo Financing Topco, LLC (“BlueHalo”). On May 1, 2025, the Company completed the acquisition of BlueHalo. Refer to Note 25—Subsequent Events for further details.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 in Companies Accounted for Using the Equity or Cost Method</w:t>
      </w:r>
    </w:p>
    <w:p>
      <w:pPr>
        <w:spacing w:after="0" w:line="22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Investments in other non-consolidated entities are accounted for using the equity method or cost basis depending upon the level of ownership and/or the Company’s ability to exercise significant influence over the operating and financial policies of the investee. When the equity method is used, investments are recorded at original cost and adjusted periodically to recognize the Company’s proportionate share of the investees’ net income or losses after the date of investment. When net losses from an investment accounted for under the equity method exceed its carrying amount, the investment balance is reduced to zero and additional losses are not provided for as the Company is not obligated to provide additional capital. The Company resumes accounting for the investment under the equity method if the entity subsequently reports net income and the Company’s share of that net income exceeds the share of net losses not recognized during the period the equity method was suspended.</w:t>
      </w:r>
    </w:p>
    <w:p>
      <w:pPr>
        <w:spacing w:after="0" w:line="188"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When an investment accounted for using the equity method issues its own shares, the subsequent reduction in the Company’s proportionate interest in the investee is reflected in equity as an adjustment to paid-in-capital. The Company evaluates its investments in companies accounted for by the equity or cost method for impairment when there is evidence or indicators that a decrease in value may be other than temporary.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 technologies and start-up companies serving defense and industrial markets. In March 2022, the Company entered into a second related limited partnership fund also focusing on highly relevant technologies and start-up companies serving defense and industrial markets. The Company accounts for investments in limited partnerships as equity method investments as the Company is deemed to have influence when it holds more than a minor interest. Refer to Note 8— Investments in Companies Accounted for Using the Equity Method for further details.</w:t>
      </w:r>
    </w:p>
    <w:p>
      <w:pPr>
        <w:spacing w:after="0" w:line="187"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On September 15, 2021, the Company entered into a Share Sale and Purchase Agreement with Toygun Savunma Sanayi ve Havacilik Anonim Sirketi (“Toygun”) whereby the Company sold 35% of the common shares of the Company’s Turkish joint venture, Altoy Savunma Sanayi ve Havacilik Anonim Sirketi (“Altoy”), to Toygun. On October 14, 2022, the Company sold an additional 35% of the common shares of Altoy to Toygun. As a result of the share sales, the Company decreased its interest in Altoy from 85% to 15% and has determined that it no longer controls Altoy. Therefore, the Company no longer consolidates Altoy in the Company’s consolidated financial statements. As the Company has the ability to exercise significant influence over the operating and financial policies of Altoy, the Company accounts for the investment as an equity method investment and records its proportion of any gains or losses of Altoy in equity method investments (loss) income, net of tax. Refer to Note 8— Investments in Companies Accounted for Using the Equity Method for further details.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and other significant expenses, leading to decisions related to resource allocations in relation to profit and loss. Accordingly, the Company identifies three reportable segments.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generally accepted accounting principles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acquired intangibles, goodwill, deferred tax assets and liabilities, useful lives of property, plant and equipment, medical and dental liabilities, warranty liabilities, long-term incentive plan liabilities and estimates of anticipated contract costs and transaction price utilized in the revenue recognition process. Actual results could differ from those estimates.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left="40" w:right="399" w:firstLine="648"/>
        <w:spacing w:after="0" w:line="261"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Specifically, the Company’s segment disclosures for prior periods have been recast to conform to the adoption of Accounting Standard Update (“ASU”) 2023-07, Segment Reporting (Topic 280): Improvements to Reportable Segment Disclosures (“ASU 2023-07”).</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229" w:lineRule="exact"/>
        <w:rPr>
          <w:sz w:val="20"/>
          <w:szCs w:val="20"/>
          <w:color w:val="auto"/>
        </w:rPr>
      </w:pPr>
    </w:p>
    <w:p>
      <w:pPr>
        <w:jc w:val="both"/>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Investments in equity securities and warrants are measured at fair value with net unrealized gains and losses from changes in the fair value recognized in other (expense) income, net. Gains and losses realized on the disposition of investment securities are determined on the specific identification basis and credited or charged to income. Management determines the appropriate classification of securities at the time of purchase and reevaluates such designation as of each balance sheet date.</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229" w:lineRule="exact"/>
        <w:rPr>
          <w:sz w:val="20"/>
          <w:szCs w:val="20"/>
          <w:color w:val="auto"/>
        </w:rPr>
      </w:pPr>
    </w:p>
    <w:p>
      <w:pPr>
        <w:ind w:left="40" w:right="619" w:firstLine="648"/>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retentions and accounts payable approximate cost due to the short period of time to maturity.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left="40" w:right="199" w:firstLine="648"/>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cash equivalents, municipal bonds, U.S. government securities, U.S. government-guaranteed agency securities, U.S. government sponsored agency debt securities, highly rated corporate bonds, and accounts receivable. The Company currently invests in equity securities and limited partnership funds. The Company’s revenue and accounts receivable are with a limited number of corporations and governmental entities. In the aggregate, 75%, 76% and 68% of the Company’s revenue came from agencies of the U.S. government for the years ended April 30, 2025, 2024 and 2023, respectively. These agencies accounted for 75% and 41% of the accounts receivable balances at April 30, 2025 and 2024, respectively. One such agency, the U.S. Army, accounted for 20%, 11% and 6% of the Company’s consolidated revenue for the years ended April 30, 2025, 2024 and 2023, respectively. The Company performs ongoing credit evaluations of its commercial customers and maintains an allowance for potential losses.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Accounts Receivable, Unbilled Receivables and Retentions</w:t>
      </w:r>
    </w:p>
    <w:p>
      <w:pPr>
        <w:spacing w:after="0" w:line="229"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represents primarily U.S. government and allied foreign governments, and to a lesser extent commercial receivables, net of allowances for doubtful accounts. Unbilled receivables represent costs in excess of billings on incomplete contracts and, where applicable, accrued profit related to government long-term contracts on which revenue has been recognized, but for which the customer has not yet been billed. Unbilled receivables are considered contract assets.</w:t>
      </w:r>
    </w:p>
    <w:p>
      <w:pPr>
        <w:spacing w:after="0" w:line="183"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Retentions represent amounts withheld by customers until contract completion. At April 30, 2025 and 2024, the retention balances were $746,000 and $744,000, respectively. The Company determines the allowance for doubtful accounts based on historical customer experience, age of receivable and other currently available evidence. When a specific account is deemed uncollectible, the account is written off against the allowance. The allowance for doubtful accounts reflects the Company’s best estimate of expected credit losses over the life of the receivable; such losses have historically been within management’s expectations. An account is deemed past due based on contractual terms rather than on how recently payments have been received.</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40" w:right="319" w:firstLine="648"/>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(using the weighted average costing method) or net realizable value. Inventory write-offs and write-down provisions are provided to cover risks arising from slow-moving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net realizable value.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ind w:left="40" w:right="139" w:firstLine="648"/>
        <w:spacing w:after="0" w:line="312" w:lineRule="auto"/>
        <w:rPr>
          <w:sz w:val="20"/>
          <w:szCs w:val="20"/>
          <w:color w:val="auto"/>
        </w:rPr>
      </w:pPr>
      <w:r>
        <w:rPr>
          <w:rFonts w:ascii="Times New Roman" w:cs="Times New Roman" w:eastAsia="Times New Roman" w:hAnsi="Times New Roman"/>
          <w:sz w:val="17"/>
          <w:szCs w:val="17"/>
          <w:color w:val="auto"/>
        </w:rPr>
        <w:t>Property, plant and equipment are carried at cost. Depreciation of property and equipment, including amortization of leasehold improvements, are provided using the straight-line method over the following estimated useful lives:</w:t>
      </w:r>
    </w:p>
    <w:p>
      <w:pPr>
        <w:spacing w:after="0" w:line="172"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198"/>
        </w:trPr>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Computer equipment and</w:t>
            </w:r>
          </w:p>
        </w:tc>
        <w:tc>
          <w:tcPr>
            <w:tcW w:w="14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420" w:type="dxa"/>
            <w:vAlign w:val="bottom"/>
            <w:shd w:val="clear" w:color="auto" w:fill="CCEEFF"/>
          </w:tcPr>
          <w:p>
            <w:pPr>
              <w:spacing w:after="0"/>
              <w:rPr>
                <w:sz w:val="18"/>
                <w:szCs w:val="18"/>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In-service ISR assets</w:t>
            </w:r>
          </w:p>
        </w:tc>
        <w:tc>
          <w:tcPr>
            <w:tcW w:w="1420" w:type="dxa"/>
            <w:vAlign w:val="bottom"/>
          </w:tcPr>
          <w:p>
            <w:pPr>
              <w:spacing w:after="0"/>
              <w:rPr>
                <w:sz w:val="18"/>
                <w:szCs w:val="18"/>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Lesser of useful life or term of lease</w:t>
            </w:r>
          </w:p>
        </w:tc>
      </w:tr>
    </w:tbl>
    <w:p>
      <w:pPr>
        <w:spacing w:after="0" w:line="179"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selling, general and administrative (“SG&amp;A”) in the period incurred with the exception of in-service intelligence, surveillance and reconnaissance (“ISR”) assets which is included in cost of sales in the period incurred. Following the closure of all of the Company’s contractor-owned, contractor-operated (“COCO”) site locations, in-service ISR assets determined to have an alternate business use were reclassified to machinery and equipment as of April 30, 2023.</w:t>
      </w:r>
    </w:p>
    <w:p>
      <w:pPr>
        <w:spacing w:after="0" w:line="18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Cloud Computing Arrangements</w:t>
      </w:r>
    </w:p>
    <w:p>
      <w:pPr>
        <w:spacing w:after="0" w:line="229"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Implementation costs incurred in a cloud computing arrangement that is a service contract are capitalized and recorded on the consolidated balance sheets in prepaid expenses and other current assets and other assets. The amounts capitalized are amortized on a straight-line basis over the estimated useful life of the service arrangement, which generally range from three to seven years. As of April 30, 2025 and 2024, capitalized costs related to cloud computing arrangements was $33,656,000 and $15,424,000, respectively, net of accumulated amortization of $4,887,000 and $2,346,000, respectively. Amortization expense related to cloud computing arrangements for the fiscal years ended April 30, 2025, 2024 and 2023 was $2,541,000, $1,444,000 and $560,000.</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Costs of Software to Be Sold</w:t>
      </w:r>
    </w:p>
    <w:p>
      <w:pPr>
        <w:spacing w:after="0" w:line="229"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Costs incurred for internally developed and produced or purchased software to be sold, leased or marketed once the software has established technological feasibility are capitalized and recorded on the consolidated balance sheets in other assets. The amounts capitalized are amortized according to the greater of a straight-line basis over the estimated useful life of the service arrangement, which generally range from two to five years, or the ratio that current gross revenues for a product bear to the total of current and anticipated future gross revenues for that product. As of April 30, 2025 and 2024, capitalized costs of software to be sold, leased or marketed was $3,269,000 and $0, respectively, net of accumulated amortization of $460,000 and $0, respectively.</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Intangibles Assets — Acquired in Business Combinations</w:t>
      </w:r>
    </w:p>
    <w:p>
      <w:pPr>
        <w:spacing w:after="0" w:line="229"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technology, backlog, licenses, in-process research and development,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39"/>
        <w:spacing w:after="0" w:line="258" w:lineRule="auto"/>
        <w:rPr>
          <w:sz w:val="20"/>
          <w:szCs w:val="20"/>
          <w:color w:val="auto"/>
        </w:rPr>
      </w:pPr>
      <w:r>
        <w:rPr>
          <w:rFonts w:ascii="Times New Roman" w:cs="Times New Roman" w:eastAsia="Times New Roman" w:hAnsi="Times New Roman"/>
          <w:sz w:val="18"/>
          <w:szCs w:val="18"/>
          <w:color w:val="auto"/>
        </w:rPr>
        <w:t>customer relationships, trademarks and tradenames, and non-compete agreements. The Company determines the appropriate useful life by performing an analysis of expected cash flows based on historical experience of the acquired businesses. Intangible assets are amortized over their estimated useful lives using the straight-line method which approximates the pattern in which the economic benefits are consumed. The estimated useful life for the Company’s intangible assets are as follows:</w:t>
      </w:r>
    </w:p>
    <w:p>
      <w:pPr>
        <w:spacing w:after="0" w:line="215"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7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3 – 12 years</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17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1 year</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w:t>
            </w:r>
          </w:p>
        </w:tc>
        <w:tc>
          <w:tcPr>
            <w:tcW w:w="17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3 – 5 years</w:t>
            </w:r>
          </w:p>
        </w:tc>
      </w:tr>
      <w:tr>
        <w:trPr>
          <w:trHeight w:val="198"/>
        </w:trPr>
        <w:tc>
          <w:tcPr>
            <w:tcW w:w="2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In-process research and</w:t>
            </w:r>
          </w:p>
        </w:tc>
        <w:tc>
          <w:tcPr>
            <w:tcW w:w="1740" w:type="dxa"/>
            <w:vAlign w:val="bottom"/>
            <w:shd w:val="clear" w:color="auto" w:fill="CCEEFF"/>
          </w:tcPr>
          <w:p>
            <w:pPr>
              <w:spacing w:after="0"/>
              <w:rPr>
                <w:sz w:val="17"/>
                <w:szCs w:val="17"/>
                <w:color w:val="auto"/>
              </w:rPr>
            </w:pPr>
          </w:p>
        </w:tc>
      </w:tr>
      <w:tr>
        <w:trPr>
          <w:trHeight w:val="23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7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7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7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Contractual term</w:t>
            </w:r>
          </w:p>
        </w:tc>
      </w:tr>
    </w:tbl>
    <w:p>
      <w:pPr>
        <w:spacing w:after="0" w:line="198"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monitors conditions related to these assets to determine whether events and circumstances warrant a revision to the remaining amortization period. The Company tests its intangible assets with finite lives for potential impairment whenever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As part of the Company’s annual goodwill impairment and identifiable asset test during the fiscal quarter ended April 30, 2025, a decrease in forecasted results of the Uncrewed Ground vehicles (“UGV”) reporting unit resulted in accelerated intangible amortization expenses of $4,258,000, which was recorded during the three months ended April 30, 2025. Due to the closure of all the Company’s MUAS COCO sites, the Company revised the estimated useful life for the MUAS customer relationships which resulted in accelerated intangible amortization expenses of $34,149,000 during the fiscal year ended April 30, 2023. Additionally, in conjunction with the goodwill impairment test performed during the year ended April 30, 2023, the remaining intangibles in the MUAS reporting unit were tested for recoverability. The asset recoverability test did not result in an impairment for the remaining intangibles in the MUAS reporting unit. Refer to Note 6—Goodwill for further details.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40" w:right="79" w:firstLine="648"/>
        <w:spacing w:after="0" w:line="273" w:lineRule="auto"/>
        <w:rPr>
          <w:sz w:val="20"/>
          <w:szCs w:val="20"/>
          <w:color w:val="auto"/>
        </w:rPr>
      </w:pPr>
      <w:r>
        <w:rPr>
          <w:rFonts w:ascii="Times New Roman" w:cs="Times New Roman" w:eastAsia="Times New Roman" w:hAnsi="Times New Roman"/>
          <w:sz w:val="17"/>
          <w:szCs w:val="17"/>
          <w:color w:val="auto"/>
        </w:rPr>
        <w:t>Goodwill represents the excess of the cost of an acquired entity over the fair value of the acquired net assets. The Company tests goodwill for impairment annually during the fourth quarter of the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the Company’s overall business, significant negative industry or economic trends or significant underperformance relative to projected future results of operations.</w:t>
      </w:r>
    </w:p>
    <w:p>
      <w:pPr>
        <w:spacing w:after="0" w:line="171"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its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the Company’s industry and require the Company to make certain assumptions and estimates regarding industry economic factors and future profitability of its business.</w:t>
      </w:r>
    </w:p>
    <w:p>
      <w:pPr>
        <w:spacing w:after="0" w:line="192" w:lineRule="exact"/>
        <w:rPr>
          <w:sz w:val="20"/>
          <w:szCs w:val="20"/>
          <w:color w:val="auto"/>
        </w:rPr>
      </w:pPr>
    </w:p>
    <w:p>
      <w:pPr>
        <w:ind w:left="40" w:right="279" w:firstLine="648"/>
        <w:spacing w:after="0" w:line="282" w:lineRule="auto"/>
        <w:rPr>
          <w:sz w:val="20"/>
          <w:szCs w:val="20"/>
          <w:color w:val="auto"/>
        </w:rPr>
      </w:pPr>
      <w:r>
        <w:rPr>
          <w:rFonts w:ascii="Times New Roman" w:cs="Times New Roman" w:eastAsia="Times New Roman" w:hAnsi="Times New Roman"/>
          <w:sz w:val="18"/>
          <w:szCs w:val="18"/>
          <w:color w:val="auto"/>
        </w:rPr>
        <w:t>During the Company’s annual impairment test during the fiscal quarter ended April 30, 2025, the Company determined the carrying value of the UGV reporting unit exceeded its fair value due to a decrease in forecasted results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the UGV reporting unit resulting from reduced probability and delays of obtaining certain opportunities as well as an increase in forecast expenditures to support operational decisions identified during the fiscal quarter ended April 30, 2025. These changes in estimates resulted in the recognition of a goodwill impairment charge of $18,359,000 in the UGV reporting unit.</w:t>
      </w:r>
    </w:p>
    <w:p>
      <w:pPr>
        <w:spacing w:after="0" w:line="180"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Subsequent to the performance of our annual goodwill impairment test for the fiscal year ended April 30, 2023,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EBITDA growth rate expectations used in the valuation of the MUAS reporting unit. These changes in estimates, resulted in the recognition of a goodwill impairment charge of $156,017,000 in the MUAS reporting unit recorded during the fiscal year ended April 30, 2023.</w:t>
      </w:r>
    </w:p>
    <w:p>
      <w:pPr>
        <w:spacing w:after="0" w:line="189"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As of April 30, 2025, our MUAS reporting unit has a goodwill balance of $135,773,000. During the most recent annual impairment test during the fourth quarter of fiscal year 2025, the estimated fair value of all reporting units, other than UGV, substantially exceeded their carrying value.</w:t>
      </w:r>
    </w:p>
    <w:p>
      <w:pPr>
        <w:spacing w:after="0" w:line="176" w:lineRule="exact"/>
        <w:rPr>
          <w:sz w:val="20"/>
          <w:szCs w:val="20"/>
          <w:color w:val="auto"/>
        </w:rPr>
      </w:pPr>
    </w:p>
    <w:p>
      <w:pPr>
        <w:ind w:left="40" w:right="279" w:firstLine="648"/>
        <w:spacing w:after="0" w:line="258" w:lineRule="auto"/>
        <w:rPr>
          <w:sz w:val="20"/>
          <w:szCs w:val="20"/>
          <w:color w:val="auto"/>
        </w:rPr>
      </w:pPr>
      <w:r>
        <w:rPr>
          <w:rFonts w:ascii="Times New Roman" w:cs="Times New Roman" w:eastAsia="Times New Roman" w:hAnsi="Times New Roman"/>
          <w:sz w:val="18"/>
          <w:szCs w:val="18"/>
          <w:color w:val="auto"/>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Product Warranty</w:t>
      </w:r>
    </w:p>
    <w:p>
      <w:pPr>
        <w:spacing w:after="0" w:line="229"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accrues an estimate of its exposure to warranty claims based upon both current and historical product sales data and warranty costs incurred. Product warranty reserves are recorded in other current liabilities. Warranties are provided on certain contracts but do not typically provide for services beyond standard assurances. As such, warranties are in general not considered to be separate performance obligations.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Accrued Sales Commissions</w:t>
      </w:r>
    </w:p>
    <w:p>
      <w:pPr>
        <w:spacing w:after="0" w:line="229"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As of April 30, 2025 and 2024, the Company accrued sales commissions in other current liabilities of $6,535,000 and $3,132,000, respectively.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Self-Insurance Liability</w:t>
      </w:r>
    </w:p>
    <w:p>
      <w:pPr>
        <w:spacing w:after="0" w:line="229"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is self-insured for employee medical claims, subject to individual and aggregate stop loss policies. The Company estimates a liability for claims filed and incurred but not reported based upon recent claims experience and an analysis of the average period of time between the occurrence of a claim and the time it is reported to and paid by the Company. As of April 30, 2025 and 2024, the Company estimated and recorded a self-insurance liability in wages and related accruals of approximately $1,559,000 and $1,244,000, respectively.</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 The Company records a deferred tax asset for acquisition-related costs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82" w:lineRule="auto"/>
        <w:rPr>
          <w:sz w:val="20"/>
          <w:szCs w:val="20"/>
          <w:color w:val="auto"/>
        </w:rPr>
      </w:pPr>
      <w:r>
        <w:rPr>
          <w:rFonts w:ascii="Times New Roman" w:cs="Times New Roman" w:eastAsia="Times New Roman" w:hAnsi="Times New Roman"/>
          <w:sz w:val="18"/>
          <w:szCs w:val="18"/>
          <w:color w:val="auto"/>
        </w:rPr>
        <w:t>for an acquisition that closes in a subsequent reporting period. The Company reevaluates the deferred tax asset in the period the acquisition closes and reverses the deferred tax asset to tax expense for deductible expenses.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Customer Advances</w:t>
      </w:r>
    </w:p>
    <w:p>
      <w:pPr>
        <w:spacing w:after="0" w:line="229" w:lineRule="exact"/>
        <w:rPr>
          <w:sz w:val="20"/>
          <w:szCs w:val="20"/>
          <w:color w:val="auto"/>
        </w:rPr>
      </w:pPr>
    </w:p>
    <w:p>
      <w:pPr>
        <w:jc w:val="both"/>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 receives advances, performance-based payments and progress payments from customers that may exceed costs incurred on certain contracts, including contracts with agencies of the U.S. government resulting in contract liabilities. These advances are classified as customer advances and will be offset against billings.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229"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reasonable margin approach. This approach estimates the Company’s expected costs of satisfying the performance obligation and then adds an appropriate margin for that distinct good or service.</w:t>
      </w:r>
    </w:p>
    <w:p>
      <w:pPr>
        <w:spacing w:after="0" w:line="188" w:lineRule="exact"/>
        <w:rPr>
          <w:sz w:val="20"/>
          <w:szCs w:val="20"/>
          <w:color w:val="auto"/>
        </w:rPr>
      </w:pPr>
    </w:p>
    <w:p>
      <w:pPr>
        <w:ind w:left="40" w:right="419" w:firstLine="648"/>
        <w:spacing w:after="0" w:line="312" w:lineRule="auto"/>
        <w:rPr>
          <w:sz w:val="20"/>
          <w:szCs w:val="20"/>
          <w:color w:val="auto"/>
        </w:rPr>
      </w:pPr>
      <w:r>
        <w:rPr>
          <w:rFonts w:ascii="Times New Roman" w:cs="Times New Roman" w:eastAsia="Times New Roman" w:hAnsi="Times New Roman"/>
          <w:sz w:val="17"/>
          <w:szCs w:val="17"/>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40"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Loitering Munitions Systems (“LMS”) product deliveries, customization of UGV transport vehicles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including ISR services, is recognized over time as services are rendered.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w:t>
      </w:r>
    </w:p>
    <w:p>
      <w:pPr>
        <w:spacing w:after="0" w:line="195" w:lineRule="exact"/>
        <w:rPr>
          <w:sz w:val="20"/>
          <w:szCs w:val="20"/>
          <w:color w:val="auto"/>
        </w:rPr>
      </w:pPr>
    </w:p>
    <w:p>
      <w:pPr>
        <w:ind w:left="40" w:right="519" w:firstLine="648"/>
        <w:spacing w:after="0" w:line="281" w:lineRule="auto"/>
        <w:rPr>
          <w:sz w:val="20"/>
          <w:szCs w:val="20"/>
          <w:color w:val="auto"/>
        </w:rPr>
      </w:pPr>
      <w:r>
        <w:rPr>
          <w:rFonts w:ascii="Times New Roman" w:cs="Times New Roman" w:eastAsia="Times New Roman" w:hAnsi="Times New Roman"/>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219" w:firstLine="648"/>
        <w:spacing w:after="0" w:line="257"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The Company’s UxS product sales revenue is primarily composed of revenue recognized on contracts for the delivery of UxS systems and spare parts.</w:t>
      </w:r>
    </w:p>
    <w:p>
      <w:pPr>
        <w:spacing w:after="0" w:line="1" w:lineRule="exact"/>
        <w:rPr>
          <w:sz w:val="20"/>
          <w:szCs w:val="20"/>
          <w:color w:val="auto"/>
        </w:rPr>
      </w:pPr>
    </w:p>
    <w:p>
      <w:pPr>
        <w:ind w:left="40" w:right="319"/>
        <w:spacing w:after="0" w:line="260" w:lineRule="auto"/>
        <w:rPr>
          <w:sz w:val="20"/>
          <w:szCs w:val="20"/>
          <w:color w:val="auto"/>
        </w:rPr>
      </w:pPr>
      <w:r>
        <w:rPr>
          <w:rFonts w:ascii="Times New Roman" w:cs="Times New Roman" w:eastAsia="Times New Roman" w:hAnsi="Times New Roman"/>
          <w:sz w:val="18"/>
          <w:szCs w:val="18"/>
          <w:color w:val="auto"/>
        </w:rPr>
        <w:t>Revenue is recognized at the point in time when control transfers to the customer, which generally occurs when title and risk of loss have passed to the customer.</w:t>
      </w:r>
    </w:p>
    <w:p>
      <w:pPr>
        <w:spacing w:after="0" w:line="181"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On April 30, 2025, the Company had approximately $726,627,000 of remaining performance obligations under contracts with its customers, which the Company also refers to as backlog. The Company currently expects to recognize approximately 90% of the remaining performance obligations as revenue in fiscal 2026, an additional 9% in fiscal 2027 and the remaining thereafter.</w:t>
      </w:r>
    </w:p>
    <w:p>
      <w:pPr>
        <w:spacing w:after="0" w:line="180"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Company collects sales, value add, and other taxes concurrent with revenue producing activities, which are excluded from revenue when they are both imposed on a specific transaction and collected from a customer.</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Contract Estimates</w:t>
      </w:r>
    </w:p>
    <w:p>
      <w:pPr>
        <w:spacing w:after="0" w:line="229" w:lineRule="exact"/>
        <w:rPr>
          <w:sz w:val="20"/>
          <w:szCs w:val="20"/>
          <w:color w:val="auto"/>
        </w:rPr>
      </w:pPr>
    </w:p>
    <w:p>
      <w:pPr>
        <w:ind w:left="40" w:right="299" w:firstLine="648"/>
        <w:spacing w:after="0" w:line="266" w:lineRule="auto"/>
        <w:rPr>
          <w:sz w:val="20"/>
          <w:szCs w:val="20"/>
          <w:color w:val="auto"/>
        </w:rPr>
      </w:pPr>
      <w:r>
        <w:rPr>
          <w:rFonts w:ascii="Times New Roman" w:cs="Times New Roman" w:eastAsia="Times New Roman" w:hAnsi="Times New Roman"/>
          <w:sz w:val="18"/>
          <w:szCs w:val="18"/>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w:t>
      </w:r>
    </w:p>
    <w:p>
      <w:pPr>
        <w:spacing w:after="0" w:line="176"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80"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gives rise to several types of variable consideration, including undefinitized contract actions and unpriced change orders, which are within the scope of ASC 606 with final contract values to be negotiated,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188"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including definitization of contracts, are recorded using a cumulative catch-up adjustment in the period identified. In the period undefinitized contract actions or unpriced change orders become definitized, a cumulative catch-up adjustment is recorded to reflect the final consideration, which could have a material positive or negative impact.</w:t>
      </w:r>
    </w:p>
    <w:p>
      <w:pPr>
        <w:spacing w:after="0" w:line="187" w:lineRule="exact"/>
        <w:rPr>
          <w:sz w:val="20"/>
          <w:szCs w:val="20"/>
          <w:color w:val="auto"/>
        </w:rPr>
      </w:pPr>
    </w:p>
    <w:p>
      <w:pPr>
        <w:ind w:left="40" w:right="179" w:firstLine="648"/>
        <w:spacing w:after="0" w:line="254" w:lineRule="auto"/>
        <w:rPr>
          <w:sz w:val="20"/>
          <w:szCs w:val="20"/>
          <w:color w:val="auto"/>
        </w:rPr>
      </w:pPr>
      <w:r>
        <w:rPr>
          <w:rFonts w:ascii="Times New Roman" w:cs="Times New Roman" w:eastAsia="Times New Roman" w:hAnsi="Times New Roman"/>
          <w:sz w:val="18"/>
          <w:szCs w:val="18"/>
          <w:color w:val="auto"/>
        </w:rPr>
        <w:t>If at any time the estimate of contract profitability indicates an anticipated loss on the contract and the contract falls under the scope of onerous contract guidance, contracts for which specifications are provided by the customer for the construction of facilities or the production of goods or the provision of related services, the Company recognizes the total loss in the quarter it is identified, and it is recorded in other current liabilities. The balance of forward loss reserves as of April 30, 2025 and April 30, 2024 was $104,000 and $374,000, respectively. The Company records forward loss reserves when the total estimated costs to complete the contracts are in excess of the total remaining consideration of the contracts. No adjustment on the forward loss reserve for any one contract was material to the Company’s consolidated financial statements for the fiscal years ended April 30, 2025, 2024 or 2023.</w:t>
      </w:r>
    </w:p>
    <w:p>
      <w:pPr>
        <w:spacing w:after="0" w:line="192" w:lineRule="exact"/>
        <w:rPr>
          <w:sz w:val="20"/>
          <w:szCs w:val="20"/>
          <w:color w:val="auto"/>
        </w:rPr>
      </w:pPr>
    </w:p>
    <w:p>
      <w:pPr>
        <w:ind w:left="40" w:right="259" w:firstLine="648"/>
        <w:spacing w:after="0" w:line="312" w:lineRule="auto"/>
        <w:rPr>
          <w:sz w:val="20"/>
          <w:szCs w:val="20"/>
          <w:color w:val="auto"/>
        </w:rPr>
      </w:pPr>
      <w:r>
        <w:rPr>
          <w:rFonts w:ascii="Times New Roman" w:cs="Times New Roman" w:eastAsia="Times New Roman" w:hAnsi="Times New Roman"/>
          <w:sz w:val="17"/>
          <w:szCs w:val="17"/>
          <w:color w:val="auto"/>
        </w:rPr>
        <w:t>The impact of adjustments in contract estimates on the Company’s operating earnings can be reflected in either operating costs and expenses or revenue. The aggregate impact of adjustments in contract estimates on revenue related to</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performance obligations satisfied or partially satisfied in previous periods was an increase to revenue of $6,002,000 and</w:t>
      </w:r>
    </w:p>
    <w:p>
      <w:pPr>
        <w:spacing w:after="0" w:line="27"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8"/>
          <w:szCs w:val="18"/>
          <w:color w:val="auto"/>
        </w:rPr>
        <w:t>$5,408,000 for the years ended April 30, 2025 and 2024, respectively, and not significant for the year ended April 30, 2023. During the year ended April 30, 2025, the Company definitized four LMS undefinitized contract actions, which resulted in a cumulative catch-up revenue adjustment of $9,870,000 increase to revenue, and eight LMS unpriced change orders, which resulted in a cumulative catch-up revenue adjustment of $2,177,000 increase to revenue. The Company also revised estimates of the total expected costs to complete contracts, including one LMS contract which decreased revenue by approximately $2,874,000. During the year ended April 30, 2024, the Company revised estimates of the total expected costs to complete contracts, including two LMS contracts which increased revenue by approximately $2,672,000. During the year ended April 30, 2023, the Company revised its estimates of the total expected costs to complete contracts, including one LMS contract which decreased revenue by approximately $1,898,000.</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Revenue by Category</w:t>
      </w:r>
    </w:p>
    <w:p>
      <w:pPr>
        <w:spacing w:after="0" w:line="22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segment, contract type, customer category and geographic location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11"/>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tc>
        <w:tc>
          <w:tcPr>
            <w:tcW w:w="292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5"/>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UxS</w:t>
            </w:r>
          </w:p>
        </w:tc>
        <w:tc>
          <w:tcPr>
            <w:tcW w:w="2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$ 381,778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$ 448,006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LMS</w:t>
            </w: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351,977</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192,587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MW</w:t>
            </w:r>
          </w:p>
        </w:tc>
        <w:tc>
          <w:tcPr>
            <w:tcW w:w="2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86,872</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820,627</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140" w:type="dxa"/>
            <w:vAlign w:val="bottom"/>
          </w:tcPr>
          <w:p>
            <w:pPr>
              <w:spacing w:after="0"/>
              <w:rPr>
                <w:sz w:val="18"/>
                <w:szCs w:val="18"/>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2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60" w:type="dxa"/>
            <w:vAlign w:val="bottom"/>
            <w:vMerge w:val="continue"/>
          </w:tcPr>
          <w:p>
            <w:pPr>
              <w:spacing w:after="0"/>
              <w:rPr>
                <w:sz w:val="15"/>
                <w:szCs w:val="15"/>
                <w:color w:val="auto"/>
              </w:rPr>
            </w:pPr>
          </w:p>
        </w:tc>
        <w:tc>
          <w:tcPr>
            <w:tcW w:w="2920" w:type="dxa"/>
            <w:vAlign w:val="bottom"/>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5"/>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FFP</w:t>
            </w:r>
          </w:p>
        </w:tc>
        <w:tc>
          <w:tcPr>
            <w:tcW w:w="212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$ 746,190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$ 634,266</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430,547</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CPFF</w:t>
            </w: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77,458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T&amp;M</w:t>
            </w:r>
          </w:p>
        </w:tc>
        <w:tc>
          <w:tcPr>
            <w:tcW w:w="2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gridSpan w:val="2"/>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$ 820,627</w:t>
            </w:r>
          </w:p>
        </w:tc>
        <w:tc>
          <w:tcPr>
            <w:tcW w:w="20" w:type="dxa"/>
            <w:vAlign w:val="bottom"/>
            <w:tcBorders>
              <w:top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$ 716,720</w:t>
            </w:r>
          </w:p>
        </w:tc>
        <w:tc>
          <w:tcPr>
            <w:tcW w:w="1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540,536</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40" w:type="dxa"/>
            <w:vAlign w:val="bottom"/>
            <w:tcBorders>
              <w:bottom w:val="single" w:sz="8" w:color="auto"/>
            </w:tcBorders>
            <w:gridSpan w:val="5"/>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customer category</w:t>
            </w:r>
          </w:p>
        </w:tc>
        <w:tc>
          <w:tcPr>
            <w:tcW w:w="18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4"/>
        </w:trPr>
        <w:tc>
          <w:tcPr>
            <w:tcW w:w="4320" w:type="dxa"/>
            <w:vAlign w:val="bottom"/>
            <w:vMerge w:val="continue"/>
          </w:tcPr>
          <w:p>
            <w:pPr>
              <w:spacing w:after="0"/>
              <w:rPr>
                <w:sz w:val="15"/>
                <w:szCs w:val="15"/>
                <w:color w:val="auto"/>
              </w:rPr>
            </w:pPr>
          </w:p>
        </w:tc>
        <w:tc>
          <w:tcPr>
            <w:tcW w:w="2660" w:type="dxa"/>
            <w:vAlign w:val="bottom"/>
            <w:gridSpan w:val="2"/>
          </w:tcPr>
          <w:p>
            <w:pPr>
              <w:jc w:val="center"/>
              <w:ind w:left="17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96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8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$ 613,053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$ 544,885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366,895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207,574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171,835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173,641</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$ 820,627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$ 716,720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540,536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20" w:type="dxa"/>
            <w:vAlign w:val="bottom"/>
            <w:tcBorders>
              <w:bottom w:val="single" w:sz="8" w:color="CCEEFF"/>
            </w:tcBorders>
          </w:tcPr>
          <w:p>
            <w:pPr>
              <w:spacing w:after="0"/>
              <w:rPr>
                <w:sz w:val="24"/>
                <w:szCs w:val="24"/>
                <w:color w:val="auto"/>
              </w:rPr>
            </w:pPr>
          </w:p>
        </w:tc>
        <w:tc>
          <w:tcPr>
            <w:tcW w:w="186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gridSpan w:val="5"/>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2660" w:type="dxa"/>
            <w:vAlign w:val="bottom"/>
            <w:gridSpan w:val="2"/>
          </w:tcPr>
          <w:p>
            <w:pPr>
              <w:jc w:val="center"/>
              <w:ind w:left="17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96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8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$ 390,744</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$ 271,727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251,428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429,883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444,993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289,108</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$ 820,627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$ 716,720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540,536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980" w:type="dxa"/>
            <w:vAlign w:val="bottom"/>
            <w:tcBorders>
              <w:bottom w:val="single" w:sz="8" w:color="auto"/>
            </w:tcBorders>
            <w:gridSpan w:val="5"/>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percentage by recognition method</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8"/>
              </w:rPr>
              <w:t>April 30,</w:t>
            </w:r>
          </w:p>
        </w:tc>
        <w:tc>
          <w:tcPr>
            <w:tcW w:w="0" w:type="dxa"/>
            <w:vAlign w:val="bottom"/>
          </w:tcPr>
          <w:p>
            <w:pPr>
              <w:spacing w:after="0"/>
              <w:rPr>
                <w:sz w:val="1"/>
                <w:szCs w:val="1"/>
                <w:color w:val="auto"/>
              </w:rPr>
            </w:pPr>
          </w:p>
        </w:tc>
      </w:tr>
      <w:tr>
        <w:trPr>
          <w:trHeight w:val="212"/>
        </w:trPr>
        <w:tc>
          <w:tcPr>
            <w:tcW w:w="6260" w:type="dxa"/>
            <w:vAlign w:val="bottom"/>
            <w:tcBorders>
              <w:bottom w:val="single" w:sz="8" w:color="CCEEFF"/>
            </w:tcBorders>
            <w:vMerge w:val="continue"/>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customer advances and deposits on the consolidated balance sheets.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sheets. However, the Company sometimes receives advances or deposits from its customers before revenue is recognized, resulting in contract liabilities recorded in customer advances on the consolidated balance sheets.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sheets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years ended April 30, 2025 or 2024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96" w:lineRule="exact"/>
        <w:rPr>
          <w:sz w:val="20"/>
          <w:szCs w:val="20"/>
          <w:color w:val="auto"/>
        </w:rPr>
      </w:pPr>
    </w:p>
    <w:p>
      <w:pPr>
        <w:ind w:left="40" w:right="419" w:firstLine="648"/>
        <w:spacing w:after="0" w:line="282" w:lineRule="auto"/>
        <w:rPr>
          <w:sz w:val="20"/>
          <w:szCs w:val="20"/>
          <w:color w:val="auto"/>
        </w:rPr>
      </w:pPr>
      <w:r>
        <w:rPr>
          <w:rFonts w:ascii="Times New Roman" w:cs="Times New Roman" w:eastAsia="Times New Roman" w:hAnsi="Times New Roman"/>
          <w:sz w:val="18"/>
          <w:szCs w:val="18"/>
          <w:color w:val="auto"/>
        </w:rPr>
        <w:t>Revenue recognized for the years ended April 30, 2025, 2024, and 2023 that was included in contract liability balances at the beginning of each year were $9,980,000, $13,757,000 and $3,413,000, respectively.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Cost to Fulfill a Contract with a Customer</w:t>
      </w:r>
    </w:p>
    <w:p>
      <w:pPr>
        <w:spacing w:after="0" w:line="22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assets for the costs to fulfill a contract with a customer if the costs are specifically identifiable, generate or enhance resources used to satisfy future performance obligations, and are expected to be recovered in accordance with ASC 340-40 </w:t>
      </w:r>
      <w:r>
        <w:rPr>
          <w:rFonts w:ascii="Times New Roman" w:cs="Times New Roman" w:eastAsia="Times New Roman" w:hAnsi="Times New Roman"/>
          <w:sz w:val="18"/>
          <w:szCs w:val="18"/>
          <w:i w:val="1"/>
          <w:iCs w:val="1"/>
          <w:color w:val="auto"/>
        </w:rPr>
        <w:t>Other Assets and Deferred Costs: Contracts with Customers</w:t>
      </w:r>
      <w:r>
        <w:rPr>
          <w:rFonts w:ascii="Times New Roman" w:cs="Times New Roman" w:eastAsia="Times New Roman" w:hAnsi="Times New Roman"/>
          <w:sz w:val="18"/>
          <w:szCs w:val="18"/>
          <w:color w:val="auto"/>
        </w:rPr>
        <w:t>. The assets related to costs to fulfill contracts with customers are capitalized and amortized over the period the related performance obligations are satisfied. As of April 30, 2025, the Company’s costs to fulfill were 1,948,000. As of April 30, 2024, the Company had no costs to fulfill future performance obligations on contracts considered to be probable of occurrence.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Long-Term Incentive Awards</w:t>
      </w:r>
    </w:p>
    <w:p>
      <w:pPr>
        <w:spacing w:after="0" w:line="229" w:lineRule="exact"/>
        <w:rPr>
          <w:sz w:val="20"/>
          <w:szCs w:val="20"/>
          <w:color w:val="auto"/>
        </w:rPr>
      </w:pPr>
    </w:p>
    <w:p>
      <w:pPr>
        <w:ind w:left="40" w:right="359" w:firstLine="648"/>
        <w:spacing w:after="0" w:line="258" w:lineRule="auto"/>
        <w:rPr>
          <w:sz w:val="20"/>
          <w:szCs w:val="20"/>
          <w:color w:val="auto"/>
        </w:rPr>
      </w:pPr>
      <w:r>
        <w:rPr>
          <w:rFonts w:ascii="Times New Roman" w:cs="Times New Roman" w:eastAsia="Times New Roman" w:hAnsi="Times New Roman"/>
          <w:sz w:val="18"/>
          <w:szCs w:val="18"/>
          <w:color w:val="auto"/>
        </w:rPr>
        <w:t>For long-term incentive awards outstanding as of April 30, 2025, the awards include time-based awards which vest equally over three years and performance-based awards which vest based on the achievement of a target payout established at the beginning of each performance period. The actual payout at the end of the performance period is calculated based upon the Company’s achievement of such targets. Payouts are made in shares of restricted stock which become immediately vested upon issuance.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16"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Internally funded R&amp;D costs sponsored by the Company relate to both U.S. government products and services and those for commercial and foreign customers. Internally funded R&amp;D costs for the Company are recoverable and allocable under government contracts in accordance with U.S. government procurement regulations.</w:t>
      </w:r>
    </w:p>
    <w:p>
      <w:pPr>
        <w:spacing w:after="0" w:line="162"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research and development activities according to customer specifications. These costs are direct contract costs and are expensed to cost of sales when the corresponding revenue is recognized, which is generally as the research and development services are performed. Revenue from customer-funded R&amp;D was $78,491,000, $82,104,000 and $97,880,000 for the years ended April 30, 2025, 2024 and 2023, respectively. The related cost of sales for customer-funded R&amp;D totaled $58,028,000, $62,181,000 and $70,711,000 for the years ended April 30, 2025, 2024 and 2023, respectively.</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Lease Accounting</w:t>
      </w:r>
    </w:p>
    <w:p>
      <w:pPr>
        <w:spacing w:after="0" w:line="216"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66"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ten years, and some of which may include options to terminate the lease after one to twelve months.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75"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5" w:lineRule="exact"/>
        <w:rPr>
          <w:sz w:val="20"/>
          <w:szCs w:val="20"/>
          <w:color w:val="auto"/>
        </w:rPr>
      </w:pPr>
    </w:p>
    <w:p>
      <w:pPr>
        <w:ind w:left="40" w:right="719"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have any material restrictions or covenants in its lease agreements, sale-leaseback transactions, land easements or residual value guarantees.</w:t>
      </w:r>
    </w:p>
    <w:p>
      <w:pPr>
        <w:spacing w:after="0" w:line="148" w:lineRule="exact"/>
        <w:rPr>
          <w:sz w:val="20"/>
          <w:szCs w:val="20"/>
          <w:color w:val="auto"/>
        </w:rPr>
      </w:pPr>
    </w:p>
    <w:p>
      <w:pPr>
        <w:jc w:val="both"/>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16"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included in SG&amp;A expenses were $416,000, $457,000 and $494,000 for the years ended April 30, 2025, 2024 and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and losses are charged or credited to earnings as incurred. For the fiscal years ended April 30, 2025, 2024 and 2023, foreign currency transaction losses that are included in other expense, net in the accompanying consolidated statements of income (loss) were $491,000, $22,000, and $119,000, respectively.</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jc w:val="both"/>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Basic earnings (loss) per share are computed using the weighted-average number of common shares outstanding and excludes any anti-dilutive effects of options, restricted stock and restricted stock units. The dilutive effect of potential common shares outstanding is included in diluted earnings (loss) per share.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reconciliation of diluted to basic shares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10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06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AeroVironment, Inc.</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$ 43,619,000</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$ 59,666,000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(176,212,000)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28,018,656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27,203,417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25,044,881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Dilutive effect of employee stock options, restricted stock and</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124,576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28,173,488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27,327,993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25,044,881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19"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April 30, 2025, 2024 and 2023, certain options, shares of restricted stock and restricted stock units were not included in the computation of diluted earnings per share because their inclusion would have been anti-dilutive. Due to the net loss for the fiscal year ended April 30, 2023, no shares reserved for issuance upon exercise of stock options or shares of unvested restricted stock were included in the computation of diluted loss per share as their inclusion would have been anti-dilutive. The number of options, restricted stock and restricted stock units which met this anti-dilutive criterion was approximately 393, 1,000 and 146,000 for the years ended April 30, 2025, 2024 and 2023, respectively.</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ASU 2023-07 improves reportable segment disclosure requirements, primarily through enhanced disclosures about significant segment expenses reported to the CODM. ASU 2023-07 also requires all segment profit or loss and assets disclosures to be provided on an annual and interim basis. Effective April 30, 2025, the Company adopted the ASU 2023-07. ASU 2023-07 was adopted retrospectively and the required disclosures are made for all periods presented. The Company adoption of ASU 2023-07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60" w:lineRule="exact"/>
        <w:rPr>
          <w:sz w:val="20"/>
          <w:szCs w:val="20"/>
          <w:color w:val="auto"/>
        </w:rPr>
      </w:pPr>
    </w:p>
    <w:p>
      <w:pPr>
        <w:ind w:left="40" w:right="319" w:firstLine="648"/>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Disclosures </w:t>
      </w:r>
      <w:r>
        <w:rPr>
          <w:rFonts w:ascii="Times New Roman" w:cs="Times New Roman" w:eastAsia="Times New Roman" w:hAnsi="Times New Roman"/>
          <w:sz w:val="17"/>
          <w:szCs w:val="17"/>
          <w:color w:val="auto"/>
        </w:rPr>
        <w:t>(“ASU 2023-09”). ASU 2023-09 requires updates to the rate reconciliation, income taxes paid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disclosures. The new standard is effective for fiscal years beginning after December 15, 2024 and interim periods within fiscal years beginning after December 15, 2025, with early adoption permitted. ASU 2023-09 is adopted retrospectively. The Company is evaluating the potential impact of this adoption on its consolidated financial statements.</w:t>
      </w:r>
    </w:p>
    <w:p>
      <w:pPr>
        <w:spacing w:after="0" w:line="102"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 Expense Disaggregation Disclosures (Subtopic 220-40): Disaggregation of Income Statement Expenses (“ASU 2024-03”). ASU 2024-03 requires disclosure, in the notes to financial statements, of specified information about certain costs and expenses included in each expense caption on the face of the income statement at interim and annual reporting periods. The new standard is effective for fiscal years beginning after December 15, 2026, and interim periods within fiscal years beginning after December 15, 2027, and should be applied either prospectively to financial statements issued for reporting periods after the effective date of this ASU or retrospectively to any or all prior periods presented in the financial statements. The Company is evaluating the potential impact of this adoption on our consolidated financial statements.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55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65"/>
        </w:trPr>
        <w:tc>
          <w:tcPr>
            <w:tcW w:w="180" w:type="dxa"/>
            <w:vAlign w:val="bottom"/>
          </w:tcPr>
          <w:p>
            <w:pPr>
              <w:spacing w:after="0"/>
              <w:rPr>
                <w:sz w:val="24"/>
                <w:szCs w:val="24"/>
                <w:color w:val="auto"/>
              </w:rPr>
            </w:pPr>
          </w:p>
        </w:tc>
        <w:tc>
          <w:tcPr>
            <w:tcW w:w="5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Investments consist of the following:</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10"/>
        </w:trPr>
        <w:tc>
          <w:tcPr>
            <w:tcW w:w="1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80" w:type="dxa"/>
            <w:vAlign w:val="bottom"/>
            <w:tcBorders>
              <w:bottom w:val="single" w:sz="8" w:color="auto"/>
            </w:tcBorders>
          </w:tcPr>
          <w:p>
            <w:pPr>
              <w:spacing w:after="0"/>
              <w:rPr>
                <w:sz w:val="24"/>
                <w:szCs w:val="24"/>
                <w:color w:val="auto"/>
              </w:rPr>
            </w:pPr>
          </w:p>
        </w:tc>
      </w:tr>
      <w:tr>
        <w:trPr>
          <w:trHeight w:val="142"/>
        </w:trPr>
        <w:tc>
          <w:tcPr>
            <w:tcW w:w="180" w:type="dxa"/>
            <w:vAlign w:val="bottom"/>
            <w:tcBorders>
              <w:bottom w:val="single" w:sz="8" w:color="CCEEFF"/>
            </w:tcBorders>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securities and warrants</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10"/>
        </w:trPr>
        <w:tc>
          <w:tcPr>
            <w:tcW w:w="18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available-for-sale securities investments</w:t>
            </w:r>
          </w:p>
        </w:tc>
        <w:tc>
          <w:tcPr>
            <w:tcW w:w="1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16"/>
        </w:trPr>
        <w:tc>
          <w:tcPr>
            <w:tcW w:w="180" w:type="dxa"/>
            <w:vAlign w:val="bottom"/>
            <w:shd w:val="clear" w:color="auto" w:fill="CCEEFF"/>
          </w:tcPr>
          <w:p>
            <w:pPr>
              <w:spacing w:after="0"/>
              <w:rPr>
                <w:sz w:val="18"/>
                <w:szCs w:val="18"/>
                <w:color w:val="auto"/>
              </w:rPr>
            </w:pPr>
          </w:p>
        </w:tc>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180" w:type="dxa"/>
            <w:vAlign w:val="bottom"/>
            <w:tcBorders>
              <w:bottom w:val="single" w:sz="8" w:color="CCEEFF"/>
            </w:tcBorders>
          </w:tcPr>
          <w:p>
            <w:pPr>
              <w:spacing w:after="0"/>
              <w:rPr>
                <w:sz w:val="18"/>
                <w:szCs w:val="18"/>
                <w:color w:val="auto"/>
              </w:rPr>
            </w:pPr>
          </w:p>
        </w:tc>
        <w:tc>
          <w:tcPr>
            <w:tcW w:w="5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Investments in limited partnership funds</w:t>
            </w:r>
          </w:p>
        </w:tc>
        <w:tc>
          <w:tcPr>
            <w:tcW w:w="1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19,933</w:t>
            </w:r>
          </w:p>
        </w:tc>
      </w:tr>
      <w:tr>
        <w:trPr>
          <w:trHeight w:val="209"/>
        </w:trPr>
        <w:tc>
          <w:tcPr>
            <w:tcW w:w="180" w:type="dxa"/>
            <w:vAlign w:val="bottom"/>
            <w:shd w:val="clear" w:color="auto" w:fill="CCEEFF"/>
          </w:tcPr>
          <w:p>
            <w:pPr>
              <w:spacing w:after="0"/>
              <w:rPr>
                <w:sz w:val="18"/>
                <w:szCs w:val="18"/>
                <w:color w:val="auto"/>
              </w:rPr>
            </w:pPr>
          </w:p>
        </w:tc>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19,933</w:t>
            </w:r>
          </w:p>
        </w:tc>
      </w:tr>
      <w:tr>
        <w:trPr>
          <w:trHeight w:val="210"/>
        </w:trPr>
        <w:tc>
          <w:tcPr>
            <w:tcW w:w="18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20,960</w:t>
            </w:r>
          </w:p>
        </w:tc>
      </w:tr>
      <w:tr>
        <w:trPr>
          <w:trHeight w:val="20"/>
        </w:trPr>
        <w:tc>
          <w:tcPr>
            <w:tcW w:w="1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162" w:lineRule="exact"/>
        <w:rPr>
          <w:sz w:val="20"/>
          <w:szCs w:val="20"/>
          <w:color w:val="auto"/>
        </w:rPr>
      </w:pPr>
    </w:p>
    <w:p>
      <w:pPr>
        <w:ind w:left="40" w:right="799"/>
        <w:spacing w:after="0" w:line="282" w:lineRule="auto"/>
        <w:rPr>
          <w:sz w:val="20"/>
          <w:szCs w:val="20"/>
          <w:color w:val="auto"/>
        </w:rPr>
      </w:pPr>
      <w:r>
        <w:rPr>
          <w:rFonts w:ascii="Times New Roman" w:cs="Times New Roman" w:eastAsia="Times New Roman" w:hAnsi="Times New Roman"/>
          <w:sz w:val="18"/>
          <w:szCs w:val="18"/>
          <w:color w:val="auto"/>
        </w:rPr>
        <w:t>Equity securities and warrants are measured at fair value with net unrealized losses from changes in the fair value recognized in other expense, net.</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12"/>
        </w:trPr>
        <w:tc>
          <w:tcPr>
            <w:tcW w:w="4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recognized during the period on equity securities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198"/>
        </w:trPr>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loss recognized during the period on equity securities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sold during the period</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47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 (loss) recognized during the period on equity</w:t>
            </w:r>
          </w:p>
        </w:tc>
        <w:tc>
          <w:tcPr>
            <w:tcW w:w="36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8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21"/>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still held at the reporting date</w:t>
            </w:r>
          </w:p>
        </w:tc>
        <w:tc>
          <w:tcPr>
            <w:tcW w:w="360" w:type="dxa"/>
            <w:vAlign w:val="bottom"/>
            <w:gridSpan w:val="2"/>
            <w:vMerge w:val="continue"/>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80" w:hanging="636"/>
        <w:spacing w:after="0"/>
        <w:tabs>
          <w:tab w:leader="none" w:pos="6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62"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08" w:lineRule="exact"/>
        <w:rPr>
          <w:sz w:val="20"/>
          <w:szCs w:val="20"/>
          <w:color w:val="auto"/>
        </w:rPr>
      </w:pPr>
    </w:p>
    <w:p>
      <w:pPr>
        <w:ind w:left="1040" w:right="339" w:hanging="321"/>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based upon quoted prices (unadjusted) for identical assets or liabilities in active markets that are accessible as of the measurement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 w:hanging="321"/>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0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that are unobservable inputs for the asset or liability.</w:t>
      </w:r>
    </w:p>
    <w:p>
      <w:pPr>
        <w:spacing w:after="0" w:line="158"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2025, were as follows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April 30, 2025.</w:t>
      </w:r>
    </w:p>
    <w:p>
      <w:pPr>
        <w:spacing w:after="0" w:line="158"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2024, were as follows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April 30, 2024.</w:t>
      </w:r>
    </w:p>
    <w:p>
      <w:pPr>
        <w:spacing w:after="0" w:line="158"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On September 12, 2022, the Company invested $5,000,000 and acquired 500,000 shares and 500,000 privately placed, redeemable warrants of Amprius Technologies, Inc. The privately placed, redeemable warrants have an exercise price of $12.50 and redemption price of $20.00. The Company measures the fair value of the privately placed, redeemable warrants using the quoted market price of the public warrants which have an exercise price of $11.50 and a redemption price of $18.00 and classifies the warrants as a level 2 fair value measurement.</w:t>
      </w:r>
    </w:p>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September 9, 2022, the Company acquired 10,000 shares of Nauticus Robotics, Inc. for $100,000</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80" w:hanging="636"/>
        <w:spacing w:after="0"/>
        <w:tabs>
          <w:tab w:leader="none" w:pos="6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16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consist of the following (in thousands):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4"/>
          </w:tcPr>
          <w:p>
            <w:pPr>
              <w:jc w:val="right"/>
              <w:ind w:right="39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176,068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3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0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144,090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150,168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080" w:type="dxa"/>
            <w:vAlign w:val="bottom"/>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38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For the fiscal years ended April 30, 2025, 2024 and 2023, the Company recorded inventory reserve charges of $2,882,000, $13,937,000 and $8,136,000, respectively.</w:t>
      </w:r>
    </w:p>
    <w:p>
      <w:pPr>
        <w:spacing w:after="0" w:line="158" w:lineRule="exact"/>
        <w:rPr>
          <w:sz w:val="20"/>
          <w:szCs w:val="20"/>
          <w:color w:val="auto"/>
        </w:rPr>
      </w:pPr>
    </w:p>
    <w:p>
      <w:pPr>
        <w:ind w:left="680" w:hanging="636"/>
        <w:spacing w:after="0"/>
        <w:tabs>
          <w:tab w:leader="none" w:pos="6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Intangibles, net</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intangibles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476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101,012</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77,313</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8"/>
                <w:szCs w:val="18"/>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gross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184,848</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(137,177)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(112,624)</w:t>
            </w:r>
          </w:p>
        </w:tc>
        <w:tc>
          <w:tcPr>
            <w:tcW w:w="100" w:type="dxa"/>
            <w:vAlign w:val="bottom"/>
            <w:tcBorders>
              <w:bottom w:val="single" w:sz="8" w:color="CCEEFF"/>
            </w:tcBorders>
          </w:tcPr>
          <w:p>
            <w:pPr>
              <w:spacing w:after="0"/>
              <w:rPr>
                <w:sz w:val="18"/>
                <w:szCs w:val="18"/>
                <w:color w:val="auto"/>
              </w:rPr>
            </w:pPr>
          </w:p>
        </w:tc>
      </w:tr>
      <w:tr>
        <w:trPr>
          <w:trHeight w:val="209"/>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tests identifiable intangible assets and goodwill for impairment in the fourth quarter of each fiscal year unless there are interim indicators that suggest that it is more likely than not that either the identifiable intangible assets or goodwill may be impaired. The weighted average amortization period at April 30, 2025 and 2024 was three years. Amortization expense for the years ended April 30, 2025, 2024 and 2023 was $23,391,000, $17,954,000 and $58,121,000, respectively.</w:t>
      </w:r>
    </w:p>
    <w:p>
      <w:pPr>
        <w:spacing w:after="0" w:line="183" w:lineRule="exact"/>
        <w:rPr>
          <w:sz w:val="20"/>
          <w:szCs w:val="20"/>
          <w:color w:val="auto"/>
        </w:rPr>
      </w:pPr>
    </w:p>
    <w:p>
      <w:pPr>
        <w:jc w:val="both"/>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As part of the Company’s annual goodwill impairment and identifiable assets test during the fiscal quarter ended April 30, 2025, a decrease in forecasted results of the UGV reporting unit resulted in accelerated intangible amortization expenses of $4,258,000, which was during the three months ended April 30, 2025.</w:t>
      </w:r>
    </w:p>
    <w:p>
      <w:pPr>
        <w:spacing w:after="0" w:line="176" w:lineRule="exact"/>
        <w:rPr>
          <w:sz w:val="20"/>
          <w:szCs w:val="20"/>
          <w:color w:val="auto"/>
        </w:rPr>
      </w:pPr>
    </w:p>
    <w:p>
      <w:pPr>
        <w:ind w:left="40" w:right="159" w:firstLine="648"/>
        <w:spacing w:after="0" w:line="256" w:lineRule="auto"/>
        <w:rPr>
          <w:sz w:val="20"/>
          <w:szCs w:val="20"/>
          <w:color w:val="auto"/>
        </w:rPr>
      </w:pPr>
      <w:r>
        <w:rPr>
          <w:rFonts w:ascii="Times New Roman" w:cs="Times New Roman" w:eastAsia="Times New Roman" w:hAnsi="Times New Roman"/>
          <w:sz w:val="18"/>
          <w:szCs w:val="18"/>
          <w:color w:val="auto"/>
        </w:rPr>
        <w:t>Due to the closure of all of the Company’s MUAS COCO sites during the three months ended April 30, 2023, we revised the estimated useful life for MUAS customer relationships which resulted in accelerated intangible amortization expenses of $34,149,000 during the fiscal year ended April 30, 2023. Additionally, in conjunction with the goodwill impairment test performed during the year ended April 30, 2023, the remaining intangibles in the MUAS reporting unit were tested for recoverability. The asset recoverability test did not result in an impairment recorded for the remaining intangibles in the MUAS reporting unit. Refer to Note 6—Goodwill for further details.</w:t>
      </w:r>
    </w:p>
    <w:p>
      <w:pPr>
        <w:spacing w:after="0" w:line="187"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Technology, customer relationship and tradename intangibles were recognized in conjunction with the Company’s acquisition of Tomahawk on September 15, 2023. Technology and backlog intangible assets were recognized in conjunction with the Company’s acquisition of Planck on August 17, 2022. Refer to Note 21—Business Acquisitions for further details.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7380" w:type="dxa"/>
            <w:vAlign w:val="bottom"/>
            <w:gridSpan w:val="3"/>
          </w:tcPr>
          <w:p>
            <w:pPr>
              <w:jc w:val="right"/>
              <w:ind w:right="1184"/>
              <w:spacing w:after="0"/>
              <w:rPr>
                <w:sz w:val="20"/>
                <w:szCs w:val="20"/>
                <w:color w:val="auto"/>
              </w:rPr>
            </w:pPr>
            <w:r>
              <w:rPr>
                <w:rFonts w:ascii="Times New Roman" w:cs="Times New Roman" w:eastAsia="Times New Roman" w:hAnsi="Times New Roman"/>
                <w:sz w:val="18"/>
                <w:szCs w:val="18"/>
                <w:color w:val="auto"/>
              </w:rPr>
              <w:t>Estimated amortization expense for the next five years is as follows (in thousands):</w:t>
            </w: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0" w:type="dxa"/>
            <w:vAlign w:val="bottom"/>
          </w:tcPr>
          <w:p>
            <w:pPr>
              <w:spacing w:after="0"/>
              <w:rPr>
                <w:sz w:val="1"/>
                <w:szCs w:val="1"/>
                <w:color w:val="auto"/>
              </w:rPr>
            </w:pPr>
          </w:p>
        </w:tc>
      </w:tr>
      <w:tr>
        <w:trPr>
          <w:trHeight w:val="137"/>
        </w:trPr>
        <w:tc>
          <w:tcPr>
            <w:tcW w:w="50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10"/>
        </w:trPr>
        <w:tc>
          <w:tcPr>
            <w:tcW w:w="50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4"/>
              </w:rPr>
              <w:t>2026</w:t>
            </w:r>
          </w:p>
        </w:tc>
        <w:tc>
          <w:tcPr>
            <w:tcW w:w="72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2027</w:t>
            </w:r>
          </w:p>
        </w:tc>
        <w:tc>
          <w:tcPr>
            <w:tcW w:w="7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4"/>
              </w:rPr>
              <w:t>2028</w:t>
            </w:r>
          </w:p>
        </w:tc>
        <w:tc>
          <w:tcPr>
            <w:tcW w:w="7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2029</w:t>
            </w:r>
          </w:p>
        </w:tc>
        <w:tc>
          <w:tcPr>
            <w:tcW w:w="7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4"/>
              </w:rPr>
              <w:t>2030</w:t>
            </w:r>
          </w:p>
        </w:tc>
        <w:tc>
          <w:tcPr>
            <w:tcW w:w="7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2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hanging="636"/>
        <w:spacing w:after="0"/>
        <w:tabs>
          <w:tab w:leader="none" w:pos="6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Company’s goodwill balance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April 30, 2024</w:t>
            </w: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UxS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LMS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MW</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431,669</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(156,017)</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256,398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275,652</w:t>
            </w:r>
          </w:p>
        </w:tc>
        <w:tc>
          <w:tcPr>
            <w:tcW w:w="0" w:type="dxa"/>
            <w:vAlign w:val="bottom"/>
          </w:tcPr>
          <w:p>
            <w:pPr>
              <w:spacing w:after="0"/>
              <w:rPr>
                <w:sz w:val="1"/>
                <w:szCs w:val="1"/>
                <w:color w:val="auto"/>
              </w:rPr>
            </w:pPr>
          </w:p>
        </w:tc>
      </w:tr>
      <w:tr>
        <w:trPr>
          <w:trHeight w:val="209"/>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to goodwill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30, 2025</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431,157</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(174,376)</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237,527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April 30, 2023</w:t>
            </w:r>
          </w:p>
        </w:tc>
        <w:tc>
          <w:tcPr>
            <w:tcW w:w="1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UxS</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LMS</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MW</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336,818</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(156,017)</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161,547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180,801</w:t>
            </w:r>
          </w:p>
        </w:tc>
        <w:tc>
          <w:tcPr>
            <w:tcW w:w="0" w:type="dxa"/>
            <w:vAlign w:val="bottom"/>
          </w:tcPr>
          <w:p>
            <w:pPr>
              <w:spacing w:after="0"/>
              <w:rPr>
                <w:sz w:val="1"/>
                <w:szCs w:val="1"/>
                <w:color w:val="auto"/>
              </w:rPr>
            </w:pPr>
          </w:p>
        </w:tc>
      </w:tr>
      <w:tr>
        <w:trPr>
          <w:trHeight w:val="209"/>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to goodwill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to goodwill</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30, 2024</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431,669</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(156,017)</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256,398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275,652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During the Company’s annual impairment test during the fiscal quarter ended April 30, 2025, the Company determined the carrying value of the UGV reporting unit exceeded its fair value due to a decrease in forecasted results of the UGV reporting unit resulting from reduced probability and delays of obtaining certain opportunities as well as an increase in forecast expenditures to support operational decisions identified during the fiscal quarter ended April 30, 2025. The changes in estimates resulted in the recognition of a goodwill impairment charge of $18,359,000 in the UGV reporting unit.</w:t>
      </w:r>
    </w:p>
    <w:p>
      <w:pPr>
        <w:spacing w:after="0" w:line="187"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The addition during the fiscal year ended April 30, 2024 to the UxS segment relates to the Tomahawk Acquisition. The change to goodwill during the fiscal years ended April 30, 2025 and 2024 in UxS is attributable to the translation of the goodwill related to the Telerob Acquisition, which was recorded in Euros and translated to dollars at each reporting date. Refer to Note 21—Business Acquisitions for further details.</w:t>
      </w:r>
    </w:p>
    <w:p>
      <w:pPr>
        <w:spacing w:after="0" w:line="180"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Subsequent to the performance of the Company’s annual goodwill impairment and identifiable asset test for the fiscal year ended April 30, 2023, in May 2023, a trigger event was identified that indicated that the carrying value of the MUAS reporting unit exceeded its fair value. Specifically, the Company received notification that it was not down selected for a U.S. DoD program of record which resulted in a significant decrease in the projected future cash flows of the MUAS reporting unit. As a result, the Company updated its estimates of long-term future cash flows to reflect lower revenue and EBITDA growth rate expectations used in the valuation of the MUAS reporting unit. These changes in estimates resulted in the recognition of a goodwill impairment charge of $156,017,000 in the MUAS reporting unit.</w:t>
      </w:r>
    </w:p>
    <w:p>
      <w:pPr>
        <w:spacing w:after="0" w:line="189" w:lineRule="exact"/>
        <w:rPr>
          <w:sz w:val="20"/>
          <w:szCs w:val="20"/>
          <w:color w:val="auto"/>
        </w:rPr>
      </w:pPr>
    </w:p>
    <w:p>
      <w:pPr>
        <w:ind w:left="40" w:right="439" w:firstLine="648"/>
        <w:spacing w:after="0" w:line="282" w:lineRule="auto"/>
        <w:rPr>
          <w:sz w:val="20"/>
          <w:szCs w:val="20"/>
          <w:color w:val="auto"/>
        </w:rPr>
      </w:pPr>
      <w:r>
        <w:rPr>
          <w:rFonts w:ascii="Times New Roman" w:cs="Times New Roman" w:eastAsia="Times New Roman" w:hAnsi="Times New Roman"/>
          <w:sz w:val="18"/>
          <w:szCs w:val="18"/>
          <w:color w:val="auto"/>
        </w:rPr>
        <w:t>During the most recent annual impairment test during the fourth quarter of fiscal year 2025, the estimated fair value of all reporting units, other than UGV, substantially exceeded their carrying value.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hanging="636"/>
        <w:spacing w:after="0"/>
        <w:tabs>
          <w:tab w:leader="none" w:pos="6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8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29"/>
        </w:trPr>
        <w:tc>
          <w:tcPr>
            <w:tcW w:w="5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960" w:type="dxa"/>
            <w:vAlign w:val="bottom"/>
            <w:gridSpan w:val="5"/>
          </w:tcPr>
          <w:p>
            <w:pPr>
              <w:jc w:val="right"/>
              <w:ind w:right="45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In-service ISR assets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Land, building, and leasehold improvements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132,862</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48,817</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tcPr>
          <w:p>
            <w:pPr>
              <w:spacing w:after="0"/>
              <w:rPr>
                <w:sz w:val="18"/>
                <w:szCs w:val="18"/>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(179,735)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(175,152)</w:t>
            </w:r>
          </w:p>
        </w:tc>
      </w:tr>
      <w:tr>
        <w:trPr>
          <w:trHeight w:val="210"/>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50,704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Depreciation expense for the years ended April 30, 2025, 2024 and 2023 was $17,063,000, $17,098,000 and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$41,803,000, respectively. During the fiscal year ended April 30, 2023, the Company recorded accelerated the depreciation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of $16,597,000 related to in-service ISR assets associated with the closure of all of the Company’s MUAS COCO sites.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reclassified certain in-service ISR assets determined to have an alternate business use to machinery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equipment. At April 30, 2025 and 2024, the reclassified assets had a carrying value of $1,486,000 and $1,979,000,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respectively.</w:t>
      </w:r>
    </w:p>
    <w:p>
      <w:pPr>
        <w:spacing w:after="0" w:line="203" w:lineRule="exact"/>
        <w:rPr>
          <w:sz w:val="20"/>
          <w:szCs w:val="20"/>
          <w:color w:val="auto"/>
        </w:rPr>
      </w:pPr>
    </w:p>
    <w:p>
      <w:pPr>
        <w:ind w:left="700" w:right="3179" w:hanging="656"/>
        <w:spacing w:after="0" w:line="503" w:lineRule="auto"/>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Companies Accounted for Using the Equity Method Investment in Limited Partnership Fund</w:t>
      </w: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a total of $10,000,000 during the fiscal years ended April 30, 2021 and 2022, and there were no further contribution commitments to this fund as of April 30, 2022. In March 2022, the Company entered into a limited partnership agreement with a second limited partnership fund also focusing on highly relevant technologies and start-up companies serving defense and industrial markets. Under the terms of the limited partnership agreement, the Company is committed to contributions totaling $20,000,000 over an expected five year period. During the fiscal years ended April 30, 2025, 2024 and 2023, the Company made total contributions of $5,674,000, $3,074,000 and $5,778,000, respectively. Under the terms of the limited partnership agreement, the Company has committed to make additional capital contributions of $5,474,000 to the fund expected to be paid over the next two fiscal years. The Company accounts for investments in limited partnerships as equity method investments as the Company is deemed to have influence when it holds more than a minor interest. For the fiscal years ended April 30, 2025, 2024 and 2023, the Company recorded its ownership percentage of the net gain (loss) of the limited partnership, or $4,816,000, $(1,782,000), and $(2,453,000) respectively, in equity method investment income (loss), net of deferred taxes $0, respectively, in the consolidated statements of income (loss). At April 30, 2025 and 2024, the carrying value of the investment in the limited partnership of $30,423,000 and $19,933,000, respectively, was recorded in available-for-sale long-term investments.</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 in Altoy</w:t>
      </w:r>
    </w:p>
    <w:p>
      <w:pPr>
        <w:spacing w:after="0" w:line="229"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On September 15, 2021, the Company entered into a Share Sale and Purchase Agreement with Toygun whereby the Company sold 35% of the common shares of Altoy to Toygun. On October 14, 2022, the company sold an additional 35% of the common shares of Altoy to Toygun. As a result of the sales, the Company decreased its interest in Altoy from 85% to 15%. The Company no longer controls Altoy, and therefore, has deconsolidated Altoy in the Company’s consolidated financial statements, which resulted in a loss of $189,000 during the fiscal year ended April 30, 2023. The Company maintains significant influence, accounts for its investment in Altoy as an equity method investment and records its proportion of any gains or losses of Altoy in equity method investment (loss) income, net of tax. For the fiscal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58" w:lineRule="auto"/>
        <w:rPr>
          <w:sz w:val="20"/>
          <w:szCs w:val="20"/>
          <w:color w:val="auto"/>
        </w:rPr>
      </w:pPr>
      <w:r>
        <w:rPr>
          <w:rFonts w:ascii="Times New Roman" w:cs="Times New Roman" w:eastAsia="Times New Roman" w:hAnsi="Times New Roman"/>
          <w:sz w:val="18"/>
          <w:szCs w:val="18"/>
          <w:color w:val="auto"/>
        </w:rPr>
        <w:t>year ended April 30, 2025 and 2024, the Company’s proportion of the net income of Altoy for the Company’s ownership was $21,000 and $108,000, respectively. For the fiscal year ended April 30, 2023, the Company’s proportion of the net income of Altoy for the Company’s ownership was not significant. At April 30, 2025 and 2024, the carrying values of the investment in Altoy of $173,000 and $152,000, respectively, was recorded in other assets on the consolidated balance sheets.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Warranty Reserves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Warranty reserve activity is summarized as follows:</w:t>
            </w:r>
          </w:p>
        </w:tc>
        <w:tc>
          <w:tcPr>
            <w:tcW w:w="160" w:type="dxa"/>
            <w:vAlign w:val="bottom"/>
          </w:tcPr>
          <w:p>
            <w:pPr>
              <w:spacing w:after="0"/>
              <w:rPr>
                <w:sz w:val="24"/>
                <w:szCs w:val="24"/>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4"/>
          </w:tcPr>
          <w:p>
            <w:pPr>
              <w:jc w:val="right"/>
              <w:ind w:right="3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acquired from acquisition</w:t>
            </w:r>
          </w:p>
        </w:tc>
        <w:tc>
          <w:tcPr>
            <w:tcW w:w="1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costs settled</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(2,508)</w:t>
            </w:r>
          </w:p>
        </w:tc>
        <w:tc>
          <w:tcPr>
            <w:tcW w:w="0" w:type="dxa"/>
            <w:vAlign w:val="bottom"/>
          </w:tcPr>
          <w:p>
            <w:pPr>
              <w:spacing w:after="0"/>
              <w:rPr>
                <w:sz w:val="1"/>
                <w:szCs w:val="1"/>
                <w:color w:val="auto"/>
              </w:rPr>
            </w:pPr>
          </w:p>
        </w:tc>
      </w:tr>
      <w:tr>
        <w:trPr>
          <w:trHeight w:val="209"/>
        </w:trPr>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760" w:hanging="716"/>
        <w:spacing w:after="0"/>
        <w:tabs>
          <w:tab w:leader="none" w:pos="7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Savings Plan</w:t>
      </w:r>
    </w:p>
    <w:p>
      <w:pPr>
        <w:spacing w:after="0" w:line="229"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has an employee 401(k) savings plan covering all eligible employees. The Company expensed approximately $9,679,000, $8,554,000 and $6,994,000 in contributions to the plan for the years ended April 30, 2025, 2024 and 2023, respectively.</w:t>
      </w:r>
    </w:p>
    <w:p>
      <w:pPr>
        <w:spacing w:after="0" w:line="172" w:lineRule="exact"/>
        <w:rPr>
          <w:sz w:val="20"/>
          <w:szCs w:val="20"/>
          <w:color w:val="auto"/>
        </w:rPr>
      </w:pPr>
    </w:p>
    <w:p>
      <w:pPr>
        <w:ind w:left="700" w:hanging="656"/>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80" w:lineRule="exact"/>
        <w:rPr>
          <w:sz w:val="20"/>
          <w:szCs w:val="20"/>
          <w:color w:val="auto"/>
        </w:rPr>
      </w:pPr>
    </w:p>
    <w:p>
      <w:pPr>
        <w:ind w:left="40" w:right="139"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and its associated Security and Pledge Agreement set forth the terms and conditions for (i) a five-year $100,000,000 revolving credit facility, which included a $25,000,000 sublimit for the issuance of standby and commercial letters of credit (the “Revolving Facility”), and (ii) a five-year amortized $200,000,000 term A loan drawn in full upon execution (the “Term Loan Facility”, and together with the Revolving Facility, the “Credit Facilities”). The Term Loan Facility required payment of 5% of the outstanding obligations in each of the first four loan years, consisting of three quarterly payments of 1.25% each, with the remaining 80%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88"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w:t>
      </w:r>
    </w:p>
    <w:p>
      <w:pPr>
        <w:spacing w:after="0" w:line="180"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The First Amendment to Credit Agreement also implemented certain secured overnight financing rate (“SOFR”) interest rate mechanics and interest rate reference benchmark replacement provisions in order to effectuate the transition from 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Credit Agreement) and whether the Company elects SOFR (ranging from 1.50–2.50%) or Base Rate (ranging from 0.50–1.50%).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 On June 6, 2023, the Company entered into a Second Amendment to Credit Agreement relating to its existing credit Agreement which increased the sublimit from $10,000,000 to $25,000,000.</w:t>
      </w:r>
    </w:p>
    <w:p>
      <w:pPr>
        <w:spacing w:after="0" w:line="197"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On October 4, 2024, the Company entered into a Third Amendment to Credit Agreement with the existing lenders, BofA NA, the administrative agent and the swingline lender, JPM, and U.S. Bank, and Citibank (the “New Lender”) (the “Third Amendment to Credit Agreement”).</w:t>
      </w:r>
    </w:p>
    <w:p>
      <w:pPr>
        <w:spacing w:after="0" w:line="176"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The Third Amendment to Credit Agreement provided for an aggregate $200,000,000 revolving credit facility, including a $25,000,000 sublimit for the issuance of standby and commercial letters of credit, and a $10,000,000 sublimit for swingline loans, secured by all assets of the Company and the Guarantors, and extends the maturity date for obligations pursuant to the Credit Agreement to October 4, 2029. Upon effectiveness of the Third Amendment to Credit Agreement, the Company drew $15,000,000 from the amended Revolving Facility and repaid in full all outstanding amounts owed pursuant to the prior Term Loan Facility. The Third Amendment to Credit Agreement reflects the removal of the Term Loan Facility. The unamortized debt issuance costs allocated to the Term Loan Facility of $590,000 were expensed upon repayment of the Term Loan Facility and recorded in interest expense.</w:t>
      </w:r>
    </w:p>
    <w:p>
      <w:pPr>
        <w:spacing w:after="0" w:line="192" w:lineRule="exact"/>
        <w:rPr>
          <w:sz w:val="20"/>
          <w:szCs w:val="20"/>
          <w:color w:val="auto"/>
        </w:rPr>
      </w:pPr>
    </w:p>
    <w:p>
      <w:pPr>
        <w:ind w:left="40" w:right="139" w:firstLine="648"/>
        <w:spacing w:after="0" w:line="255" w:lineRule="auto"/>
        <w:rPr>
          <w:sz w:val="20"/>
          <w:szCs w:val="20"/>
          <w:color w:val="auto"/>
        </w:rPr>
      </w:pPr>
      <w:r>
        <w:rPr>
          <w:rFonts w:ascii="Times New Roman" w:cs="Times New Roman" w:eastAsia="Times New Roman" w:hAnsi="Times New Roman"/>
          <w:sz w:val="18"/>
          <w:szCs w:val="18"/>
          <w:color w:val="auto"/>
        </w:rPr>
        <w:t>In addition to adding the New Lender and adjusting certain fee schedules, the Third Amendment to Credit Agreement also allowed the Company to incur additional forms of secured and unsecured permitted indebtedness without separate consent of the Administrative Agent and make certain payments related thereto, including certain bilateral letters of credit, supply chain financing transactions, securitization transactions pertaining to its accounts receivable, and issuance of unsecured convertible debt pertaining to its Common Stock (and certain call spread transactions related thereto), subject in each instance to further specified parameters, including aggregate dollar limits on certain activities and satisfaction of ongoing and pro forma financial covenants.</w:t>
      </w:r>
    </w:p>
    <w:p>
      <w:pPr>
        <w:spacing w:after="0" w:line="189" w:lineRule="exact"/>
        <w:rPr>
          <w:sz w:val="20"/>
          <w:szCs w:val="20"/>
          <w:color w:val="auto"/>
        </w:rPr>
      </w:pPr>
    </w:p>
    <w:p>
      <w:pPr>
        <w:ind w:left="40" w:right="139" w:firstLine="648"/>
        <w:spacing w:after="0" w:line="252" w:lineRule="auto"/>
        <w:rPr>
          <w:sz w:val="20"/>
          <w:szCs w:val="20"/>
          <w:color w:val="auto"/>
        </w:rPr>
      </w:pPr>
      <w:r>
        <w:rPr>
          <w:rFonts w:ascii="Times New Roman" w:cs="Times New Roman" w:eastAsia="Times New Roman" w:hAnsi="Times New Roman"/>
          <w:sz w:val="18"/>
          <w:szCs w:val="18"/>
          <w:color w:val="auto"/>
        </w:rPr>
        <w:t>The Third Amendment to Credit Agreement substituted a Consolidated Senior Secured Leverage Ratio for the Consolidated Leverage Ratio required to be maintained under the existing Credit Agreement. The Consolidated Leverage Ratio became an incurrence test, used to determine whether or not the Company may take certain actions, such as borrowing under the Credit Agreement, making acquisitions, incurring certain unsecured debt, or making payments on junior debt. In order to take such actions, the Consolidated Leverage Ratio may not exceed 4.00 to 1.0. However, the ratio increases to 4.50 to 1.0 during a Leverage Increase Period, covering each of the four fiscal quarters of the Company immediately following the consummation of any qualified acquisition. The newly added Consolidated Senior Secured Leverage Ratio, measuring the Consolidated Senior Secured Funded Indebtedness, as of a date of determination, to Consolidated EBITDA for the applicable measurement period, shall not exceed 3.00 to 1.0 at the end of any fiscal quarter of the Company, increasing to 3.50 to 1.0 in a Leverage Increase Period. In each case, no more than one Leverage Increase Period shall be in effect at any time, and the basic ratio levels must be achieved and maintained for at least two fiscal quarters immediately following each Leverage Increase Period prior to giving effect to another Leverage Increase Period. The requirement for the Consolidated Fixed Charge Coverage Ratio to be no less than 1.25 to 1.0 at the end of any fiscal quarter of the Company remained unchanged in the Third Amendment to Credit Agreement. The Third Amendment to Credit Agreement removed the requirement that the Company prepay the loans with the proceeds of dispositions of assets or newly incurred debt. The Company’s ability to borrow under the Revolving Facility is reduced by outstanding letters of credit, which as of April 30, 2025 and 2024 was $9,376,000 and $15,668,000, respectively.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8"/>
          <w:szCs w:val="18"/>
          <w:color w:val="auto"/>
        </w:rPr>
        <w:t>of April 30, 2025, approximately $160,624,000 was available under the Revolving Facility. Borrowings under the Revolving Facility may be used for working capital and other general corporate purposes, including acquisitions that meet certain parameters. As of April 30, 2025, the Company was in compliance with all amended covenants.</w:t>
      </w:r>
    </w:p>
    <w:p>
      <w:pPr>
        <w:spacing w:after="0" w:line="176"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On May 1, 2025 in connection with the consummation of the BlueHalo Acquisition, the Company entered into a Fourth Amendment to Credit Agreement with the existing lenders, BofA NA, the administrative agent and the swingline lender, JPM, and U.S. Bank, and Citibank (the “Fourth Amendment to Credit Agreement” and the existing Credit Agreement as amended thereby, the “Amended Credit Agreement”). The Amended Credit Agreement now provides for an aggregate $700,000,000 term loan and an aggregate $350,000,000 revolving credit facility, including a $25,000,000 sublimit for the issuance of standby and commercial letters of credit, and a $10,000,000 sublimit for swingline loans, secured by all assets of the Company and the Guarantors, and extends the maturity date for obligations pursuant to the Amended Credit Agreement to October 4, 2029. Upon effectiveness of the Amended Credit Agreement, the Company drew $225,000,000 from the amended Revolving Facility and the full $700,000,000 of the Term Loan Facility.</w:t>
      </w:r>
    </w:p>
    <w:p>
      <w:pPr>
        <w:spacing w:after="0" w:line="188" w:lineRule="exact"/>
        <w:rPr>
          <w:sz w:val="20"/>
          <w:szCs w:val="20"/>
          <w:color w:val="auto"/>
        </w:rPr>
      </w:pPr>
    </w:p>
    <w:p>
      <w:pPr>
        <w:jc w:val="both"/>
        <w:ind w:left="40" w:right="79" w:firstLine="648"/>
        <w:spacing w:after="0" w:line="268" w:lineRule="auto"/>
        <w:rPr>
          <w:sz w:val="20"/>
          <w:szCs w:val="20"/>
          <w:color w:val="auto"/>
        </w:rPr>
      </w:pPr>
      <w:r>
        <w:rPr>
          <w:rFonts w:ascii="Times New Roman" w:cs="Times New Roman" w:eastAsia="Times New Roman" w:hAnsi="Times New Roman"/>
          <w:sz w:val="17"/>
          <w:szCs w:val="17"/>
          <w:color w:val="auto"/>
        </w:rPr>
        <w:t>The Term A Loan matures two years after the Closing Date and amortizes at a rate of 5.00% per annum, with the remaining outstanding principal amount due and payable on the maturity date. The applicable margin on the Term A Loan is based upon the Company’s Consolidated Leverage Ratio (as defined in the Credit Agreement) and whether the Company elects as its benchmark rate (i) SOFR (in which case, the applicable margin ranges from 1.50 - 2.50% per annum depending on the Company’s Consolidated Leverage Ratio) plus a credit spread adjustment of 0.10% or (ii) Base Rate (in which case, the applicable margin ranges from 0.50 - 1.50% per annum depending on the Company’s Consolidated Leverage Ratio).</w:t>
      </w:r>
    </w:p>
    <w:p>
      <w:pPr>
        <w:spacing w:after="0" w:line="5"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8"/>
          <w:szCs w:val="18"/>
          <w:color w:val="auto"/>
        </w:rPr>
        <w:t>Upon the occurrence of an event of default, an additional 2.00% per annum default interest rate may apply. Pursuant to the Fourth Amendment to Credit Agreement, the Company is subject to two financial maintenance covenants which require that (i) the Consolidated Senior Secured Leverage Ratio (as defined in the Credit Agreement) not exceed 3.50 to 1.00 as of the end of any fiscal quarter, for the four fiscal quarter following consummation of the BlueHalo Acquisition, and thereafter 3.00 to 1.00 as of the end of any fiscal quarter, and (ii) the Consolidated Fixed Charge Coverage Ratio (as defined in the Credit Agreement) not be less than 1.25 to 1.00 as of the end of any fiscal quarter. Notwithstanding the foregoing, for the first two fiscal quarters of fiscal year 2026, the Company shall not be required to comply with the Consolidated Senior Secured Leverage Ratio (as defined in the Credit Agreement) covenant, so long as at the end of each such fiscal quarter, the Company’s Consolidated Senior Secured Leverage Ratio does not exceed (i) 3.50 to 1.00 (calculated including certain projected synergies that would not otherwise be included in the definition of “Consolidated EBITDA” (as defined in the Credit Agreement)) and (ii) 3.75 to 1.00.</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99"/>
        </w:trPr>
        <w:tc>
          <w:tcPr>
            <w:tcW w:w="5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debt issuance costs–term loans</w:t>
            </w: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costs–term loans</w:t>
            </w: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costs–revolving credit facility</w:t>
            </w:r>
          </w:p>
        </w:tc>
        <w:tc>
          <w:tcPr>
            <w:tcW w:w="6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1,281</w:t>
            </w:r>
          </w:p>
        </w:tc>
        <w:tc>
          <w:tcPr>
            <w:tcW w:w="1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7420" w:type="dxa"/>
            <w:vAlign w:val="bottom"/>
            <w:gridSpan w:val="3"/>
          </w:tcPr>
          <w:p>
            <w:pPr>
              <w:jc w:val="right"/>
              <w:ind w:right="836"/>
              <w:spacing w:after="0"/>
              <w:rPr>
                <w:sz w:val="20"/>
                <w:szCs w:val="20"/>
                <w:color w:val="auto"/>
              </w:rPr>
            </w:pPr>
            <w:r>
              <w:rPr>
                <w:rFonts w:ascii="Times New Roman" w:cs="Times New Roman" w:eastAsia="Times New Roman" w:hAnsi="Times New Roman"/>
                <w:sz w:val="18"/>
                <w:szCs w:val="18"/>
                <w:color w:val="auto"/>
              </w:rPr>
              <w:t>Future contractual long-term debt principal payments at April 30, 2025 were as follows:</w:t>
            </w:r>
          </w:p>
        </w:tc>
        <w:tc>
          <w:tcPr>
            <w:tcW w:w="1000" w:type="dxa"/>
            <w:vAlign w:val="bottom"/>
          </w:tcPr>
          <w:p>
            <w:pPr>
              <w:spacing w:after="0"/>
              <w:rPr>
                <w:sz w:val="20"/>
                <w:szCs w:val="20"/>
                <w:color w:val="auto"/>
              </w:rPr>
            </w:pPr>
          </w:p>
        </w:tc>
      </w:tr>
      <w:tr>
        <w:trPr>
          <w:trHeight w:val="378"/>
        </w:trPr>
        <w:tc>
          <w:tcPr>
            <w:tcW w:w="5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4"/>
              </w:rPr>
              <w:t>2026</w:t>
            </w:r>
          </w:p>
        </w:tc>
        <w:tc>
          <w:tcPr>
            <w:tcW w:w="7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2027</w:t>
            </w:r>
          </w:p>
        </w:tc>
        <w:tc>
          <w:tcPr>
            <w:tcW w:w="7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4"/>
              </w:rPr>
              <w:t>2028</w:t>
            </w:r>
          </w:p>
        </w:tc>
        <w:tc>
          <w:tcPr>
            <w:tcW w:w="7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2029</w:t>
            </w:r>
          </w:p>
        </w:tc>
        <w:tc>
          <w:tcPr>
            <w:tcW w:w="7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4"/>
              </w:rPr>
              <w:t>2030</w:t>
            </w:r>
          </w:p>
        </w:tc>
        <w:tc>
          <w:tcPr>
            <w:tcW w:w="7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09"/>
        </w:trPr>
        <w:tc>
          <w:tcPr>
            <w:tcW w:w="500" w:type="dxa"/>
            <w:vAlign w:val="bottom"/>
          </w:tcPr>
          <w:p>
            <w:pPr>
              <w:spacing w:after="0"/>
              <w:rPr>
                <w:sz w:val="18"/>
                <w:szCs w:val="18"/>
                <w:color w:val="auto"/>
              </w:rPr>
            </w:pPr>
          </w:p>
        </w:tc>
        <w:tc>
          <w:tcPr>
            <w:tcW w:w="734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0"/>
        </w:trPr>
        <w:tc>
          <w:tcPr>
            <w:tcW w:w="5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20" w:hanging="676"/>
        <w:spacing w:after="0"/>
        <w:tabs>
          <w:tab w:leader="none" w:pos="7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lease costs recorded in cost of sales and SG&amp;A expense were as follows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Supplemental lease information was as follows: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2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Maturities of operating lease liabilities as of April 30, 2025 were as follows (in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20" w:hanging="676"/>
        <w:spacing w:after="0"/>
        <w:tabs>
          <w:tab w:leader="none" w:pos="7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April 30, 2025, 2024 and 2023, the Company recorded stock-based compensation expense of approximately $21,461,000, $17,069,000 and $10,765,000, respectively.</w:t>
      </w:r>
    </w:p>
    <w:p>
      <w:pPr>
        <w:spacing w:after="0" w:line="162" w:lineRule="exact"/>
        <w:rPr>
          <w:sz w:val="20"/>
          <w:szCs w:val="20"/>
          <w:color w:val="auto"/>
        </w:rPr>
      </w:pPr>
    </w:p>
    <w:p>
      <w:pPr>
        <w:jc w:val="both"/>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On September 24, 2021, the stockholders of the Company approved the 2021 Equity Incentive Plan (“2021 Plan”) effective September 24, 2021, for officers, directors, key employees and consultants. Under the 2021 Plan, incentive stock options, nonqualified stock options, restricted stock awards, stock appreciation right awards, performance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 awards, performance stock unit awards, dividend equivalents awards, stock payment awards, deferred stock awards,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restricted stock unit awards, other stock-based awards, performance bonus awards or performance-based awards may be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granted at the discretion of the compensation committee, which consists of outside directors. The sum of any cash</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compensation, or other compensation, and the value of awards granted to a non-employee director as compensation for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services as a non-employee director during any fiscal year may not exceed $500,000, which amount is increased to</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$700,000 in the fiscal year of a non-employee director’s initial year of service as a non-employee director. The exercise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price for any incentive stock option shall not be less than 100% of the fair market value on the date of grant. Vesting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awards is established at the time of grant.</w:t>
      </w:r>
    </w:p>
    <w:p>
      <w:pPr>
        <w:spacing w:after="0" w:line="207"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On January 14, 2007, the stockholders of the Company approved the 2006 Equity Incentive Plan (“2006 Plan”) effective January 21, 2007, for officers, directors, key employees and consultants. On September 29, 2011, the stockholders of the Company approved an amendment and restatement of the 2006 Plan (“Restated 2006 Plan”). Under the Restated 2006 Plan, incentive stock options, nonqualified stock options, restricted stock awards, stock appreciation right awards, performance share awards, performance stock unit awards, dividend equivalents awards, stock payment awards, deferred stock awards, restricted stock unit awards, other stock-based awards, performance bonus awards or performance-based awards may be granted at the discretion of the compensation committee, which consists of outside directors. A maximum of 4,884,157 shares of stock may be issued pursuant to awards under the Restated 2006 Plan. The maximum number of shares of common stock with respect to one or more awards that may be granted to any one participant during any twelve month period is 2,000,000. A maximum of $5,000,000 may be paid in cash to any one participant as a performance-based award during any twelve month period. The exercise price for any incentive stock option shall not be less than 100% of the fair market value on the date of grant. Vesting of awards is established at the time of grant. The Restated 2006 Plan expired in July 2021.</w:t>
      </w:r>
    </w:p>
    <w:p>
      <w:pPr>
        <w:spacing w:after="0" w:line="187" w:lineRule="exact"/>
        <w:rPr>
          <w:sz w:val="20"/>
          <w:szCs w:val="20"/>
          <w:color w:val="auto"/>
        </w:rPr>
      </w:pPr>
    </w:p>
    <w:p>
      <w:pPr>
        <w:ind w:left="40" w:right="79" w:firstLine="648"/>
        <w:spacing w:after="0" w:line="272" w:lineRule="auto"/>
        <w:rPr>
          <w:sz w:val="20"/>
          <w:szCs w:val="20"/>
          <w:color w:val="auto"/>
        </w:rPr>
      </w:pPr>
      <w:r>
        <w:rPr>
          <w:rFonts w:ascii="Times New Roman" w:cs="Times New Roman" w:eastAsia="Times New Roman" w:hAnsi="Times New Roman"/>
          <w:sz w:val="17"/>
          <w:szCs w:val="17"/>
          <w:color w:val="auto"/>
        </w:rPr>
        <w:t>On September 19, 2023, the stockholders of the Company approved the Company’s 2023 Employee Stock Purchase Plan (the “2023 ESPP”). The 2023 ESPP allows for eligible employees to purchase common stock through payroll deductions of up to $25,000 worth of common stock (determined at the fair market value of the shares at the time such rights are granted) for each calendar year in which the purchase rights are outstanding at any time. Shares of common stock are purchased under the 2023 ESPP at a discount to the market price of the shares of no less than 85% of the fair market value of the Company’s common stock on each purchase date. Subject to adjustments for changes in the Company’s capitalization and certain corporate transactions, the total number of shares available for issuance under the 2023 ESPP is 1,000,000 shares of common stock. As of April 30, 2025, 14,598 shares have been issued under the 2023 ESPP.</w:t>
      </w:r>
    </w:p>
    <w:p>
      <w:pPr>
        <w:spacing w:after="0" w:line="172"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the grants under the 2023 ESPP was estimated at the grant date using an option pricing model. Assumptions included in the option pricing model included the expected term of grants, the expected volatility, the risk-free interest rate, and the expected dividend yield. The expected term of stock options represents the weighted average period the Company expects the grants to remain outstanding, based on the offering period of the grant. The expected volatility is based on historical volatility for the Company’s stock. The risk-free interest rate is based on the implied yield on a U.S. Treasury zero coupon bond with a remaining term that approximates the expected term of the option. The expected dividend yield of zero reflects that the Company has not paid any cash dividends since inception and does not anticipate paying cash dividends in the foreseeable future.</w:t>
      </w:r>
    </w:p>
    <w:p>
      <w:pPr>
        <w:spacing w:after="0" w:line="192"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stock options granted previously was estimated at the grant date using the Black-Scholes option pricing model. Assumptions included in the Black-Scholes option pricing model included the expected term of stock options, the expected volatility, the risk-free interest rate, and the expected dividend yield. The expected term of stock options represents the weighted average period the Company expects the stock options to remain outstanding, based on the Company’s historical exercise and post-vesting cancellation experience and the remaining contractual life of its outstanding options. The expected volatility is based on historical volatility for the Company’s stock. The risk-free interest rate is based on the implied yield on a U.S. Treasury zero-coupon bond with a remaining term that approximates the expected term of the option. The expected dividend yield of zero reflects that the Company has not paid any cash dividends since inception and does not anticipate paying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Information related to the stock option plans at April 30, 2025, 2024 and 2023, and for the years then ended is 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86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Restated 2006 Plan</w:t>
            </w:r>
          </w:p>
        </w:tc>
        <w:tc>
          <w:tcPr>
            <w:tcW w:w="0" w:type="dxa"/>
            <w:vAlign w:val="bottom"/>
          </w:tcPr>
          <w:p>
            <w:pPr>
              <w:spacing w:after="0"/>
              <w:rPr>
                <w:sz w:val="1"/>
                <w:szCs w:val="1"/>
                <w:color w:val="auto"/>
              </w:rPr>
            </w:pPr>
          </w:p>
        </w:tc>
      </w:tr>
      <w:tr>
        <w:trPr>
          <w:trHeight w:val="117"/>
        </w:trPr>
        <w:tc>
          <w:tcPr>
            <w:tcW w:w="7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canceled</w:t>
            </w:r>
          </w:p>
        </w:tc>
        <w:tc>
          <w:tcPr>
            <w:tcW w:w="10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108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canceled</w:t>
            </w:r>
          </w:p>
        </w:tc>
        <w:tc>
          <w:tcPr>
            <w:tcW w:w="10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0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(66,164)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canceled</w:t>
            </w:r>
          </w:p>
        </w:tc>
        <w:tc>
          <w:tcPr>
            <w:tcW w:w="10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April 30, 2025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The total intrinsic value of all options exercised during the years ended April 30, 2025, 2024 and 2023 was approximately $7,312,000, $0, and $7,369,000, respectively. The intrinsic value of all options outstanding and exercisable at April 30, 2025 and 2024 was $0 and $8,732,000, respectively. The Company had zero non-vested stock options as of April 30, 2025 and 2024 and the years then ended, respectively.</w:t>
      </w:r>
    </w:p>
    <w:p>
      <w:pPr>
        <w:spacing w:after="0" w:line="180" w:lineRule="exact"/>
        <w:rPr>
          <w:sz w:val="20"/>
          <w:szCs w:val="20"/>
          <w:color w:val="auto"/>
        </w:rPr>
      </w:pPr>
    </w:p>
    <w:p>
      <w:pPr>
        <w:jc w:val="both"/>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As of April 30, 2025, there was approximately $12,695,000 of total unrecognized compensation cost related to non-vested share-based compensation awards granted under the equity plans. That cost is expected to be recognized over an approximately two-year period or a weighted average period of approximately 1.8 years.</w:t>
      </w:r>
    </w:p>
    <w:p>
      <w:pPr>
        <w:spacing w:after="0" w:line="176" w:lineRule="exact"/>
        <w:rPr>
          <w:sz w:val="20"/>
          <w:szCs w:val="20"/>
          <w:color w:val="auto"/>
        </w:rPr>
      </w:pPr>
    </w:p>
    <w:p>
      <w:pPr>
        <w:ind w:left="40" w:right="519" w:firstLine="648"/>
        <w:spacing w:after="0" w:line="266" w:lineRule="auto"/>
        <w:rPr>
          <w:sz w:val="20"/>
          <w:szCs w:val="20"/>
          <w:color w:val="auto"/>
        </w:rPr>
      </w:pPr>
      <w:r>
        <w:rPr>
          <w:rFonts w:ascii="Times New Roman" w:cs="Times New Roman" w:eastAsia="Times New Roman" w:hAnsi="Times New Roman"/>
          <w:sz w:val="18"/>
          <w:szCs w:val="18"/>
          <w:color w:val="auto"/>
        </w:rPr>
        <w:t>No options were granted during the fiscal years ended April 30, 2025, 2024 and 2023. The total fair value of shares vesting during the years ended April 30, 2025, 2024 and 2023 was $8,543,000, $6,170,000 and $6,264,000, respectively.</w:t>
      </w:r>
    </w:p>
    <w:p>
      <w:pPr>
        <w:spacing w:after="0" w:line="176" w:lineRule="exact"/>
        <w:rPr>
          <w:sz w:val="20"/>
          <w:szCs w:val="20"/>
          <w:color w:val="auto"/>
        </w:rPr>
      </w:pPr>
    </w:p>
    <w:p>
      <w:pPr>
        <w:jc w:val="both"/>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Proceeds from all option exercises under all stock option plans for the years ended April 30, 2025, 2024 and 2023 were approximately $1,841,000, $0 and $2,278,000, respectively. The tax benefit realized from stock-based compensation was $6,984,000, $0 and $3,387,000 for the fiscal years ended April 30, 2025, 2024, and 2023, respectively.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Information related to the Company’s restricted stock awards at April 30, 2025 and for the year then ended is 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6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2021 Plan</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Restated 2006 Plan</w:t>
            </w: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6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stock at April 30,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Stock 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vested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Stock canceled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stock at April 30, 2025</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Information related to the Company’s restricted stock units at April 30, 2025 and for the year then ended is 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6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Restated 2021 Plan</w:t>
            </w:r>
          </w:p>
        </w:tc>
        <w:tc>
          <w:tcPr>
            <w:tcW w:w="1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Restated 2006 Plan</w:t>
            </w:r>
          </w:p>
        </w:tc>
        <w:tc>
          <w:tcPr>
            <w:tcW w:w="0" w:type="dxa"/>
            <w:vAlign w:val="bottom"/>
          </w:tcPr>
          <w:p>
            <w:pPr>
              <w:spacing w:after="0"/>
              <w:rPr>
                <w:sz w:val="1"/>
                <w:szCs w:val="1"/>
                <w:color w:val="auto"/>
              </w:rPr>
            </w:pPr>
          </w:p>
        </w:tc>
      </w:tr>
      <w:tr>
        <w:trPr>
          <w:trHeight w:val="117"/>
        </w:trPr>
        <w:tc>
          <w:tcPr>
            <w:tcW w:w="57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stock at April 30, 2024</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Stock 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vested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Stock canceled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stock at April 30, 2025</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20" w:hanging="676"/>
        <w:spacing w:after="0"/>
        <w:tabs>
          <w:tab w:leader="none" w:pos="7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Incentive Awards</w:t>
      </w:r>
    </w:p>
    <w:p>
      <w:pPr>
        <w:spacing w:after="0" w:line="229" w:lineRule="exact"/>
        <w:rPr>
          <w:sz w:val="20"/>
          <w:szCs w:val="20"/>
          <w:color w:val="auto"/>
        </w:rPr>
      </w:pPr>
    </w:p>
    <w:p>
      <w:pPr>
        <w:ind w:left="40" w:right="99" w:firstLine="648"/>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27, 2024, the Company granted awards under the 2021 Plan to key employees (“Fiscal 2025 LTIP”). Awards under the Fiscal 2025 LTIP consist of: (i) time-based restricted stock awards and time-based restricted stock units, which vest in equal tranches in July 2025, July 2026 and July 2027, and (ii) performance-based restricted stock units (“PRSUs”), which vest based on the Company’s achievement of revenue and non-GAAP adjusted earnings before interest, taxes, depreciation and amortization (“adjusted EBITDA”) targets for the three-year period ending April 30, 2027.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During the fiscal year ended April 30, 2025, the Company recorded $3,134,000 of compensation expense related to the Fiscal 2025 LTIP. At April 30, 2025, the maximum compensation expense that may be recorded for the performance-based portion of the Fiscal 2025 LTIP is $18,735,000.</w:t>
      </w:r>
    </w:p>
    <w:p>
      <w:pPr>
        <w:spacing w:after="0" w:line="197" w:lineRule="exact"/>
        <w:rPr>
          <w:sz w:val="20"/>
          <w:szCs w:val="20"/>
          <w:color w:val="auto"/>
        </w:rPr>
      </w:pPr>
    </w:p>
    <w:p>
      <w:pPr>
        <w:ind w:left="40" w:right="59" w:firstLine="648"/>
        <w:spacing w:after="0" w:line="269" w:lineRule="auto"/>
        <w:rPr>
          <w:sz w:val="20"/>
          <w:szCs w:val="20"/>
          <w:color w:val="auto"/>
        </w:rPr>
      </w:pPr>
      <w:r>
        <w:rPr>
          <w:rFonts w:ascii="Times New Roman" w:cs="Times New Roman" w:eastAsia="Times New Roman" w:hAnsi="Times New Roman"/>
          <w:sz w:val="17"/>
          <w:szCs w:val="17"/>
          <w:color w:val="auto"/>
        </w:rPr>
        <w:t>During the three months ended July 29, 2023, the Company granted awards under its 2021 Plan to key employees (“Fiscal 2024 LTIP”). Awards under the Fiscal 2024 LTIP consist of: (i) time-based restricted stock awards and time-based restricted stock units, which vest in equal tranches in July 2024, July 2025 and July 2026, and (ii) PRSUs, which vest based on the Company’s achievement of revenue and non-GAAP adjusted EBITDA targets for the three-year period ending April 30, 2026.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During the fiscal years ended April 30, 2025 and 2024 the Company recorded $4,177,000 and $3,916,000 of compensation expense related to the Fiscal 2024 LTIP PRSUs, respectively. At April 30, 2025, the maximum compensation expense that may be recorded for the performance-based portion of the Fiscal 2024 LTIP PRSUs is $15,511,000.</w:t>
      </w:r>
    </w:p>
    <w:p>
      <w:pPr>
        <w:spacing w:after="0" w:line="176"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July 30, 2022, the Company granted awards under the 2021 Plan to key employees (“Fiscal 2023 LTIP”). Awards under the Fiscal 2023 LTIP consist of: (i) time-based restricted stock awards and time-based restricted stock units, which vest in equal tranches in July 2023, July 2024 and July 2025, and (ii) PRSUs, which vest based on the Company’s achievement of revenue and non-GAAP adjusted EBITDA targets for the three-year period ending April 30, 2025.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During the fiscal year ended April 30, 2025, 2024, and 2023, the Company recorded $3,139,000, $3,349,000 and $2,690,000 of compensation expense related to the Fiscal 2023 LTIP PRSUs, respectively. At April 30, 2025, the maximum compensation expense that may be recorded for the performance-based portion of the Fiscal 2023 LTIP PRSUs is $11,448,000.</w:t>
      </w:r>
    </w:p>
    <w:p>
      <w:pPr>
        <w:spacing w:after="0" w:line="187"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July 31, 2021, the Company granted awards under its amended and restated 2006 Equity Incentive Plan (the “Restated 2006 Plan”) to key employees (“Fiscal 2022 LTIP”). Awards under the Fiscal 2022 LTIP consist of: (i) time-based restricted stock awards and time-based restricted stock units, which vest in equal tranches in July 2022, July 2023 and July 2024, and (ii) PRSUs, which vest based on the Company’s achievement of revenue and non-GAAP operating income targets for the three-year period ending April 30, 2024. During the three months ended July 27, 2024, the company issued a total of 15,427 fully-vested shares of the Company’s common stock to settle the PRSUs in the Fiscal 2022 LTIP. During the fiscal years ended April 30, 2024 and 2023, the company recorded $902,000 and $846,000 related to the fiscal year 2022 LTIP PRSUs.</w:t>
      </w:r>
    </w:p>
    <w:p>
      <w:pPr>
        <w:spacing w:after="0" w:line="192"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At April 30, 2025 and 2024, the Company recorded cumulative stock-based compensation expense from these long-term incentive award PRSUs of $27,141,000 and $16,662,000, respectively.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83" w:lineRule="exact"/>
        <w:rPr>
          <w:sz w:val="20"/>
          <w:szCs w:val="20"/>
          <w:color w:val="auto"/>
        </w:rPr>
      </w:pPr>
    </w:p>
    <w:p>
      <w:pPr>
        <w:ind w:left="720" w:hanging="676"/>
        <w:spacing w:after="0"/>
        <w:tabs>
          <w:tab w:leader="none" w:pos="7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income (loss) before income taxes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9"/>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April 30,</w:t>
            </w:r>
          </w:p>
        </w:tc>
      </w:tr>
      <w:tr>
        <w:trPr>
          <w:trHeight w:val="142"/>
        </w:trPr>
        <w:tc>
          <w:tcPr>
            <w:tcW w:w="45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(187,647)</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 income (loss)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(2,453)</w:t>
            </w:r>
          </w:p>
        </w:tc>
      </w:tr>
      <w:tr>
        <w:trPr>
          <w:trHeight w:val="22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16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(190,830)</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any foreign earnings to be reinvested in such foreign jurisdictions and, therefore, no deferred tax liabilities for U.S. income taxes on undistributed earnings are recorded. The foreign subsidiaries do not have any undistributed earnings.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income tax expense (benefit) computed using the U.S. federal statutory rates to actual income tax expense is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7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Year Ended April 30,</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(6.6)</w:t>
            </w:r>
          </w:p>
        </w:tc>
        <w:tc>
          <w:tcPr>
            <w:tcW w:w="9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8"/>
                <w:szCs w:val="18"/>
                <w:color w:val="auto"/>
              </w:rPr>
            </w:pP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8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(13.3)</w:t>
            </w:r>
          </w:p>
        </w:tc>
        <w:tc>
          <w:tcPr>
            <w:tcW w:w="9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8"/>
                <w:szCs w:val="18"/>
                <w:color w:val="auto"/>
              </w:rPr>
            </w:pP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 on executive compensation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8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(19.7)</w:t>
            </w:r>
          </w:p>
        </w:tc>
        <w:tc>
          <w:tcPr>
            <w:tcW w:w="9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Excess benefit relating to stock-based compensation</w:t>
            </w: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(7.6)</w:t>
            </w:r>
          </w:p>
        </w:tc>
        <w:tc>
          <w:tcPr>
            <w:tcW w:w="9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70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2,273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5,257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Significant components of the Company’s deferred income tax assets and liabilities are as follows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42"/>
        </w:trPr>
        <w:tc>
          <w:tcPr>
            <w:tcW w:w="44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4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Allowances, reserves, and other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4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Outside basis difference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4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and credit carry-forwards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42,788</w:t>
            </w: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4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40" w:type="dxa"/>
            <w:vAlign w:val="bottom"/>
            <w:shd w:val="clear" w:color="auto" w:fill="CCEEFF"/>
          </w:tcPr>
          <w:p>
            <w:pPr>
              <w:spacing w:after="0"/>
              <w:rPr>
                <w:sz w:val="18"/>
                <w:szCs w:val="18"/>
                <w:color w:val="auto"/>
              </w:rPr>
            </w:pPr>
          </w:p>
        </w:tc>
      </w:tr>
      <w:tr>
        <w:trPr>
          <w:trHeight w:val="209"/>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107,599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86,282</w:t>
            </w:r>
          </w:p>
        </w:tc>
        <w:tc>
          <w:tcPr>
            <w:tcW w:w="40" w:type="dxa"/>
            <w:vAlign w:val="bottom"/>
            <w:tcBorders>
              <w:bottom w:val="single" w:sz="8" w:color="CCEEFF"/>
            </w:tcBorders>
          </w:tcPr>
          <w:p>
            <w:pPr>
              <w:spacing w:after="0"/>
              <w:rPr>
                <w:sz w:val="18"/>
                <w:szCs w:val="18"/>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asset basis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(3,160)</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(3,516)</w:t>
            </w: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Allowances, reserves, and other</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Outside basis difference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(7,645)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(7,053)</w:t>
            </w: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Intangibles basis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(6,631)</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(11,239)</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40" w:type="dxa"/>
            <w:vAlign w:val="bottom"/>
            <w:tcBorders>
              <w:bottom w:val="single" w:sz="8" w:color="CCEEFF"/>
            </w:tcBorders>
          </w:tcPr>
          <w:p>
            <w:pPr>
              <w:spacing w:after="0"/>
              <w:rPr>
                <w:sz w:val="18"/>
                <w:szCs w:val="18"/>
                <w:color w:val="auto"/>
              </w:rPr>
            </w:pPr>
          </w:p>
        </w:tc>
      </w:tr>
      <w:tr>
        <w:trPr>
          <w:trHeight w:val="210"/>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40,639</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For tax years beginning in 2022, the Tax Cuts and Jobs Act of 2017 (“TCJA”) eliminated the option to currently deduct research and experimental (“R&amp;E”) expenditures in the period incurred and requires taxpayers to capitalize and amortize such expenditures over a period of five years (for U.S.-based research) or fifteen years (for non-U.S. based research), as applicable, pursuant to Section 174 of the Internal Revenue Code. As of April 30, 2025 and 2024, the Company recorded a tax adjustment to capitalize and amortize its R&amp;D costs, which resulted in an increase to income taxes payable of approximately $57,266,000 and $42,788,000, respectively.</w:t>
      </w:r>
    </w:p>
    <w:p>
      <w:pPr>
        <w:spacing w:after="0" w:line="187"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At April 30, 2025 and 2024 the Company recorded a valuation allowance of $26,770,000 and $23,835,000, respectively, primarily against state R&amp;D credits as the Company is currently generating more tax credits than it will utilize in future years and against its capital loss carryforward. The valuation allowance increased by $2,935,000 and $1,332,000 for April 30, 2025 and April 30, 2024, respectively primarily due to a full valuation allowance against foreign deferred tax assets.</w:t>
      </w:r>
    </w:p>
    <w:p>
      <w:pPr>
        <w:spacing w:after="0" w:line="183" w:lineRule="exact"/>
        <w:rPr>
          <w:sz w:val="20"/>
          <w:szCs w:val="20"/>
          <w:color w:val="auto"/>
        </w:rPr>
      </w:pPr>
    </w:p>
    <w:p>
      <w:pPr>
        <w:ind w:left="40" w:right="839" w:firstLine="648"/>
        <w:spacing w:after="0" w:line="282" w:lineRule="auto"/>
        <w:rPr>
          <w:sz w:val="20"/>
          <w:szCs w:val="20"/>
          <w:color w:val="auto"/>
        </w:rPr>
      </w:pPr>
      <w:r>
        <w:rPr>
          <w:rFonts w:ascii="Times New Roman" w:cs="Times New Roman" w:eastAsia="Times New Roman" w:hAnsi="Times New Roman"/>
          <w:sz w:val="18"/>
          <w:szCs w:val="18"/>
          <w:color w:val="auto"/>
        </w:rPr>
        <w:t>At April 30, 2025 the Company had California R&amp;D credit carryforwards of $24,728,000. These credits carryforward indefinitely.</w:t>
      </w:r>
    </w:p>
    <w:p>
      <w:pPr>
        <w:spacing w:after="0" w:line="162"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At April 30, 2025, the Company had federal, state and foreign net operating loss carryforwards of approximately $1,757,000, $97,314,000 and $5,012,000, respectively. The federal net operating losses carry forward indefinitely. The state net operating losses will begin expiring in fiscal year 2035, and foreign net operating losses carry forward indefinitely. Utilization of federal and state net operating loss carryforwards may be subject to substantial annual limitation due to the ownership changes as provided by Section 382 of the Internal Revenue Code and similar state provisions.</w:t>
      </w:r>
    </w:p>
    <w:p>
      <w:pPr>
        <w:spacing w:after="0" w:line="183" w:lineRule="exact"/>
        <w:rPr>
          <w:sz w:val="20"/>
          <w:szCs w:val="20"/>
          <w:color w:val="auto"/>
        </w:rPr>
      </w:pPr>
    </w:p>
    <w:p>
      <w:pPr>
        <w:jc w:val="both"/>
        <w:ind w:left="40" w:right="519" w:firstLine="648"/>
        <w:spacing w:after="0" w:line="289" w:lineRule="auto"/>
        <w:rPr>
          <w:sz w:val="20"/>
          <w:szCs w:val="20"/>
          <w:color w:val="auto"/>
        </w:rPr>
      </w:pPr>
      <w:r>
        <w:rPr>
          <w:rFonts w:ascii="Times New Roman" w:cs="Times New Roman" w:eastAsia="Times New Roman" w:hAnsi="Times New Roman"/>
          <w:sz w:val="17"/>
          <w:szCs w:val="17"/>
          <w:color w:val="auto"/>
        </w:rPr>
        <w:t>At April 30, 2025 and 2024, the Company had approximately $13,429,000 and $13,601,000, respectively, of unrecognized tax benefits, respective to the 2025 balance, $5,004,000 would impact the Company’s tax expense and $6,377,000 would result in an increase in California R&amp;D credit valuation allowance. The Company estimates that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$1,478,000 of its unrecognized tax benefits will decrease in the next twelve months due to statute of limitation expiration.</w:t>
      </w:r>
    </w:p>
    <w:p>
      <w:pPr>
        <w:spacing w:after="0" w:line="225" w:lineRule="exact"/>
        <w:rPr>
          <w:sz w:val="20"/>
          <w:szCs w:val="20"/>
          <w:color w:val="auto"/>
        </w:rPr>
      </w:pPr>
    </w:p>
    <w:p>
      <w:pPr>
        <w:ind w:left="40" w:right="4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gross unrecognized tax benefits for the years ended April 30, 2025 and 2024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6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42"/>
        </w:trPr>
        <w:tc>
          <w:tcPr>
            <w:tcW w:w="55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May 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$ 13,601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$ 12,841</w:t>
            </w:r>
          </w:p>
        </w:tc>
        <w:tc>
          <w:tcPr>
            <w:tcW w:w="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related to lapsing of statute of limitations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(1,766)</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(1,241)</w:t>
            </w: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April 30</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$ 13,429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$ 13,601</w:t>
            </w:r>
          </w:p>
        </w:tc>
        <w:tc>
          <w:tcPr>
            <w:tcW w:w="4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31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interest and penalties on uncertain tax positions to income tax expense. As of April 30, 2025 and 2024, the Company had accrued approximately $454,000 and $283,000, respectively, of interest and penalties related to uncertain tax positions. The 2021 to 2024 tax years remain open to examination by the IRS for federal income taxes. The tax years 2019 to 2024 remain open for major state taxing jurisdictions.</w:t>
      </w:r>
    </w:p>
    <w:p>
      <w:pPr>
        <w:spacing w:after="0" w:line="176" w:lineRule="exact"/>
        <w:rPr>
          <w:sz w:val="20"/>
          <w:szCs w:val="20"/>
          <w:color w:val="auto"/>
        </w:rPr>
      </w:pPr>
    </w:p>
    <w:p>
      <w:pPr>
        <w:ind w:left="700" w:hanging="656"/>
        <w:spacing w:after="0"/>
        <w:tabs>
          <w:tab w:leader="none" w:pos="7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Plan and Issuances</w:t>
      </w:r>
    </w:p>
    <w:p>
      <w:pPr>
        <w:spacing w:after="0" w:line="229"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Company’s share repurchase program announced September 2015 was terminated by the Company’s Board of Directors in September 2022.</w:t>
      </w:r>
    </w:p>
    <w:p>
      <w:pPr>
        <w:spacing w:after="0" w:line="162" w:lineRule="exact"/>
        <w:rPr>
          <w:sz w:val="20"/>
          <w:szCs w:val="20"/>
          <w:color w:val="auto"/>
        </w:rPr>
      </w:pPr>
    </w:p>
    <w:p>
      <w:pPr>
        <w:ind w:left="40" w:right="79" w:firstLine="648"/>
        <w:spacing w:after="0" w:line="230" w:lineRule="auto"/>
        <w:rPr>
          <w:sz w:val="20"/>
          <w:szCs w:val="20"/>
          <w:color w:val="auto"/>
        </w:rPr>
      </w:pPr>
      <w:r>
        <w:rPr>
          <w:rFonts w:ascii="Times New Roman" w:cs="Times New Roman" w:eastAsia="Times New Roman" w:hAnsi="Times New Roman"/>
          <w:sz w:val="18"/>
          <w:szCs w:val="18"/>
          <w:color w:val="auto"/>
        </w:rPr>
        <w:t>On September 8, 2022 the Company filed an S-3 shelf registration statement to offer and sell shares of the Company’s common stock, including a prospectus supplement in relation 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also dated September 8, 2022, with Jefferies LLC relating to the proposed offer and sale of shares of the Company’s common stock having an aggregate offering price of up to $200,000,000 from time to time through Jefferies LLC as the sales agent. During the fiscal year ended April 30, 2024, the Company completed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and the Company sold 807,370 shares, for total gross proceeds of $91,313,000, total proceeds received of $88,574,000, net of commission expense, and $88,437,000, net of equity issuance costs. During the fiscal year ended April 30, 2023, the Company sold 1,109,730 of its shares for total gross proceeds of $108,686,000, total proceeds received of $105,425,000, net of commission expense and $104,649,000, net of equity issuance costs.</w:t>
      </w:r>
    </w:p>
    <w:p>
      <w:pPr>
        <w:spacing w:after="0" w:line="194" w:lineRule="exact"/>
        <w:rPr>
          <w:sz w:val="20"/>
          <w:szCs w:val="20"/>
          <w:color w:val="auto"/>
        </w:rPr>
      </w:pPr>
    </w:p>
    <w:p>
      <w:pPr>
        <w:ind w:left="700" w:hanging="656"/>
        <w:spacing w:after="0"/>
        <w:tabs>
          <w:tab w:leader="none" w:pos="7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148"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accumulated other comprehensive loss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 balance as of April 30, 2024</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adjustments</w:t>
            </w: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 balance as of April 30, 2025</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20" w:hanging="676"/>
        <w:spacing w:after="0"/>
        <w:tabs>
          <w:tab w:leader="none" w:pos="7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Accounting Estimates</w:t>
      </w:r>
    </w:p>
    <w:p>
      <w:pPr>
        <w:spacing w:after="0" w:line="148" w:lineRule="exact"/>
        <w:rPr>
          <w:sz w:val="20"/>
          <w:szCs w:val="20"/>
          <w:color w:val="auto"/>
        </w:rPr>
      </w:pPr>
    </w:p>
    <w:p>
      <w:pPr>
        <w:ind w:left="40" w:right="219" w:firstLine="648"/>
        <w:spacing w:after="0" w:line="255" w:lineRule="auto"/>
        <w:rPr>
          <w:sz w:val="20"/>
          <w:szCs w:val="20"/>
          <w:color w:val="auto"/>
        </w:rPr>
      </w:pPr>
      <w:r>
        <w:rPr>
          <w:rFonts w:ascii="Times New Roman" w:cs="Times New Roman" w:eastAsia="Times New Roman" w:hAnsi="Times New Roman"/>
          <w:sz w:val="18"/>
          <w:szCs w:val="18"/>
          <w:color w:val="auto"/>
        </w:rPr>
        <w:t>As part of the Company’s annual goodwill impairment and identifiable asset test during the fiscal quarter ended April 30, 2025, a decrease in forecasted results of the UGV reporting unit resulted in accelerated intangible amortization expenses of $4,258,000, or loss per diluted share of $0.12, which was recorded during the three months ended April 30, 2025. During the fiscal year ended April 30, 2023, due to the closure of all of the Company’s MUAS COCO sites, the Company revised the estimated useful life of the MUAS customer relationship intangible asset which resulted in accelerated intangible amortization expenses of $34,149,000, increasing net loss by $26,158,000, or loss per diluted share of $1.04.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0" w:hanging="676"/>
        <w:spacing w:after="0"/>
        <w:tabs>
          <w:tab w:leader="none" w:pos="7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ind w:left="40" w:right="419" w:firstLine="648"/>
        <w:spacing w:after="0" w:line="282" w:lineRule="auto"/>
        <w:rPr>
          <w:sz w:val="20"/>
          <w:szCs w:val="20"/>
          <w:color w:val="auto"/>
        </w:rPr>
      </w:pPr>
      <w:r>
        <w:rPr>
          <w:rFonts w:ascii="Times New Roman" w:cs="Times New Roman" w:eastAsia="Times New Roman" w:hAnsi="Times New Roman"/>
          <w:sz w:val="18"/>
          <w:szCs w:val="18"/>
          <w:color w:val="auto"/>
        </w:rPr>
        <w:t>Pursuant to a consulting agreement, the Company paid a board member approximately $76,000 for fiscal year ended April 30, 2023, for consulting services independent of his board service.</w:t>
      </w:r>
    </w:p>
    <w:p>
      <w:pPr>
        <w:spacing w:after="0" w:line="158" w:lineRule="exact"/>
        <w:rPr>
          <w:sz w:val="20"/>
          <w:szCs w:val="20"/>
          <w:color w:val="auto"/>
        </w:rPr>
      </w:pPr>
    </w:p>
    <w:p>
      <w:pPr>
        <w:ind w:left="700" w:right="5759" w:hanging="656"/>
        <w:spacing w:after="0" w:line="409" w:lineRule="auto"/>
        <w:tabs>
          <w:tab w:leader="none" w:pos="727"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Company’s operations are primarily conducted in leased facilities. Refer to Note 12—Leases for additional information.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left="40" w:right="339"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w:t>
      </w:r>
    </w:p>
    <w:p>
      <w:pPr>
        <w:spacing w:after="0" w:line="180" w:lineRule="exact"/>
        <w:rPr>
          <w:sz w:val="20"/>
          <w:szCs w:val="20"/>
          <w:color w:val="auto"/>
        </w:rPr>
      </w:pPr>
    </w:p>
    <w:p>
      <w:pPr>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The Company’s ability to borrow under the Revolving Facility is reduced by outstanding letters of credit. Refer to Note 11—Debt for additional information.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Contract Cost Audits</w:t>
      </w:r>
    </w:p>
    <w:p>
      <w:pPr>
        <w:spacing w:after="0" w:line="229" w:lineRule="exact"/>
        <w:rPr>
          <w:sz w:val="20"/>
          <w:szCs w:val="20"/>
          <w:color w:val="auto"/>
        </w:rPr>
      </w:pPr>
    </w:p>
    <w:p>
      <w:pPr>
        <w:ind w:left="40" w:right="59" w:firstLine="648"/>
        <w:spacing w:after="0" w:line="281" w:lineRule="auto"/>
        <w:rPr>
          <w:sz w:val="20"/>
          <w:szCs w:val="20"/>
          <w:color w:val="auto"/>
        </w:rPr>
      </w:pPr>
      <w:r>
        <w:rPr>
          <w:rFonts w:ascii="Times New Roman" w:cs="Times New Roman" w:eastAsia="Times New Roman" w:hAnsi="Times New Roman"/>
          <w:sz w:val="17"/>
          <w:szCs w:val="17"/>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64" w:lineRule="exact"/>
        <w:rPr>
          <w:sz w:val="20"/>
          <w:szCs w:val="20"/>
          <w:color w:val="auto"/>
        </w:rPr>
      </w:pPr>
    </w:p>
    <w:p>
      <w:pPr>
        <w:ind w:left="40" w:right="279" w:firstLine="648"/>
        <w:spacing w:after="0" w:line="256" w:lineRule="auto"/>
        <w:rPr>
          <w:sz w:val="20"/>
          <w:szCs w:val="20"/>
          <w:color w:val="auto"/>
        </w:rPr>
      </w:pPr>
      <w:r>
        <w:rPr>
          <w:rFonts w:ascii="Times New Roman" w:cs="Times New Roman" w:eastAsia="Times New Roman" w:hAnsi="Times New Roman"/>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87" w:lineRule="exact"/>
        <w:rPr>
          <w:sz w:val="20"/>
          <w:szCs w:val="20"/>
          <w:color w:val="auto"/>
        </w:rPr>
      </w:pPr>
    </w:p>
    <w:p>
      <w:pPr>
        <w:jc w:val="both"/>
        <w:ind w:left="40" w:right="459" w:firstLine="648"/>
        <w:spacing w:after="0" w:line="266" w:lineRule="auto"/>
        <w:rPr>
          <w:sz w:val="20"/>
          <w:szCs w:val="20"/>
          <w:color w:val="auto"/>
        </w:rPr>
      </w:pPr>
      <w:r>
        <w:rPr>
          <w:rFonts w:ascii="Times New Roman" w:cs="Times New Roman" w:eastAsia="Times New Roman" w:hAnsi="Times New Roman"/>
          <w:sz w:val="18"/>
          <w:szCs w:val="18"/>
          <w:color w:val="auto"/>
        </w:rPr>
        <w:t>The Company’s revenue recognition policy calls for revenue recognized on all cost reimbursable government contracts to be recorded at actual rates unless collectability is not reasonably assured. At April 30, 2025 and 2024, the Company had no reserve for open incurred cost claim audits.</w:t>
      </w:r>
    </w:p>
    <w:p>
      <w:pPr>
        <w:spacing w:after="0" w:line="172" w:lineRule="exact"/>
        <w:rPr>
          <w:sz w:val="20"/>
          <w:szCs w:val="20"/>
          <w:color w:val="auto"/>
        </w:rPr>
      </w:pPr>
    </w:p>
    <w:p>
      <w:pPr>
        <w:ind w:left="680" w:hanging="636"/>
        <w:spacing w:after="0"/>
        <w:tabs>
          <w:tab w:leader="none" w:pos="6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Acquisitions</w:t>
      </w:r>
    </w:p>
    <w:p>
      <w:pPr>
        <w:spacing w:after="0" w:line="229"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On September 15, 2023, the Company closed its acquisition of Tomahawk Robotics, Inc., a leader in AI-enabled robotic control systems. Pursuant to the merger agreement, the Company acquired 100% of Tomahawk equity for an aggregate purchase price of $134,467,000 consisting of 985,999 shares of restricted common stock of the Company valued at $109,820,000 and $27,205,000 cash-on-hand, net of $3,048,000 cash acquired, plus a $490,000 holdback. During the three months ended January 27, 2024, the holdback was decreased $100,000 as part of the working capital adjustment, and the total purchase price and goodwill, therefore, decreased by $100,000 as well. The remaining $390,000 holdback was paid during the three months ended October 26, 2024. The fair value of the shares issued was the closing price on September 15, 2023, the close of the Tomahawk purchase agreement. Tomahawk is incorporated into AeroVironment’s UxS segment. The acquisition will enable deeper integration of both companies’ technology, leading to enhanced interoperability and interconnectivity of uncrewed systems through a singular platform with similar control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079"/>
        <w:spacing w:after="0" w:line="282" w:lineRule="auto"/>
        <w:rPr>
          <w:sz w:val="20"/>
          <w:szCs w:val="20"/>
          <w:color w:val="auto"/>
        </w:rPr>
      </w:pPr>
      <w:r>
        <w:rPr>
          <w:rFonts w:ascii="Times New Roman" w:cs="Times New Roman" w:eastAsia="Times New Roman" w:hAnsi="Times New Roman"/>
          <w:sz w:val="18"/>
          <w:szCs w:val="18"/>
          <w:color w:val="auto"/>
        </w:rPr>
        <w:t>features. The Company accounted for the acquisition under the acquisition method of accounting for business combinations.</w:t>
      </w:r>
    </w:p>
    <w:p>
      <w:pPr>
        <w:spacing w:after="0" w:line="162" w:lineRule="exact"/>
        <w:rPr>
          <w:sz w:val="20"/>
          <w:szCs w:val="20"/>
          <w:color w:val="auto"/>
        </w:rPr>
      </w:pPr>
    </w:p>
    <w:p>
      <w:pPr>
        <w:ind w:left="40" w:right="4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final allocation of the purchase price over the estimated fair value of the assets and liabilities assumed in the acquisition of Tomahawk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Unbilled receivable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Operating lease assets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Customer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Trademarks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Goodwill</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Wages and related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Customer advances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Equity consideration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consideration,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Holdback</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September 15,</w:t>
      </w:r>
    </w:p>
    <w:p>
      <w:pPr>
        <w:spacing w:after="0" w:line="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10" w:lineRule="exact"/>
        <w:rPr>
          <w:sz w:val="20"/>
          <w:szCs w:val="20"/>
          <w:color w:val="auto"/>
        </w:rPr>
      </w:pPr>
    </w:p>
    <w:p>
      <w:pPr>
        <w:ind w:left="580" w:hanging="572"/>
        <w:spacing w:after="0"/>
        <w:tabs>
          <w:tab w:leader="none" w:pos="5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2,314</w:t>
      </w:r>
    </w:p>
    <w:p>
      <w:pPr>
        <w:spacing w:after="0" w:line="38"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993</w:t>
      </w:r>
    </w:p>
    <w:p>
      <w:pPr>
        <w:spacing w:after="0" w:line="21"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2,882</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148</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1,789</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1,337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71</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39,000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4,800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1,600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2,865</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95,414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wp:posOffset>
            </wp:positionV>
            <wp:extent cx="6515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400" w:hanging="392"/>
        <w:spacing w:after="0"/>
        <w:tabs>
          <w:tab w:leader="none" w:pos="400" w:val="left"/>
        </w:tabs>
        <w:numPr>
          <w:ilvl w:val="0"/>
          <w:numId w:val="5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153,213</w:t>
      </w:r>
    </w:p>
    <w:p>
      <w:pPr>
        <w:spacing w:after="0" w:line="200" w:lineRule="exact"/>
        <w:rPr>
          <w:sz w:val="20"/>
          <w:szCs w:val="20"/>
          <w:color w:val="auto"/>
        </w:rPr>
      </w:pPr>
    </w:p>
    <w:p>
      <w:pPr>
        <w:spacing w:after="0" w:line="288"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3,788</w:t>
      </w:r>
    </w:p>
    <w:p>
      <w:pPr>
        <w:spacing w:after="0" w:line="2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620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1,648</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482</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411</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855</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11,035</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18,846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6515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3" w:lineRule="exact"/>
        <w:rPr>
          <w:sz w:val="20"/>
          <w:szCs w:val="20"/>
          <w:color w:val="auto"/>
        </w:rPr>
      </w:pPr>
    </w:p>
    <w:p>
      <w:pPr>
        <w:ind w:left="400" w:hanging="392"/>
        <w:spacing w:after="0"/>
        <w:tabs>
          <w:tab w:leader="none" w:pos="400" w:val="left"/>
        </w:tabs>
        <w:numPr>
          <w:ilvl w:val="0"/>
          <w:numId w:val="6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134,367</w:t>
      </w:r>
    </w:p>
    <w:p>
      <w:pPr>
        <w:spacing w:after="0" w:line="200" w:lineRule="exact"/>
        <w:rPr>
          <w:sz w:val="20"/>
          <w:szCs w:val="20"/>
          <w:color w:val="auto"/>
        </w:rPr>
      </w:pPr>
    </w:p>
    <w:p>
      <w:pPr>
        <w:spacing w:after="0" w:line="288" w:lineRule="exact"/>
        <w:rPr>
          <w:sz w:val="20"/>
          <w:szCs w:val="20"/>
          <w:color w:val="auto"/>
        </w:rPr>
      </w:pPr>
    </w:p>
    <w:p>
      <w:pPr>
        <w:ind w:left="400" w:hanging="392"/>
        <w:spacing w:after="0"/>
        <w:tabs>
          <w:tab w:leader="none" w:pos="4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109,820</w:t>
      </w:r>
    </w:p>
    <w:p>
      <w:pPr>
        <w:spacing w:after="0" w:line="38" w:lineRule="exact"/>
        <w:rPr>
          <w:rFonts w:ascii="Times New Roman" w:cs="Times New Roman" w:eastAsia="Times New Roman" w:hAnsi="Times New Roman"/>
          <w:sz w:val="17"/>
          <w:szCs w:val="17"/>
          <w:color w:val="auto"/>
        </w:rPr>
      </w:pPr>
    </w:p>
    <w:p>
      <w:pPr>
        <w:ind w:left="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24,157</w:t>
      </w:r>
    </w:p>
    <w:p>
      <w:pPr>
        <w:spacing w:after="0" w:line="9"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wp:posOffset>
            </wp:positionV>
            <wp:extent cx="6515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 w:lineRule="exact"/>
        <w:rPr>
          <w:sz w:val="20"/>
          <w:szCs w:val="20"/>
          <w:color w:val="auto"/>
        </w:rPr>
      </w:pPr>
    </w:p>
    <w:p>
      <w:pPr>
        <w:ind w:left="400" w:hanging="392"/>
        <w:spacing w:after="0"/>
        <w:tabs>
          <w:tab w:leader="none" w:pos="400" w:val="left"/>
        </w:tabs>
        <w:numPr>
          <w:ilvl w:val="0"/>
          <w:numId w:val="6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134,367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515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7200" w:space="720"/>
            <w:col w:w="1099"/>
          </w:cols>
          <w:pgMar w:left="1440" w:top="513" w:right="1440" w:bottom="1440" w:gutter="0" w:footer="0" w:header="0"/>
          <w:type w:val="continuous"/>
        </w:sectPr>
      </w:pPr>
    </w:p>
    <w:p>
      <w:pPr>
        <w:spacing w:after="0" w:line="52"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7" w:lineRule="exact"/>
        <w:rPr>
          <w:sz w:val="20"/>
          <w:szCs w:val="20"/>
          <w:color w:val="auto"/>
        </w:rPr>
      </w:pPr>
    </w:p>
    <w:p>
      <w:pPr>
        <w:ind w:left="40" w:right="259" w:firstLine="648"/>
        <w:spacing w:after="0" w:line="261"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Tomahawk and expected future customers in the UxS market. For income tax purposes the acquisition is treated as a stock acquisition, as such the goodwill associated with this purchase is not deductible.</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Tomahawk Supplemental Pro Forma Information (unaudited)</w:t>
      </w:r>
    </w:p>
    <w:p>
      <w:pPr>
        <w:spacing w:after="0" w:line="22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Tomahawk revenue since acquisition on September 15, 2023 was $15,883,000 as of April 30, 2024. Other than the aforementioned revenue and intangible asset amortization expense of $5,730,000 for the year ended April 30, 2024 since the acquisition on September 15, 2023, the Tomahawk financial results were not significant. The following unaudited pro forma summary presents condensed consolidated information of the Company as if the business acquisition had occurred on May 1, 2022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27"/>
        </w:trPr>
        <w:tc>
          <w:tcPr>
            <w:tcW w:w="28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7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284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7"/>
                <w:szCs w:val="17"/>
                <w:color w:val="auto"/>
              </w:rPr>
            </w:pPr>
          </w:p>
        </w:tc>
      </w:tr>
      <w:tr>
        <w:trPr>
          <w:trHeight w:val="20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727,241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551,845</w:t>
            </w:r>
          </w:p>
        </w:tc>
        <w:tc>
          <w:tcPr>
            <w:tcW w:w="240" w:type="dxa"/>
            <w:vAlign w:val="bottom"/>
            <w:shd w:val="clear" w:color="auto" w:fill="CCEEFF"/>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(190,658)</w:t>
            </w:r>
          </w:p>
        </w:tc>
        <w:tc>
          <w:tcPr>
            <w:tcW w:w="240" w:type="dxa"/>
            <w:vAlign w:val="bottom"/>
          </w:tcPr>
          <w:p>
            <w:pPr>
              <w:spacing w:after="0"/>
              <w:rPr>
                <w:sz w:val="20"/>
                <w:szCs w:val="20"/>
                <w:color w:val="auto"/>
              </w:rPr>
            </w:pPr>
          </w:p>
        </w:tc>
      </w:tr>
    </w:tbl>
    <w:p>
      <w:pPr>
        <w:spacing w:after="0" w:line="17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acquisition included in the reported pro forma revenue and earnings.</w:t>
      </w:r>
    </w:p>
    <w:p>
      <w:pPr>
        <w:spacing w:after="0" w:line="162"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30, 2022, reflecting the additional amortization that would have been charged and including the results of Tomahawk prior to acquisition.</w:t>
      </w:r>
    </w:p>
    <w:p>
      <w:pPr>
        <w:spacing w:after="0" w:line="176"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$1,873,000 of acquisition-related expenses for the fiscal year ended April 30, 2024. These expenses are included in selling, general and administrative on the Company’s consolidated statements of income (loss).</w:t>
      </w:r>
    </w:p>
    <w:p>
      <w:pPr>
        <w:spacing w:after="0" w:line="176"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2022, nor are they indicative of results of operations that may occur in the future.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Planck Acquisition</w:t>
      </w:r>
    </w:p>
    <w:p>
      <w:pPr>
        <w:spacing w:after="0" w:line="22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On August 17, 2022, the Company closed its acquisition of Planck, a leading provider of advanced uncrewed aircraft navigation solutions based in San Diego, California. Pursuant to the purchase agreement, the Company paid a total purchase price of $5,105,000 from cash-on-hand plus a $500,000 holdback for certain assets of Planck, which was paid during the three months ended October 28, 2023. Planck is a small technology company incorporated into AeroVironment’s UxS segment for the MUAS product line to focus on integrating its flight autonomy solutions, such as ACE™, or Autonomous Control Engine, into the Company’s offerings to enable safe, autonomous takeoff and landing from moving platforms on land or at sea in GPS-denied environments. Other solutions include AVEM™, a fully integrated mobile tethered sensor platform designed for persistent autonomous operation from moving vehicles and vessels in any environment, and a suite of machine-learning object detection and tracking systems that are customized for specific end-user needs. The Company accounted for the acquisition under the acquisition method of accounting for business combinations.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5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final allocation of the purchase price over the estimated fair value of the assets and liabilities assumed in the acquisition of Planck. During the three months ended July 29, 2023, the Company finalized its determination of the fair value of the assets and liabilities assumed in the acquisition of Planck and no significant changes were recorded from the original estimation (in thousands):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August 17,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Fair value of assets acquired: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Backlog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4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advances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Holdback</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7"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Planck and expected future customers in the MUAS market. For tax purposes the acquisition was treated as an asset acquisition and the goodwill is deductible.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Planck Supplemental Pro Forma Information (unaudited)</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Planck revenue since acquisition on August 17, 2022 through April 30, 2023 was $368,000. Other than the aforementioned revenue and intangible asset amortization expense of $542,000 for the year ended April 30, 2023 since the acquisition on August 17, 2022, the Planck financial results were not significant. The following unaudited pro forma summary presents consolidated information of the Company as if the business acquisition had occurred on May 1, 2021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16"/>
        </w:trPr>
        <w:tc>
          <w:tcPr>
            <w:tcW w:w="36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3620" w:type="dxa"/>
            <w:vAlign w:val="bottom"/>
            <w:tcBorders>
              <w:bottom w:val="single" w:sz="8" w:color="CCEEFF"/>
            </w:tcBorders>
          </w:tcPr>
          <w:p>
            <w:pPr>
              <w:spacing w:after="0"/>
              <w:rPr>
                <w:sz w:val="17"/>
                <w:szCs w:val="17"/>
                <w:color w:val="auto"/>
              </w:rPr>
            </w:pPr>
          </w:p>
        </w:tc>
        <w:tc>
          <w:tcPr>
            <w:tcW w:w="3000" w:type="dxa"/>
            <w:vAlign w:val="bottom"/>
            <w:tcBorders>
              <w:bottom w:val="single" w:sz="8" w:color="CCEEFF"/>
            </w:tcBorders>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544,961</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(173,277)</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acquisition included in the reported pro forma revenue and earnings.</w:t>
      </w:r>
    </w:p>
    <w:p>
      <w:pPr>
        <w:spacing w:after="0" w:line="162"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31, 2021, reflecting the additional amortization that would have been charged and including the results of Planck prior to acquisition.</w:t>
      </w:r>
    </w:p>
    <w:p>
      <w:pPr>
        <w:spacing w:after="0" w:line="176"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$1,009,000 of acquisition-related expenses for the fiscal year ended April 30, 2023. These expenses are included in selling, general and administrative on the Company’s consolidated statements of income (loss).</w:t>
      </w:r>
    </w:p>
    <w:p>
      <w:pPr>
        <w:spacing w:after="0" w:line="176"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2021, nor are they indicative of results of operations that may occur in the future.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Telerob Acquisition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Pursuant to the Telerob Purchase Agreement, the Telerob Sellers were eligible to receive up to a maximum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€6,000,000 (approximately $6,418,000) in additional cash consideration if specific revenue and contract award targets for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Telerob were achieved during the 36 month period after closing on May 3, 2021. The contingent consideration was valued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using a Black-Scholes option-pricing model. The analysis considered, among other items, contractual terms of the Telerob</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Purchase Agreement, the Company’s discount rate, the timing of expected future cash flows and the probability that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revenue and contract award targets required for payment of the contingent consideration will be achieved. The first year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earnout of €2,000,000 (approximately $2,139,000) was not achieved. During the fiscal year ended April 30, 2023,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second year earnout of €2,000,000 (approximately $2,132,000) was achieved and was paid in November 2023. The third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earnout of €2,000,000 (approximately $2,139,000) was not achieved.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22. Pension</w:t>
      </w:r>
    </w:p>
    <w:p>
      <w:pPr>
        <w:spacing w:after="0" w:line="22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As part of the Telerob acquisition, the Company acquired a small foreign-based defined benefit pension plan. The Rheinmetall-Zusatzversorgung (“RZV”) service plan covers three former employees based on individual contracts issued to the employees. No other employees are eligible to participate. The Company has reinsurance policies taken out for participating former employees, which were pledged to the employees. The measurement date for the Company’s pension plan was April 30, 2025.</w:t>
      </w:r>
    </w:p>
    <w:p>
      <w:pPr>
        <w:spacing w:after="0" w:line="183" w:lineRule="exact"/>
        <w:rPr>
          <w:sz w:val="20"/>
          <w:szCs w:val="20"/>
          <w:color w:val="auto"/>
        </w:rPr>
      </w:pPr>
    </w:p>
    <w:p>
      <w:pPr>
        <w:ind w:left="40" w:right="259" w:firstLine="648"/>
        <w:spacing w:after="0" w:line="282" w:lineRule="auto"/>
        <w:rPr>
          <w:sz w:val="20"/>
          <w:szCs w:val="20"/>
          <w:color w:val="auto"/>
        </w:rPr>
      </w:pPr>
      <w:r>
        <w:rPr>
          <w:rFonts w:ascii="Times New Roman" w:cs="Times New Roman" w:eastAsia="Times New Roman" w:hAnsi="Times New Roman"/>
          <w:sz w:val="18"/>
          <w:szCs w:val="18"/>
          <w:color w:val="auto"/>
        </w:rPr>
        <w:t>The table below includes the projected benefit obligation and fair value of plan assets. The net fair value of plan assets is recorded in other assets on the consolidated balance sheets.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99"/>
        </w:trPr>
        <w:tc>
          <w:tcPr>
            <w:tcW w:w="31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45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of the plan</w:t>
            </w:r>
          </w:p>
        </w:tc>
        <w:tc>
          <w:tcPr>
            <w:tcW w:w="4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340" w:type="dxa"/>
            <w:vAlign w:val="bottom"/>
            <w:vMerge w:val="restart"/>
          </w:tcPr>
          <w:p>
            <w:pPr>
              <w:jc w:val="right"/>
              <w:ind w:right="281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1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7" w:name="page118"/>
    <w:bookmarkEnd w:id="1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Change in projected benefit obligation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benefit obligation balance as of April 30, 2024 and 2023, respectively</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Pension benefit obligation balance as of April 30, 2025 and 2024, respectively</w:t>
            </w: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414"/>
        </w:trPr>
        <w:tc>
          <w:tcPr>
            <w:tcW w:w="6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plan assets (in thousands):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6"/>
        </w:trPr>
        <w:tc>
          <w:tcPr>
            <w:tcW w:w="63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as of April 30, 2024 and 2023, respectively</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9"/>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as of April 30, 2025 and 2024, respectively</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The accumulated benefit obligation is approximately equal to the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2026. The projected benefit obligation and projected fair value of plan assets include the assumptions in the table below.</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In-payment benefits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Expected benefits payments as of April 30, 2025 (in thousands):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2031-2035</w:t>
            </w:r>
          </w:p>
        </w:tc>
        <w:tc>
          <w:tcPr>
            <w:tcW w:w="10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expected benefit payments</w:t>
            </w:r>
          </w:p>
        </w:tc>
        <w:tc>
          <w:tcPr>
            <w:tcW w:w="10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periodic benefit cost is recorded in interest (expense) income, net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210"/>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8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r>
    </w:tbl>
    <w:p>
      <w:pPr>
        <w:spacing w:after="0" w:line="189" w:lineRule="exact"/>
        <w:rPr>
          <w:sz w:val="20"/>
          <w:szCs w:val="20"/>
          <w:color w:val="auto"/>
        </w:rPr>
      </w:pPr>
    </w:p>
    <w:p>
      <w:pPr>
        <w:ind w:left="720" w:hanging="676"/>
        <w:spacing w:after="0"/>
        <w:tabs>
          <w:tab w:leader="none" w:pos="7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225" w:lineRule="exact"/>
        <w:rPr>
          <w:sz w:val="20"/>
          <w:szCs w:val="20"/>
          <w:color w:val="auto"/>
        </w:rPr>
      </w:pPr>
    </w:p>
    <w:p>
      <w:pPr>
        <w:ind w:left="40" w:right="79" w:firstLine="648"/>
        <w:spacing w:after="0" w:line="270" w:lineRule="auto"/>
        <w:rPr>
          <w:sz w:val="20"/>
          <w:szCs w:val="20"/>
          <w:color w:val="auto"/>
        </w:rPr>
      </w:pPr>
      <w:r>
        <w:rPr>
          <w:rFonts w:ascii="Times New Roman" w:cs="Times New Roman" w:eastAsia="Times New Roman" w:hAnsi="Times New Roman"/>
          <w:sz w:val="17"/>
          <w:szCs w:val="17"/>
          <w:color w:val="auto"/>
        </w:rPr>
        <w:t>Uncrewed Systems (“UxS”)—The UxS segment focuses primarily on small UAS products designed to operate reliably at lower altitudes in a wide range of environmental conditions, providing a vantage point from which to collect and deliver valuable information as well as related support including training, spare and accessory parts, product repair, product replacement, maintenance and upgrades; medium UAS products designed to operate reliably at medium altitudes with longer range while carrying larger payloads including airborne platforms, payloads and payload integration, and ground support equipment and other items and services related generally to uncrewed aircraft systems including ISR services; UGV products designed to help responders remove, contain or neutralize these hazards in situations where improvised explosive devices, caustic chemicals, nuclear, radiological or biological hazards or violent individuals represent significant danger to humans; and AI-enabled common control and communication solutions that allow any uncrewed system to be controlled from a common user interface while aggregating data from multiple platforms to provide real time intelligence.</w:t>
      </w:r>
    </w:p>
    <w:p>
      <w:pPr>
        <w:spacing w:after="0" w:line="177" w:lineRule="exact"/>
        <w:rPr>
          <w:sz w:val="20"/>
          <w:szCs w:val="20"/>
          <w:color w:val="auto"/>
        </w:rPr>
      </w:pPr>
    </w:p>
    <w:p>
      <w:pPr>
        <w:ind w:left="40" w:right="519" w:firstLine="648"/>
        <w:spacing w:after="0" w:line="261" w:lineRule="auto"/>
        <w:rPr>
          <w:sz w:val="20"/>
          <w:szCs w:val="20"/>
          <w:color w:val="auto"/>
        </w:rPr>
      </w:pPr>
      <w:r>
        <w:rPr>
          <w:rFonts w:ascii="Times New Roman" w:cs="Times New Roman" w:eastAsia="Times New Roman" w:hAnsi="Times New Roman"/>
          <w:sz w:val="18"/>
          <w:szCs w:val="18"/>
          <w:color w:val="auto"/>
        </w:rPr>
        <w:t>Loitering Munitions Systems (“LMS”)—The LMS segment focuses primarily on tube-launched aircraft that deploy with the push of a button, fly at higher speeds than small UAS products, and perform either effects delivery or reconnaissance missions, and related support services including training, spare parts, product repair, and product replacement. The LMS segment also includes customer-funded research and development programs.</w:t>
      </w:r>
    </w:p>
    <w:p>
      <w:pPr>
        <w:spacing w:after="0" w:line="180"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MacCready Works (“MW”)— The MW segment focuses on customer-funded research and development in the areas of HAPS, robotics, sensors, software analytics, data intelligence and connectivity. This segment contains the Company’s center of excellence for the development of machine learning, object identification and autonomy solutions and also seeks to identify new products, services and businesses for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1–Organization and Significant Accounting Policies. The operating segments do not make sales to each other. The following table (in thousands) sets forth segment revenue and segment adjusted gross margin for the periods indicated. Segment adjusted gross margin is defined as gross margin before intangible amortization and amortization of other purchase accounting adjustments related to increasing the carrying value of certain assets to fair value. Segment adjusted gross margin is the measure of profitability used by the CODM for purposes of making decisions about allocating resources to the segments and assessing performance.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UxS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Year Ended April 30, 2025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LMS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44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352,932</w:t>
            </w:r>
          </w:p>
        </w:tc>
        <w:tc>
          <w:tcPr>
            <w:tcW w:w="4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333,506</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sales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Intangible amortization included in cost of</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40" w:type="dxa"/>
            <w:vAlign w:val="bottom"/>
          </w:tcPr>
          <w:p>
            <w:pPr>
              <w:spacing w:after="0"/>
              <w:rPr>
                <w:sz w:val="18"/>
                <w:szCs w:val="18"/>
                <w:color w:val="auto"/>
              </w:rPr>
            </w:pP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187,125</w:t>
            </w:r>
          </w:p>
        </w:tc>
        <w:tc>
          <w:tcPr>
            <w:tcW w:w="20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128,555</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22,361</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49,942</w:t>
            </w:r>
          </w:p>
        </w:tc>
        <w:tc>
          <w:tcPr>
            <w:tcW w:w="4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59,357</w:t>
            </w: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UxS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Year Ended April 30, 2024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LMS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44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415,074</w:t>
            </w:r>
          </w:p>
        </w:tc>
        <w:tc>
          <w:tcPr>
            <w:tcW w:w="4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168,863</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sales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Intangible amortization included in cost of</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14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210,523</w:t>
            </w:r>
          </w:p>
        </w:tc>
        <w:tc>
          <w:tcPr>
            <w:tcW w:w="20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68,224</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18,732</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27,595</w:t>
            </w:r>
          </w:p>
        </w:tc>
        <w:tc>
          <w:tcPr>
            <w:tcW w:w="4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UxS</w:t>
            </w:r>
          </w:p>
        </w:tc>
        <w:tc>
          <w:tcPr>
            <w:tcW w:w="200" w:type="dxa"/>
            <w:vAlign w:val="bottom"/>
          </w:tcPr>
          <w:p>
            <w:pPr>
              <w:spacing w:after="0"/>
              <w:rPr>
                <w:sz w:val="13"/>
                <w:szCs w:val="13"/>
                <w:color w:val="auto"/>
              </w:rPr>
            </w:pPr>
          </w:p>
        </w:tc>
        <w:tc>
          <w:tcPr>
            <w:tcW w:w="23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Year Ended April 30, 2023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LMS</w:t>
            </w:r>
          </w:p>
        </w:tc>
        <w:tc>
          <w:tcPr>
            <w:tcW w:w="240" w:type="dxa"/>
            <w:vAlign w:val="bottom"/>
          </w:tcPr>
          <w:p>
            <w:pPr>
              <w:spacing w:after="0"/>
              <w:rPr>
                <w:sz w:val="15"/>
                <w:szCs w:val="15"/>
                <w:color w:val="auto"/>
              </w:rPr>
            </w:pPr>
          </w:p>
        </w:tc>
        <w:tc>
          <w:tcPr>
            <w:tcW w:w="8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268,021</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84,686</w:t>
            </w:r>
          </w:p>
        </w:tc>
        <w:tc>
          <w:tcPr>
            <w:tcW w:w="2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353,062</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75,889</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35,938</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187,474</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540,536</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sales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367,022</w:t>
            </w: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Intangible amortization included in cost of</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124,681</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42,736</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20,103</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187,520</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249,925</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0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256,016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(in thousands) provides a reconciliation from segment adjusted gross margin to income (loss)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before taxes: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27"/>
        </w:trPr>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13"/>
        </w:trPr>
        <w:tc>
          <w:tcPr>
            <w:tcW w:w="4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gross margin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187,520</w:t>
            </w:r>
          </w:p>
        </w:tc>
      </w:tr>
      <w:tr>
        <w:trPr>
          <w:trHeight w:val="23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r>
      <w:tr>
        <w:trPr>
          <w:trHeight w:val="23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131,905</w:t>
            </w:r>
          </w:p>
        </w:tc>
      </w:tr>
      <w:tr>
        <w:trPr>
          <w:trHeight w:val="23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64,255</w:t>
            </w:r>
          </w:p>
        </w:tc>
      </w:tr>
      <w:tr>
        <w:trPr>
          <w:trHeight w:val="229"/>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156,017</w:t>
            </w:r>
          </w:p>
        </w:tc>
      </w:tr>
      <w:tr>
        <w:trPr>
          <w:trHeight w:val="23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2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(188,377)</w:t>
            </w:r>
          </w:p>
        </w:tc>
      </w:tr>
    </w:tbl>
    <w:p>
      <w:pPr>
        <w:spacing w:after="0" w:line="17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Segment assets are summarized in the table below. Corporate assets primarily consist of cash and cash equivalents, prepaid expenses and other current assets, long-term investments, property and equipment, net, operating lease right-of-use assets, deferred income taxes and other assets managed centrally on behalf of the business segments.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4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UxS</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LMS</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MW</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April 30, 2025</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$ 1,120,567</w:t>
            </w: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As of April 30, 2024</w:t>
            </w:r>
          </w:p>
        </w:tc>
        <w:tc>
          <w:tcPr>
            <w:tcW w:w="11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590,619</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165,413</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209,061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$ 1,015,860</w:t>
            </w: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 expenditures are summarized in the table below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UxS</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LMS</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MW</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April 30, 2025</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22,816</w:t>
            </w: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Year Ended April 30, 2024</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22,983</w:t>
            </w:r>
          </w:p>
        </w:tc>
      </w:t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April 30, 2023</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r>
    </w:tbl>
    <w:p>
      <w:pPr>
        <w:spacing w:after="0" w:line="221" w:lineRule="exact"/>
        <w:rPr>
          <w:sz w:val="20"/>
          <w:szCs w:val="20"/>
          <w:color w:val="auto"/>
        </w:rPr>
      </w:pPr>
    </w:p>
    <w:p>
      <w:pPr>
        <w:ind w:left="720" w:hanging="676"/>
        <w:spacing w:after="0"/>
        <w:tabs>
          <w:tab w:leader="none" w:pos="7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Sales to non-U.S. customers, including U.S. government foreign military sales in which an end user is a foreign government, accounted for 52%, 62% and 53% of revenue for each of the fiscal years ended April 30, 2025, 2024 and 2023, respectively. For the fiscal year ended April 30, 2025, 2024 and 2023, Ukraine represented $149,600,000, or 18%, $274,136,000, or 38%, and $100,095,000, or 19%, respectively, of the Company’s consolidated revenues. The Company’s internationally deployed fixed assets for UGV was $5,033,000 and $2,912,000 as of April 30, 2025 and 2024, respectively. The Company’s internationally deployed in-service assets for MUAS was $1,486,000 and $0 as of April 30, 2025 and 2024,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6"/>
        <w:spacing w:after="0"/>
        <w:tabs>
          <w:tab w:leader="none" w:pos="7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On May 1, 2025, the Company closed its acquisition of BlueHalo, pursuant to the Agreement and Plan of Merger, dated as of November 18, 2024 (the “Merger Agreement”) by and among the Company, Merger Sub, BlueHalo, and BlueHalo Holdings Parent, LLC, a Delaware limited liability company and sole member of BlueHalo (“Seller”). Under the terms of the Merger Agreement, all of the equity interests of BlueHalo issued and outstanding immediately prior to the effective time of the acquisition were converted into the right to receive an aggregate of 17,425,849 shares of the Company’s common stock, fair value of $2,640,365,000.</w:t>
      </w:r>
    </w:p>
    <w:p>
      <w:pPr>
        <w:spacing w:after="0" w:line="187"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Due to the size, complexity and timing of the close of the acquisition, the purchase accounting for the business combination is incomplete at the time of this filing. As a result, the Company is unable to provide the amounts recognized as of the acquisition date for the major classes of assets acquired and liabilities assumed, pre-acquisition contingencies and goodwill. In addition, the Company is unable to provide pro forma revenues and earnings of the combined entity. All required disclosures will be included in the Company's Quarterly Report on Form 10-Q for the fiscal first quarter ending August 2, 2025.</w:t>
      </w:r>
    </w:p>
    <w:p>
      <w:pPr>
        <w:spacing w:after="0" w:line="187" w:lineRule="exact"/>
        <w:rPr>
          <w:sz w:val="20"/>
          <w:szCs w:val="20"/>
          <w:color w:val="auto"/>
        </w:rPr>
      </w:pPr>
    </w:p>
    <w:p>
      <w:pPr>
        <w:ind w:left="40" w:right="279" w:firstLine="648"/>
        <w:spacing w:after="0" w:line="282" w:lineRule="auto"/>
        <w:rPr>
          <w:sz w:val="20"/>
          <w:szCs w:val="20"/>
          <w:color w:val="auto"/>
        </w:rPr>
      </w:pPr>
      <w:r>
        <w:rPr>
          <w:rFonts w:ascii="Times New Roman" w:cs="Times New Roman" w:eastAsia="Times New Roman" w:hAnsi="Times New Roman"/>
          <w:sz w:val="18"/>
          <w:szCs w:val="18"/>
          <w:color w:val="auto"/>
        </w:rPr>
        <w:t>On June 2, 2025, the Company completed its purchase of a facility in Dayton, Ohio for $6,704,000. The facility will support the Cyber and Mission Systems business from the BlueHalo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Charged to</w:t>
            </w:r>
          </w:p>
        </w:tc>
        <w:tc>
          <w:tcPr>
            <w:tcW w:w="7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Charged to</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 w:type="dxa"/>
            <w:vAlign w:val="bottom"/>
          </w:tcPr>
          <w:p>
            <w:pPr>
              <w:spacing w:after="0"/>
              <w:rPr>
                <w:sz w:val="12"/>
                <w:szCs w:val="12"/>
                <w:color w:val="auto"/>
              </w:rPr>
            </w:pPr>
          </w:p>
        </w:tc>
        <w:tc>
          <w:tcPr>
            <w:tcW w:w="168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Acquired from Costs and</w:t>
            </w:r>
          </w:p>
        </w:tc>
        <w:tc>
          <w:tcPr>
            <w:tcW w:w="80" w:type="dxa"/>
            <w:vAlign w:val="bottom"/>
          </w:tcPr>
          <w:p>
            <w:pPr>
              <w:spacing w:after="0"/>
              <w:rPr>
                <w:sz w:val="12"/>
                <w:szCs w:val="12"/>
                <w:color w:val="auto"/>
              </w:rPr>
            </w:pPr>
          </w:p>
        </w:tc>
        <w:tc>
          <w:tcPr>
            <w:tcW w:w="7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Allowance for doubtful accounts for the year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ended April 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jc w:val="right"/>
              <w:ind w:right="299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 for the year ended April 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jc w:val="right"/>
              <w:ind w:right="299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Reserve for inventory excess and obsolescence for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year ended April 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jc w:val="right"/>
              <w:ind w:right="299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Reserve for self-insured medical claims for the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April 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13,863</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jc w:val="right"/>
              <w:ind w:right="299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20"/>
                <w:szCs w:val="20"/>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8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3" w:name="page124"/>
    <w:bookmarkEnd w:id="1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As required by Rules 13a-15(e) and 15d-15(e)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as of the end of the period covered by this report, our disclosure controls and procedures were effective and were operating at a reasonable level.</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7" w:lineRule="exact"/>
        <w:rPr>
          <w:sz w:val="20"/>
          <w:szCs w:val="20"/>
          <w:color w:val="auto"/>
        </w:rPr>
      </w:pPr>
    </w:p>
    <w:p>
      <w:pPr>
        <w:ind w:left="1040" w:right="339" w:hanging="321"/>
        <w:spacing w:after="0" w:line="282"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ind w:left="1040" w:right="99" w:hanging="321"/>
        <w:spacing w:after="0" w:line="261"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1040" w:right="359" w:hanging="321"/>
        <w:spacing w:after="0" w:line="282"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left="40" w:right="35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management, including our principal executive and financial officers, we have assessed our internal control over financial reporting as of April 30, 2025, based on criteria for effective internal control over financial reporting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issued by the Committee of Sponsoring Organizations of the Treadway Commission (2013 framework) (“COSO”). Based on this assessment, management concluded that the Company maintained effective internal control over financial reporting as of April 30, 2025 based on the specified criteria.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312"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April 30, 2025 has been audited by Deloitte &amp; Touche LLP, an independent registered public accounting firm, as stated in their report which is included herein.</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or in other factors identified in connection with the evaluation required by paragraph (d) of Exchange Act Rules 13a-15(f) or 15d-15(f) that occurred during the fiscal year ended April 30, 2025 that have materially affected, or are reasonably likely to materially affect, our internal control over financial reporting.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40" w:right="319" w:firstLine="648"/>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informed us of the adoption or termination of a “Rule 10b5-1 trading arrangement” or “non-Rule 10b5-1 trading arrangement,” as those terms are defined in Regulation S-K, Item 408 during the three-month period ended April 30, 2025.</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the stockholders and the Board of Directors of AeroVironment, Inc.</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AeroVironment, Inc. and subsidiaries (the “Company”) as of April 30,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April 30, 2025, based on criteria established in Internal Control — Integrated Framework (2013) issued by COSO.</w:t>
      </w:r>
    </w:p>
    <w:p>
      <w:pPr>
        <w:spacing w:after="0" w:line="183"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April 30, 2025, of the Company and our report dated June 24, 2025, expressed an unqualified opinion on those financial statements.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24,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Certain information required by Item 401, Item 405, Item 407(c)(3) and Items 407(d)(4) and (d)(5)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Regulation S-K will be included in the definitive proxy statement for our 2024 Annual Meeting of Stockholders, which will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 filed no later than 120 days after April 30, 2025, and that information is incorporated by reference herein.</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Codes of Ethics</w:t>
      </w:r>
    </w:p>
    <w:p>
      <w:pPr>
        <w:spacing w:after="0" w:line="229"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(“Code of Conduct”). The Code of Conduct is posted on our website, http://investor.avinc.com/corporate-governance.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(805) 520-8350 or by writing to us at AeroVironment, Inc., Attn: Secretary, 900 Innovators Way, Simi Valley, California 93065. The information contained on or connected to our website is not incorporated by reference into this Annual Report and should not be considered part of this or any reported filed with the SEC.</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family relationships exist among any of our executive officers or directors.</w:t>
      </w:r>
    </w:p>
    <w:p>
      <w:pPr>
        <w:spacing w:after="0" w:line="225"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our board of directors.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addressing our policies and procedures governing securities trading by our directors, officers, employees and certain other service providers, intended to promote compliance with insider trading laws, rules and regulations, including Nasdaq listing standards, applicable to the company and such personnel. A copy of the current Insider Trading Policy is filed with this Annual Report on Form 10-K as Exhibit 19.</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402 and Items 407(e)(4) and (5) of Regulation S-K will be included in the definitive proxy statement for our 2025 Annual Meeting of Stockholders, and that information is incorporated by reference herein.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201(d) and Item 403 of Regulation S-K will be included in the definitive proxy statement for our 2025 Annual Meeting of Stockholders, and that information is incorporated by reference herein.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404 and Item 407(a) of Regulation S-K will be included in the definitive proxy statement for our 2025 Annual Meeting of Stockholders, and that information is incorporated by reference herein.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independent public accounting firm is Deloitte &amp; Touche LLP, Los Angeles, California, PCAOB Auditor ID</w:t>
      </w:r>
    </w:p>
    <w:p>
      <w:pPr>
        <w:spacing w:after="0" w:line="27" w:lineRule="exact"/>
        <w:rPr>
          <w:sz w:val="20"/>
          <w:szCs w:val="20"/>
          <w:color w:val="auto"/>
        </w:rPr>
      </w:pPr>
    </w:p>
    <w:p>
      <w:pPr>
        <w:ind w:left="40" w:right="179" w:firstLine="4"/>
        <w:spacing w:after="0" w:line="260" w:lineRule="auto"/>
        <w:tabs>
          <w:tab w:leader="none" w:pos="3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14 of Form 10-K will be included in the definitive proxy statement for our 2025 Annual Meeting of Stockholders, and that information is incorporated by reference herein.</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02" w:lineRule="exact"/>
        <w:rPr>
          <w:sz w:val="20"/>
          <w:szCs w:val="20"/>
          <w:color w:val="auto"/>
        </w:rPr>
      </w:pPr>
    </w:p>
    <w:p>
      <w:pPr>
        <w:ind w:left="700" w:hanging="656"/>
        <w:spacing w:after="0"/>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filed as part of this Annual Report:</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 in Item 8:</w:t>
      </w:r>
    </w:p>
    <w:p>
      <w:pPr>
        <w:spacing w:after="0" w:line="198" w:lineRule="exact"/>
        <w:rPr>
          <w:sz w:val="20"/>
          <w:szCs w:val="20"/>
          <w:color w:val="auto"/>
        </w:rPr>
      </w:pPr>
    </w:p>
    <w:p>
      <w:pPr>
        <w:ind w:left="1040" w:hanging="321"/>
        <w:spacing w:after="0"/>
        <w:tabs>
          <w:tab w:leader="none" w:pos="10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at April 30, 2025 and 2024</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(Loss) for the Years Ended April 30, 2025, 2024 and 2023</w:t>
      </w:r>
    </w:p>
    <w:p>
      <w:pPr>
        <w:spacing w:after="0" w:line="198" w:lineRule="exact"/>
        <w:rPr>
          <w:rFonts w:ascii="Times New Roman" w:cs="Times New Roman" w:eastAsia="Times New Roman" w:hAnsi="Times New Roman"/>
          <w:sz w:val="18"/>
          <w:szCs w:val="18"/>
          <w:color w:val="auto"/>
        </w:rPr>
      </w:pPr>
    </w:p>
    <w:p>
      <w:pPr>
        <w:ind w:left="1040" w:right="399" w:hanging="321"/>
        <w:spacing w:after="0" w:line="282" w:lineRule="auto"/>
        <w:tabs>
          <w:tab w:leader="none" w:pos="10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for the Years Ended April 30, 2025, 2024 and 2023</w:t>
      </w:r>
    </w:p>
    <w:p>
      <w:pPr>
        <w:spacing w:after="0" w:line="12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April 30, 2025, 2024 and 2023</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April 30, 2025, 2024 and 2023</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80" w:lineRule="exact"/>
        <w:rPr>
          <w:rFonts w:ascii="Times New Roman" w:cs="Times New Roman" w:eastAsia="Times New Roman" w:hAnsi="Times New Roman"/>
          <w:sz w:val="18"/>
          <w:szCs w:val="18"/>
          <w:color w:val="auto"/>
        </w:rPr>
      </w:pPr>
    </w:p>
    <w:p>
      <w:pPr>
        <w:ind w:left="920" w:hanging="228"/>
        <w:spacing w:after="0"/>
        <w:tabs>
          <w:tab w:leader="none" w:pos="9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Schedule is included in Item 8:</w:t>
      </w:r>
    </w:p>
    <w:p>
      <w:pPr>
        <w:spacing w:after="0" w:line="198" w:lineRule="exact"/>
        <w:rPr>
          <w:sz w:val="20"/>
          <w:szCs w:val="20"/>
          <w:color w:val="auto"/>
        </w:rPr>
      </w:pPr>
    </w:p>
    <w:p>
      <w:pPr>
        <w:ind w:left="1040" w:hanging="321"/>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II—Valuation and Qualifying Accounts</w:t>
      </w:r>
    </w:p>
    <w:p>
      <w:pPr>
        <w:spacing w:after="0" w:line="225" w:lineRule="exact"/>
        <w:rPr>
          <w:sz w:val="20"/>
          <w:szCs w:val="20"/>
          <w:color w:val="auto"/>
        </w:rPr>
      </w:pPr>
    </w:p>
    <w:p>
      <w:pPr>
        <w:ind w:left="40" w:right="439" w:firstLine="648"/>
        <w:spacing w:after="0" w:line="266"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15(b) of this report below.</w:t>
      </w:r>
    </w:p>
    <w:p>
      <w:pPr>
        <w:spacing w:after="0" w:line="225" w:lineRule="exact"/>
        <w:rPr>
          <w:sz w:val="20"/>
          <w:szCs w:val="20"/>
          <w:color w:val="auto"/>
        </w:rPr>
      </w:pPr>
    </w:p>
    <w:p>
      <w:pPr>
        <w:ind w:left="700" w:hanging="656"/>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40" w:type="dxa"/>
            <w:vAlign w:val="bottom"/>
            <w:gridSpan w:val="9"/>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2.1*(22)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20" w:type="dxa"/>
            <w:vAlign w:val="bottom"/>
            <w:gridSpan w:val="13"/>
          </w:tcPr>
          <w:p>
            <w:pPr>
              <w:spacing w:after="0" w:line="169"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Agreement and Plan of Merger, dated as of August 18, 2023, by and among AeroVironment, Inc., Tropic</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Merger Sub, Inc., Tomahawk Robotics, Inc., and Shareholder Representative Services LLC, solely in its</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capacity as the Stockholder Representative.</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2.2*(26)</w:t>
            </w:r>
          </w:p>
        </w:tc>
        <w:tc>
          <w:tcPr>
            <w:tcW w:w="160" w:type="dxa"/>
            <w:vAlign w:val="bottom"/>
          </w:tcPr>
          <w:p>
            <w:pPr>
              <w:spacing w:after="0"/>
              <w:rPr>
                <w:sz w:val="17"/>
                <w:szCs w:val="17"/>
                <w:color w:val="auto"/>
              </w:rPr>
            </w:pPr>
          </w:p>
        </w:tc>
        <w:tc>
          <w:tcPr>
            <w:tcW w:w="7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Agreement and Plan of Merger, dated November 18, 2024, by and among the Company, Merger Sub,</w:t>
              </w:r>
            </w:hyperlink>
          </w:p>
        </w:tc>
        <w:tc>
          <w:tcPr>
            <w:tcW w:w="5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BlueHalo and Seller</w:t>
              </w:r>
            </w:hyperlink>
          </w:p>
        </w:tc>
        <w:tc>
          <w:tcPr>
            <w:tcW w:w="6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3.1(26)</w:t>
            </w:r>
          </w:p>
        </w:tc>
        <w:tc>
          <w:tcPr>
            <w:tcW w:w="160" w:type="dxa"/>
            <w:vAlign w:val="bottom"/>
          </w:tcPr>
          <w:p>
            <w:pPr>
              <w:spacing w:after="0"/>
              <w:rPr>
                <w:sz w:val="17"/>
                <w:szCs w:val="17"/>
                <w:color w:val="auto"/>
              </w:rPr>
            </w:pPr>
          </w:p>
        </w:tc>
        <w:tc>
          <w:tcPr>
            <w:tcW w:w="7840" w:type="dxa"/>
            <w:vAlign w:val="bottom"/>
            <w:gridSpan w:val="1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Amended and Restated Certificate of Incorporation of AeroVironment, Inc. dated October 1, 2024</w:t>
              </w:r>
            </w:hyperlink>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 (26)</w:t>
            </w:r>
          </w:p>
        </w:tc>
        <w:tc>
          <w:tcPr>
            <w:tcW w:w="16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Fifth Amended and Restated Bylaws of AeroVironment, Inc., amended as of October 1, 2024</w:t>
              </w:r>
            </w:hyperlink>
          </w:p>
        </w:tc>
        <w:tc>
          <w:tcPr>
            <w:tcW w:w="340" w:type="dxa"/>
            <w:vAlign w:val="bottom"/>
            <w:tcBorders>
              <w:top w:val="single" w:sz="8" w:color="0000EE"/>
            </w:tcBorders>
          </w:tcPr>
          <w:p>
            <w:pPr>
              <w:spacing w:after="0"/>
              <w:rPr>
                <w:sz w:val="17"/>
                <w:szCs w:val="17"/>
                <w:color w:val="auto"/>
              </w:rPr>
            </w:pPr>
          </w:p>
        </w:tc>
        <w:tc>
          <w:tcPr>
            <w:tcW w:w="7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17"/>
                <w:szCs w:val="17"/>
                <w:color w:val="auto"/>
              </w:rPr>
            </w:pPr>
          </w:p>
        </w:tc>
        <w:tc>
          <w:tcPr>
            <w:tcW w:w="42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Form of AeroVironment, Inc.’s Common Stock Certificate</w:t>
              </w:r>
            </w:hyperlink>
          </w:p>
        </w:tc>
        <w:tc>
          <w:tcPr>
            <w:tcW w:w="36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7"/>
                <w:szCs w:val="17"/>
                <w:color w:val="auto"/>
              </w:rPr>
            </w:pPr>
          </w:p>
        </w:tc>
        <w:tc>
          <w:tcPr>
            <w:tcW w:w="78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Registrant’s Securities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10.1#(3)</w:t>
            </w:r>
          </w:p>
        </w:tc>
        <w:tc>
          <w:tcPr>
            <w:tcW w:w="160" w:type="dxa"/>
            <w:vAlign w:val="bottom"/>
          </w:tcPr>
          <w:p>
            <w:pPr>
              <w:spacing w:after="0"/>
              <w:rPr>
                <w:sz w:val="17"/>
                <w:szCs w:val="17"/>
                <w:color w:val="auto"/>
              </w:rPr>
            </w:pPr>
          </w:p>
        </w:tc>
        <w:tc>
          <w:tcPr>
            <w:tcW w:w="4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Form of Director and Executive Officer Indemnification Agreement</w:t>
              </w:r>
            </w:hyperlink>
          </w:p>
        </w:tc>
        <w:tc>
          <w:tcPr>
            <w:tcW w:w="29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10.2#(1)</w:t>
            </w:r>
          </w:p>
        </w:tc>
        <w:tc>
          <w:tcPr>
            <w:tcW w:w="160" w:type="dxa"/>
            <w:vAlign w:val="bottom"/>
          </w:tcPr>
          <w:p>
            <w:pPr>
              <w:spacing w:after="0"/>
              <w:rPr>
                <w:sz w:val="17"/>
                <w:szCs w:val="17"/>
                <w:color w:val="auto"/>
              </w:rPr>
            </w:pPr>
          </w:p>
        </w:tc>
        <w:tc>
          <w:tcPr>
            <w:tcW w:w="7840" w:type="dxa"/>
            <w:vAlign w:val="bottom"/>
            <w:gridSpan w:val="1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AeroVironment, Inc. 2006 Equity Incentive Plan</w:t>
              </w:r>
            </w:hyperlink>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10.3#(4)</w:t>
            </w:r>
          </w:p>
        </w:tc>
        <w:tc>
          <w:tcPr>
            <w:tcW w:w="160" w:type="dxa"/>
            <w:vAlign w:val="bottom"/>
          </w:tcPr>
          <w:p>
            <w:pPr>
              <w:spacing w:after="0"/>
              <w:rPr>
                <w:sz w:val="15"/>
                <w:szCs w:val="15"/>
                <w:color w:val="auto"/>
              </w:rPr>
            </w:pPr>
          </w:p>
        </w:tc>
        <w:tc>
          <w:tcPr>
            <w:tcW w:w="350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7"/>
              </w:rPr>
            </w:pPr>
            <w:hyperlink r:id="rId160">
              <w:r>
                <w:rPr>
                  <w:rFonts w:ascii="Times New Roman" w:cs="Times New Roman" w:eastAsia="Times New Roman" w:hAnsi="Times New Roman"/>
                  <w:sz w:val="18"/>
                  <w:szCs w:val="18"/>
                  <w:color w:val="0000EE"/>
                  <w:w w:val="97"/>
                </w:rPr>
                <w:t>AeroVironment, Inc. 2006 Equity Incentive Plan,</w:t>
              </w:r>
            </w:hyperlink>
          </w:p>
        </w:tc>
        <w:tc>
          <w:tcPr>
            <w:tcW w:w="4000" w:type="dxa"/>
            <w:vAlign w:val="bottom"/>
            <w:tcBorders>
              <w:bottom w:val="single" w:sz="8" w:color="0000EE"/>
            </w:tcBorders>
            <w:gridSpan w:val="7"/>
          </w:tcPr>
          <w:p>
            <w:pPr>
              <w:ind w:left="80"/>
              <w:spacing w:after="0" w:line="182"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as amended and restated effective September 29, 2011</w:t>
              </w:r>
            </w:hyperlink>
          </w:p>
        </w:tc>
        <w:tc>
          <w:tcPr>
            <w:tcW w:w="3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10.4#(5)</w:t>
      </w:r>
      <w:r>
        <w:rPr>
          <w:sz w:val="20"/>
          <w:szCs w:val="20"/>
          <w:color w:val="auto"/>
        </w:rPr>
        <w:tab/>
      </w:r>
      <w:hyperlink r:id="rId162">
        <w:r>
          <w:rPr>
            <w:rFonts w:ascii="Times New Roman" w:cs="Times New Roman" w:eastAsia="Times New Roman" w:hAnsi="Times New Roman"/>
            <w:sz w:val="17"/>
            <w:szCs w:val="17"/>
            <w:u w:val="single" w:color="auto"/>
            <w:color w:val="0000EE"/>
          </w:rPr>
          <w:t>AeroVironment, Inc. 2006 Equity Incentive Plan, as amended and restated effective September 30, 2016</w:t>
        </w:r>
      </w:hyperlink>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8" w:lineRule="exact"/>
        <w:rPr>
          <w:sz w:val="20"/>
          <w:szCs w:val="20"/>
          <w:color w:val="auto"/>
        </w:rPr>
      </w:pPr>
    </w:p>
    <w:p>
      <w:pPr>
        <w:ind w:left="24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42" w:lineRule="exact"/>
        <w:rPr>
          <w:sz w:val="20"/>
          <w:szCs w:val="20"/>
          <w:color w:val="auto"/>
        </w:rPr>
      </w:pPr>
    </w:p>
    <w:p>
      <w:pPr>
        <w:ind w:left="20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10.5#(1)</w:t>
      </w:r>
      <w:r>
        <w:rPr>
          <w:sz w:val="20"/>
          <w:szCs w:val="20"/>
          <w:color w:val="auto"/>
        </w:rPr>
        <w:tab/>
      </w:r>
      <w:hyperlink r:id="rId163">
        <w:r>
          <w:rPr>
            <w:rFonts w:ascii="Times New Roman" w:cs="Times New Roman" w:eastAsia="Times New Roman" w:hAnsi="Times New Roman"/>
            <w:sz w:val="17"/>
            <w:szCs w:val="17"/>
            <w:u w:val="single" w:color="auto"/>
            <w:color w:val="0000EE"/>
          </w:rPr>
          <w:t>Form of Stock Option Agreement pursuant to the AeroVironment, Inc. 2006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-124460</wp:posOffset>
            </wp:positionV>
            <wp:extent cx="56578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ind w:left="20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10.6#(1)</w:t>
      </w:r>
      <w:r>
        <w:rPr>
          <w:sz w:val="20"/>
          <w:szCs w:val="20"/>
          <w:color w:val="auto"/>
        </w:rPr>
        <w:tab/>
      </w:r>
      <w:hyperlink r:id="rId165">
        <w:r>
          <w:rPr>
            <w:rFonts w:ascii="Times New Roman" w:cs="Times New Roman" w:eastAsia="Times New Roman" w:hAnsi="Times New Roman"/>
            <w:sz w:val="17"/>
            <w:szCs w:val="17"/>
            <w:u w:val="single" w:color="auto"/>
            <w:color w:val="0000EE"/>
          </w:rPr>
          <w:t>Form of Performance Based Bonus Award pursuant to the AeroVironment, Inc. 2006 Equity Incentive Plan</w:t>
        </w:r>
      </w:hyperlink>
    </w:p>
    <w:p>
      <w:pPr>
        <w:ind w:left="1120" w:right="259" w:hanging="920"/>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10.7#(6)</w:t>
      </w:r>
      <w:r>
        <w:rPr>
          <w:sz w:val="20"/>
          <w:szCs w:val="20"/>
          <w:color w:val="auto"/>
        </w:rPr>
        <w:tab/>
      </w:r>
      <w:hyperlink r:id="rId166">
        <w:r>
          <w:rPr>
            <w:rFonts w:ascii="Times New Roman" w:cs="Times New Roman" w:eastAsia="Times New Roman" w:hAnsi="Times New Roman"/>
            <w:sz w:val="18"/>
            <w:szCs w:val="18"/>
            <w:u w:val="single" w:color="auto"/>
            <w:color w:val="0000EE"/>
          </w:rPr>
          <w:t>Form of Long-Term Compensation Award Grant Notice and Long-Term Compensation Award Agreement</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pursuant to the AeroVironment, Inc. 2006 Equity Incentive Plan</w:t>
        </w:r>
      </w:hyperlink>
    </w:p>
    <w:p>
      <w:pPr>
        <w:spacing w:after="0" w:line="2" w:lineRule="exact"/>
        <w:rPr>
          <w:sz w:val="20"/>
          <w:szCs w:val="20"/>
          <w:color w:val="auto"/>
        </w:rPr>
      </w:pPr>
    </w:p>
    <w:p>
      <w:pPr>
        <w:ind w:left="1120" w:right="479" w:hanging="920"/>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10.8#(7)</w:t>
      </w:r>
      <w:r>
        <w:rPr>
          <w:sz w:val="20"/>
          <w:szCs w:val="20"/>
          <w:color w:val="auto"/>
        </w:rPr>
        <w:tab/>
      </w:r>
      <w:hyperlink r:id="rId167">
        <w:r>
          <w:rPr>
            <w:rFonts w:ascii="Times New Roman" w:cs="Times New Roman" w:eastAsia="Times New Roman" w:hAnsi="Times New Roman"/>
            <w:sz w:val="18"/>
            <w:szCs w:val="18"/>
            <w:u w:val="single" w:color="auto"/>
            <w:color w:val="0000EE"/>
          </w:rPr>
          <w:t>Form of Restricted Stock Award Grant Notice and Restricted Stock Award Agreement (Severance Plan</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Participants) pursuant to the AeroVironment, Inc. 2006 Equity Incentive Plan</w:t>
        </w:r>
      </w:hyperlink>
    </w:p>
    <w:p>
      <w:pPr>
        <w:spacing w:after="0" w:line="2" w:lineRule="exact"/>
        <w:rPr>
          <w:sz w:val="20"/>
          <w:szCs w:val="20"/>
          <w:color w:val="auto"/>
        </w:rPr>
      </w:pPr>
    </w:p>
    <w:p>
      <w:pPr>
        <w:ind w:left="1120" w:right="119" w:hanging="920"/>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10.9#(7)</w:t>
      </w:r>
      <w:r>
        <w:rPr>
          <w:sz w:val="20"/>
          <w:szCs w:val="20"/>
          <w:color w:val="auto"/>
        </w:rPr>
        <w:tab/>
      </w:r>
      <w:hyperlink r:id="rId168">
        <w:r>
          <w:rPr>
            <w:rFonts w:ascii="Times New Roman" w:cs="Times New Roman" w:eastAsia="Times New Roman" w:hAnsi="Times New Roman"/>
            <w:sz w:val="18"/>
            <w:szCs w:val="18"/>
            <w:u w:val="single" w:color="auto"/>
            <w:color w:val="0000EE"/>
          </w:rPr>
          <w:t>Form of Restricted Stock Award Grant Notice and Restricted Stock Award Agreement (Non-Severance Plan</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Participants) pursuant to the AeroVironment, Inc. 2006 Equity Incentive Plan</w:t>
        </w:r>
      </w:hyperlink>
    </w:p>
    <w:p>
      <w:pPr>
        <w:spacing w:after="0" w:line="2" w:lineRule="exact"/>
        <w:rPr>
          <w:sz w:val="20"/>
          <w:szCs w:val="20"/>
          <w:color w:val="auto"/>
        </w:rPr>
      </w:pPr>
    </w:p>
    <w:p>
      <w:pPr>
        <w:ind w:left="1120" w:right="279" w:hanging="965"/>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10.10#(7)</w:t>
      </w:r>
      <w:r>
        <w:rPr>
          <w:sz w:val="20"/>
          <w:szCs w:val="20"/>
          <w:color w:val="auto"/>
        </w:rPr>
        <w:tab/>
      </w:r>
      <w:hyperlink r:id="rId169">
        <w:r>
          <w:rPr>
            <w:rFonts w:ascii="Times New Roman" w:cs="Times New Roman" w:eastAsia="Times New Roman" w:hAnsi="Times New Roman"/>
            <w:sz w:val="18"/>
            <w:szCs w:val="18"/>
            <w:u w:val="single" w:color="auto"/>
            <w:color w:val="0000EE"/>
          </w:rPr>
          <w:t>Form of Restricted Stock Award Grant Notice and Restricted Stock Award Agreement (Non-Management</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Directors) pursuant to the AeroVironment, Inc. 2006 Equity Incentive Plan</w:t>
        </w:r>
      </w:hyperlink>
    </w:p>
    <w:p>
      <w:pPr>
        <w:spacing w:after="0" w:line="2" w:lineRule="exact"/>
        <w:rPr>
          <w:sz w:val="20"/>
          <w:szCs w:val="20"/>
          <w:color w:val="auto"/>
        </w:rPr>
      </w:pPr>
    </w:p>
    <w:p>
      <w:pPr>
        <w:ind w:left="1120" w:right="399" w:hanging="96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10.11#(7)</w:t>
      </w:r>
      <w:r>
        <w:rPr>
          <w:sz w:val="20"/>
          <w:szCs w:val="20"/>
          <w:color w:val="auto"/>
        </w:rPr>
        <w:tab/>
      </w:r>
      <w:hyperlink r:id="rId170">
        <w:r>
          <w:rPr>
            <w:rFonts w:ascii="Times New Roman" w:cs="Times New Roman" w:eastAsia="Times New Roman" w:hAnsi="Times New Roman"/>
            <w:sz w:val="18"/>
            <w:szCs w:val="18"/>
            <w:u w:val="single" w:color="auto"/>
            <w:color w:val="0000EE"/>
          </w:rPr>
          <w:t>Form of Performance Restricted Stock Unit Award Grant Notice and Performance Restricted Stock Unit</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Award Agreement pursuant to the AeroVironment, Inc. 2006 Equity Incentive Plan</w:t>
        </w:r>
      </w:hyperlink>
    </w:p>
    <w:p>
      <w:pPr>
        <w:ind w:left="14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10.12#(8)</w:t>
      </w:r>
      <w:r>
        <w:rPr>
          <w:sz w:val="20"/>
          <w:szCs w:val="20"/>
          <w:color w:val="auto"/>
        </w:rPr>
        <w:tab/>
      </w:r>
      <w:hyperlink r:id="rId171">
        <w:r>
          <w:rPr>
            <w:rFonts w:ascii="Times New Roman" w:cs="Times New Roman" w:eastAsia="Times New Roman" w:hAnsi="Times New Roman"/>
            <w:sz w:val="17"/>
            <w:szCs w:val="17"/>
            <w:u w:val="single" w:color="auto"/>
            <w:color w:val="0000EE"/>
          </w:rPr>
          <w:t>AeroVironment, Inc. 2021 Equity Incentive Plan</w:t>
        </w:r>
      </w:hyperlink>
    </w:p>
    <w:p>
      <w:pPr>
        <w:spacing w:after="0" w:line="1" w:lineRule="exact"/>
        <w:rPr>
          <w:sz w:val="20"/>
          <w:szCs w:val="20"/>
          <w:color w:val="auto"/>
        </w:rPr>
      </w:pPr>
    </w:p>
    <w:p>
      <w:pPr>
        <w:ind w:left="1120" w:right="139" w:hanging="965"/>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10.13#(8)</w:t>
      </w:r>
      <w:r>
        <w:rPr>
          <w:sz w:val="20"/>
          <w:szCs w:val="20"/>
          <w:color w:val="auto"/>
        </w:rPr>
        <w:tab/>
      </w:r>
      <w:hyperlink r:id="rId172">
        <w:r>
          <w:rPr>
            <w:rFonts w:ascii="Times New Roman" w:cs="Times New Roman" w:eastAsia="Times New Roman" w:hAnsi="Times New Roman"/>
            <w:sz w:val="18"/>
            <w:szCs w:val="18"/>
            <w:u w:val="single" w:color="auto"/>
            <w:color w:val="0000EE"/>
          </w:rPr>
          <w:t>Form of Stock Option Grant Notice and Stock Option Agreement pursuant to the AeroVironment, Inc. 2021</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Equity Incentive Plan</w:t>
        </w:r>
      </w:hyperlink>
    </w:p>
    <w:p>
      <w:pPr>
        <w:spacing w:after="0" w:line="2" w:lineRule="exact"/>
        <w:rPr>
          <w:sz w:val="20"/>
          <w:szCs w:val="20"/>
          <w:color w:val="auto"/>
        </w:rPr>
      </w:pPr>
    </w:p>
    <w:p>
      <w:pPr>
        <w:ind w:left="1120" w:right="579" w:hanging="965"/>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10.14#(8)</w:t>
      </w:r>
      <w:r>
        <w:rPr>
          <w:sz w:val="20"/>
          <w:szCs w:val="20"/>
          <w:color w:val="auto"/>
        </w:rPr>
        <w:tab/>
      </w:r>
      <w:hyperlink r:id="rId173">
        <w:r>
          <w:rPr>
            <w:rFonts w:ascii="Times New Roman" w:cs="Times New Roman" w:eastAsia="Times New Roman" w:hAnsi="Times New Roman"/>
            <w:sz w:val="18"/>
            <w:szCs w:val="18"/>
            <w:u w:val="single" w:color="auto"/>
            <w:color w:val="0000EE"/>
          </w:rPr>
          <w:t>Form of Restricted Stock Award Grant Notice and Restricted Stock Award Agreement pursuant to the</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AeroVironment, Inc. 2021 Equity Incentive Plan (Severance Plan Participants)</w:t>
        </w:r>
      </w:hyperlink>
    </w:p>
    <w:p>
      <w:pPr>
        <w:spacing w:after="0" w:line="2" w:lineRule="exact"/>
        <w:rPr>
          <w:sz w:val="20"/>
          <w:szCs w:val="20"/>
          <w:color w:val="auto"/>
        </w:rPr>
      </w:pPr>
    </w:p>
    <w:p>
      <w:pPr>
        <w:jc w:val="center"/>
        <w:ind w:left="40" w:right="479"/>
        <w:spacing w:after="0" w:line="22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10.15#(8)   </w:t>
      </w:r>
      <w:hyperlink r:id="rId174">
        <w:r>
          <w:rPr>
            <w:rFonts w:ascii="Times New Roman" w:cs="Times New Roman" w:eastAsia="Times New Roman" w:hAnsi="Times New Roman"/>
            <w:sz w:val="18"/>
            <w:szCs w:val="18"/>
            <w:u w:val="single" w:color="auto"/>
            <w:color w:val="0000EE"/>
          </w:rPr>
          <w:t>Form of Restricted Stock Award Grant Notice and Restricted Stock Award Agreement pursuant to the</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EE"/>
          </w:rPr>
          <w:t>AeroVironment, Inc. 2021 Equity Incentive Plan (Non-Severance Plan Participants)</w:t>
        </w:r>
      </w:hyperlink>
    </w:p>
    <w:p>
      <w:pPr>
        <w:spacing w:after="0" w:line="2" w:lineRule="exact"/>
        <w:rPr>
          <w:sz w:val="20"/>
          <w:szCs w:val="20"/>
          <w:color w:val="auto"/>
        </w:rPr>
      </w:pPr>
    </w:p>
    <w:p>
      <w:pPr>
        <w:ind w:left="1120" w:right="579" w:hanging="965"/>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10.16#(8)</w:t>
      </w:r>
      <w:r>
        <w:rPr>
          <w:sz w:val="20"/>
          <w:szCs w:val="20"/>
          <w:color w:val="auto"/>
        </w:rPr>
        <w:tab/>
      </w:r>
      <w:hyperlink r:id="rId175">
        <w:r>
          <w:rPr>
            <w:rFonts w:ascii="Times New Roman" w:cs="Times New Roman" w:eastAsia="Times New Roman" w:hAnsi="Times New Roman"/>
            <w:sz w:val="18"/>
            <w:szCs w:val="18"/>
            <w:u w:val="single" w:color="auto"/>
            <w:color w:val="0000EE"/>
          </w:rPr>
          <w:t>Form of Restricted Stock Award Grant Notice and Restricted Stock Award Agreement pursuant to the</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AeroVironment, Inc. 2021 Equity Incentive Plan (Non-Employee Directors)</w:t>
        </w:r>
      </w:hyperlink>
    </w:p>
    <w:p>
      <w:pPr>
        <w:spacing w:after="0" w:line="2" w:lineRule="exact"/>
        <w:rPr>
          <w:sz w:val="20"/>
          <w:szCs w:val="20"/>
          <w:color w:val="auto"/>
        </w:rPr>
      </w:pPr>
    </w:p>
    <w:p>
      <w:pPr>
        <w:ind w:left="1120" w:right="619" w:hanging="965"/>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10.17#(8)</w:t>
      </w:r>
      <w:r>
        <w:rPr>
          <w:sz w:val="20"/>
          <w:szCs w:val="20"/>
          <w:color w:val="auto"/>
        </w:rPr>
        <w:tab/>
      </w:r>
      <w:hyperlink r:id="rId176">
        <w:r>
          <w:rPr>
            <w:rFonts w:ascii="Times New Roman" w:cs="Times New Roman" w:eastAsia="Times New Roman" w:hAnsi="Times New Roman"/>
            <w:sz w:val="18"/>
            <w:szCs w:val="18"/>
            <w:u w:val="single" w:color="auto"/>
            <w:color w:val="0000EE"/>
          </w:rPr>
          <w:t>Form of Performance Restricted Stock Award Grant Notice and Performance Restricted Stock Award</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Agreement pursuant to the AeroVironment, Inc. 2021 Equity Incentive Plan</w:t>
        </w:r>
      </w:hyperlink>
    </w:p>
    <w:p>
      <w:pPr>
        <w:spacing w:after="0" w:line="2" w:lineRule="exact"/>
        <w:rPr>
          <w:sz w:val="20"/>
          <w:szCs w:val="20"/>
          <w:color w:val="auto"/>
        </w:rPr>
      </w:pPr>
    </w:p>
    <w:p>
      <w:pPr>
        <w:ind w:left="1120" w:right="199" w:hanging="965"/>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10.18(18)</w:t>
      </w:r>
      <w:r>
        <w:rPr>
          <w:sz w:val="20"/>
          <w:szCs w:val="20"/>
          <w:color w:val="auto"/>
        </w:rPr>
        <w:tab/>
      </w:r>
      <w:hyperlink r:id="rId177">
        <w:r>
          <w:rPr>
            <w:rFonts w:ascii="Times New Roman" w:cs="Times New Roman" w:eastAsia="Times New Roman" w:hAnsi="Times New Roman"/>
            <w:sz w:val="18"/>
            <w:szCs w:val="18"/>
            <w:u w:val="single" w:color="auto"/>
            <w:color w:val="0000EE"/>
          </w:rPr>
          <w:t>Lease, dated March 11, 2022, between AeroVironment, Inc. and BCORE Defender CA1W01, LLC, for the</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property located at 85 Moreland Road, Simi Valley, California</w:t>
        </w:r>
      </w:hyperlink>
    </w:p>
    <w:p>
      <w:pPr>
        <w:spacing w:after="0" w:line="2" w:lineRule="exact"/>
        <w:rPr>
          <w:sz w:val="20"/>
          <w:szCs w:val="20"/>
          <w:color w:val="auto"/>
        </w:rPr>
      </w:pPr>
    </w:p>
    <w:p>
      <w:pPr>
        <w:ind w:left="1120" w:right="439" w:hanging="965"/>
        <w:spacing w:after="0" w:line="22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10.19(23)</w:t>
      </w:r>
      <w:r>
        <w:rPr>
          <w:sz w:val="20"/>
          <w:szCs w:val="20"/>
          <w:color w:val="auto"/>
        </w:rPr>
        <w:tab/>
      </w:r>
      <w:hyperlink r:id="rId178">
        <w:r>
          <w:rPr>
            <w:rFonts w:ascii="Times New Roman" w:cs="Times New Roman" w:eastAsia="Times New Roman" w:hAnsi="Times New Roman"/>
            <w:sz w:val="18"/>
            <w:szCs w:val="18"/>
            <w:u w:val="single" w:color="auto"/>
            <w:color w:val="0000EE"/>
          </w:rPr>
          <w:t>First Amendment to Lease, dated March 11, 2022, between AeroVironment, Inc. and BCORE Defender</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CA1W01, LLC, for the property located at 85 Moreland Road, Simi Valley, California, dated as of</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September 10, 2023.</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120" w:right="259" w:hanging="920"/>
        <w:spacing w:after="0" w:line="22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10.20(9)</w:t>
      </w:r>
      <w:r>
        <w:rPr>
          <w:sz w:val="20"/>
          <w:szCs w:val="20"/>
          <w:color w:val="auto"/>
        </w:rPr>
        <w:tab/>
      </w:r>
      <w:hyperlink r:id="rId179">
        <w:r>
          <w:rPr>
            <w:rFonts w:ascii="Times New Roman" w:cs="Times New Roman" w:eastAsia="Times New Roman" w:hAnsi="Times New Roman"/>
            <w:sz w:val="18"/>
            <w:szCs w:val="18"/>
            <w:u w:val="single" w:color="auto"/>
            <w:color w:val="0000EE"/>
          </w:rPr>
          <w:t>Standard Industrial/Commercial Single-Tenant Lease, dated March 3, 2008, between AeroVironment, Inc.</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and Hillside Associates III, LLC, for the property located at 900 Enchanted Way, Simi Valley, California,</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including the addendum thereto</w:t>
        </w:r>
      </w:hyperlink>
    </w:p>
    <w:p>
      <w:pPr>
        <w:ind w:left="14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10.21(10)</w:t>
      </w:r>
      <w:r>
        <w:rPr>
          <w:sz w:val="20"/>
          <w:szCs w:val="20"/>
          <w:color w:val="auto"/>
        </w:rPr>
        <w:tab/>
      </w:r>
      <w:hyperlink r:id="rId180">
        <w:r>
          <w:rPr>
            <w:rFonts w:ascii="Times New Roman" w:cs="Times New Roman" w:eastAsia="Times New Roman" w:hAnsi="Times New Roman"/>
            <w:sz w:val="17"/>
            <w:szCs w:val="17"/>
            <w:u w:val="single" w:color="auto"/>
            <w:color w:val="0000EE"/>
          </w:rPr>
          <w:t>First Amendment to Lease Agreement (900 Enchanted Way, Simi Valley, CA 93065) dated as of December</w:t>
        </w:r>
      </w:hyperlink>
    </w:p>
    <w:p>
      <w:pPr>
        <w:ind w:left="1120"/>
        <w:spacing w:after="0" w:line="219" w:lineRule="auto"/>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1, 2013, by and between the Company and Hillside III LLC, and related agreements</w:t>
        </w:r>
      </w:hyperlink>
    </w:p>
    <w:p>
      <w:pPr>
        <w:spacing w:after="0" w:line="1" w:lineRule="exact"/>
        <w:rPr>
          <w:rFonts w:ascii="Times New Roman" w:cs="Times New Roman" w:eastAsia="Times New Roman" w:hAnsi="Times New Roman"/>
          <w:sz w:val="18"/>
          <w:szCs w:val="18"/>
          <w:u w:val="single" w:color="auto"/>
          <w:color w:val="0000EE"/>
        </w:rPr>
      </w:pPr>
    </w:p>
    <w:p>
      <w:pPr>
        <w:ind w:left="1120" w:right="539" w:hanging="920"/>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10.22(2)</w:t>
      </w:r>
      <w:r>
        <w:rPr>
          <w:sz w:val="20"/>
          <w:szCs w:val="20"/>
          <w:color w:val="auto"/>
        </w:rPr>
        <w:tab/>
      </w:r>
      <w:hyperlink r:id="rId181">
        <w:r>
          <w:rPr>
            <w:rFonts w:ascii="Times New Roman" w:cs="Times New Roman" w:eastAsia="Times New Roman" w:hAnsi="Times New Roman"/>
            <w:sz w:val="18"/>
            <w:szCs w:val="18"/>
            <w:u w:val="single" w:color="auto"/>
            <w:color w:val="0000EE"/>
          </w:rPr>
          <w:t>Second Amendment to Lease Agreement dated as of May 13, 2020, by and between the Company and</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Hillside III LLC for the property located at 900 Enchanted Way, Simi Valley, CA 93065</w:t>
        </w:r>
      </w:hyperlink>
    </w:p>
    <w:p>
      <w:pPr>
        <w:spacing w:after="0" w:line="2" w:lineRule="exact"/>
        <w:rPr>
          <w:sz w:val="20"/>
          <w:szCs w:val="20"/>
          <w:color w:val="auto"/>
        </w:rPr>
      </w:pPr>
    </w:p>
    <w:p>
      <w:pPr>
        <w:ind w:left="1120" w:right="239" w:hanging="965"/>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10.23(26)</w:t>
      </w:r>
      <w:r>
        <w:rPr>
          <w:sz w:val="20"/>
          <w:szCs w:val="20"/>
          <w:color w:val="auto"/>
        </w:rPr>
        <w:tab/>
      </w:r>
      <w:hyperlink r:id="rId182">
        <w:r>
          <w:rPr>
            <w:rFonts w:ascii="Times New Roman" w:cs="Times New Roman" w:eastAsia="Times New Roman" w:hAnsi="Times New Roman"/>
            <w:sz w:val="18"/>
            <w:szCs w:val="18"/>
            <w:u w:val="single" w:color="auto"/>
            <w:color w:val="0000EE"/>
          </w:rPr>
          <w:t>Third Amendment to Lease Agreement dated as of October 16, 2024 by and between AeroVironment, Inc.</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and Hillside III LLC related to 900 Innovators Way, Simi Valley, CA 93065, and related agreements</w:t>
        </w:r>
      </w:hyperlink>
    </w:p>
    <w:p>
      <w:pPr>
        <w:ind w:left="140"/>
        <w:spacing w:after="0" w:line="23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10.24(27)</w:t>
      </w:r>
      <w:r>
        <w:rPr>
          <w:sz w:val="20"/>
          <w:szCs w:val="20"/>
          <w:color w:val="auto"/>
        </w:rPr>
        <w:tab/>
      </w:r>
      <w:hyperlink r:id="rId183">
        <w:r>
          <w:rPr>
            <w:rFonts w:ascii="Times New Roman" w:cs="Times New Roman" w:eastAsia="Times New Roman" w:hAnsi="Times New Roman"/>
            <w:sz w:val="18"/>
            <w:szCs w:val="18"/>
            <w:u w:val="single" w:color="auto"/>
            <w:color w:val="0000EE"/>
          </w:rPr>
          <w:t>Fourth Amendment to Lease Agreement, dated April 2, 2025</w:t>
        </w:r>
      </w:hyperlink>
    </w:p>
    <w:p>
      <w:pPr>
        <w:spacing w:after="0" w:line="1" w:lineRule="exact"/>
        <w:rPr>
          <w:sz w:val="20"/>
          <w:szCs w:val="20"/>
          <w:color w:val="auto"/>
        </w:rPr>
      </w:pPr>
    </w:p>
    <w:p>
      <w:pPr>
        <w:ind w:left="1120" w:right="139" w:hanging="920"/>
        <w:spacing w:after="0" w:line="22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10.25(9)</w:t>
      </w:r>
      <w:r>
        <w:rPr>
          <w:sz w:val="20"/>
          <w:szCs w:val="20"/>
          <w:color w:val="auto"/>
        </w:rPr>
        <w:tab/>
      </w:r>
      <w:hyperlink r:id="rId184">
        <w:r>
          <w:rPr>
            <w:rFonts w:ascii="Times New Roman" w:cs="Times New Roman" w:eastAsia="Times New Roman" w:hAnsi="Times New Roman"/>
            <w:sz w:val="18"/>
            <w:szCs w:val="18"/>
            <w:u w:val="single" w:color="auto"/>
            <w:color w:val="0000EE"/>
          </w:rPr>
          <w:t>Standard Industrial/Commercial Single-Tenant Lease, dated April 21, 2008, between AeroVironment, Inc.</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and Hillside Associates II, LLC, for the property located at 994 Flower Glen Street, Simi Valley, California,</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including the addendum thereto</w:t>
        </w:r>
      </w:hyperlink>
    </w:p>
    <w:p>
      <w:pPr>
        <w:spacing w:after="0" w:line="2" w:lineRule="exact"/>
        <w:rPr>
          <w:rFonts w:ascii="Times New Roman" w:cs="Times New Roman" w:eastAsia="Times New Roman" w:hAnsi="Times New Roman"/>
          <w:sz w:val="18"/>
          <w:szCs w:val="18"/>
          <w:u w:val="single" w:color="auto"/>
          <w:color w:val="0000EE"/>
        </w:rPr>
      </w:pPr>
    </w:p>
    <w:p>
      <w:pPr>
        <w:ind w:left="1120" w:right="719" w:hanging="965"/>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10.26(10)</w:t>
      </w:r>
      <w:r>
        <w:rPr>
          <w:sz w:val="20"/>
          <w:szCs w:val="20"/>
          <w:color w:val="auto"/>
        </w:rPr>
        <w:tab/>
      </w:r>
      <w:hyperlink r:id="rId185">
        <w:r>
          <w:rPr>
            <w:rFonts w:ascii="Times New Roman" w:cs="Times New Roman" w:eastAsia="Times New Roman" w:hAnsi="Times New Roman"/>
            <w:sz w:val="18"/>
            <w:szCs w:val="18"/>
            <w:u w:val="single" w:color="auto"/>
            <w:color w:val="0000EE"/>
          </w:rPr>
          <w:t>First Amendment to Lease Agreement (994 Flower Glen Street, Simi Valley, CA 93065) dated as of</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December 1, 2013, by and between the Company and Hillside II LLC, and related agreements</w:t>
        </w:r>
      </w:hyperlink>
    </w:p>
    <w:p>
      <w:pPr>
        <w:jc w:val="center"/>
        <w:ind w:right="39"/>
        <w:spacing w:after="0"/>
        <w:tabs>
          <w:tab w:leader="none" w:pos="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10.27(11)</w:t>
      </w:r>
      <w:r>
        <w:rPr>
          <w:sz w:val="20"/>
          <w:szCs w:val="20"/>
          <w:color w:val="auto"/>
        </w:rPr>
        <w:tab/>
      </w:r>
      <w:hyperlink r:id="rId186">
        <w:r>
          <w:rPr>
            <w:rFonts w:ascii="Times New Roman" w:cs="Times New Roman" w:eastAsia="Times New Roman" w:hAnsi="Times New Roman"/>
            <w:sz w:val="17"/>
            <w:szCs w:val="17"/>
            <w:u w:val="single" w:color="auto"/>
            <w:color w:val="0000EE"/>
          </w:rPr>
          <w:t>Second Amendment to Lease Agreement (994 Innovators Way, Simi Valley, CA 93065) dated as of June 1,</w:t>
        </w:r>
      </w:hyperlink>
    </w:p>
    <w:p>
      <w:pPr>
        <w:jc w:val="center"/>
        <w:ind w:right="119"/>
        <w:spacing w:after="0" w:line="219" w:lineRule="auto"/>
        <w:rPr>
          <w:rFonts w:ascii="Times New Roman" w:cs="Times New Roman" w:eastAsia="Times New Roman" w:hAnsi="Times New Roman"/>
          <w:sz w:val="18"/>
          <w:szCs w:val="18"/>
          <w:u w:val="single" w:color="auto"/>
          <w:color w:val="0000EE"/>
        </w:rPr>
      </w:pPr>
      <w:hyperlink r:id="rId186">
        <w:r>
          <w:rPr>
            <w:rFonts w:ascii="Times New Roman" w:cs="Times New Roman" w:eastAsia="Times New Roman" w:hAnsi="Times New Roman"/>
            <w:sz w:val="18"/>
            <w:szCs w:val="18"/>
            <w:u w:val="single" w:color="auto"/>
            <w:color w:val="0000EE"/>
          </w:rPr>
          <w:t>2021, by and between the Company and Hillside Associates II, LLC, and related agreements</w:t>
        </w:r>
      </w:hyperlink>
    </w:p>
    <w:p>
      <w:pPr>
        <w:spacing w:after="0" w:line="1" w:lineRule="exact"/>
        <w:rPr>
          <w:sz w:val="20"/>
          <w:szCs w:val="20"/>
          <w:color w:val="auto"/>
        </w:rPr>
      </w:pPr>
    </w:p>
    <w:p>
      <w:pPr>
        <w:ind w:left="1120" w:right="259" w:hanging="965"/>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10.29(10)</w:t>
      </w:r>
      <w:r>
        <w:rPr>
          <w:sz w:val="20"/>
          <w:szCs w:val="20"/>
          <w:color w:val="auto"/>
        </w:rPr>
        <w:tab/>
      </w:r>
      <w:hyperlink r:id="rId187">
        <w:r>
          <w:rPr>
            <w:rFonts w:ascii="Times New Roman" w:cs="Times New Roman" w:eastAsia="Times New Roman" w:hAnsi="Times New Roman"/>
            <w:sz w:val="18"/>
            <w:szCs w:val="18"/>
            <w:u w:val="single" w:color="auto"/>
            <w:color w:val="0000EE"/>
          </w:rPr>
          <w:t>Lease Agreement (996 Flower Glen Street, Simi Valley, CA 93065) dated as of December 1, 2013, by and</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between the Company and Hillside II LLC, and related agreements</w:t>
        </w:r>
      </w:hyperlink>
    </w:p>
    <w:p>
      <w:pPr>
        <w:ind w:left="1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10.30(11)</w:t>
      </w:r>
      <w:r>
        <w:rPr>
          <w:sz w:val="20"/>
          <w:szCs w:val="20"/>
          <w:color w:val="auto"/>
        </w:rPr>
        <w:tab/>
      </w:r>
      <w:hyperlink r:id="rId188">
        <w:r>
          <w:rPr>
            <w:rFonts w:ascii="Times New Roman" w:cs="Times New Roman" w:eastAsia="Times New Roman" w:hAnsi="Times New Roman"/>
            <w:sz w:val="17"/>
            <w:szCs w:val="17"/>
            <w:u w:val="single" w:color="auto"/>
            <w:color w:val="0000EE"/>
          </w:rPr>
          <w:t>First Amendment to Lease Agreement (996 Innovators Way, Simi Valley, CA 93065) dated as of June 1,</w:t>
        </w:r>
      </w:hyperlink>
    </w:p>
    <w:p>
      <w:pPr>
        <w:ind w:left="1120"/>
        <w:spacing w:after="0" w:line="219" w:lineRule="auto"/>
        <w:rPr>
          <w:rFonts w:ascii="Times New Roman" w:cs="Times New Roman" w:eastAsia="Times New Roman" w:hAnsi="Times New Roman"/>
          <w:sz w:val="18"/>
          <w:szCs w:val="18"/>
          <w:u w:val="single" w:color="auto"/>
          <w:color w:val="0000EE"/>
        </w:rPr>
      </w:pPr>
      <w:hyperlink r:id="rId188">
        <w:r>
          <w:rPr>
            <w:rFonts w:ascii="Times New Roman" w:cs="Times New Roman" w:eastAsia="Times New Roman" w:hAnsi="Times New Roman"/>
            <w:sz w:val="18"/>
            <w:szCs w:val="18"/>
            <w:u w:val="single" w:color="auto"/>
            <w:color w:val="0000EE"/>
          </w:rPr>
          <w:t>2021, by and between the Company and Hillside Associates II, LLC, and related agreements</w:t>
        </w:r>
      </w:hyperlink>
    </w:p>
    <w:p>
      <w:pPr>
        <w:spacing w:after="0" w:line="1" w:lineRule="exact"/>
        <w:rPr>
          <w:sz w:val="20"/>
          <w:szCs w:val="20"/>
          <w:color w:val="auto"/>
        </w:rPr>
      </w:pPr>
    </w:p>
    <w:p>
      <w:pPr>
        <w:ind w:left="1120" w:right="659" w:hanging="965"/>
        <w:spacing w:after="0" w:line="271"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10.31(12)</w:t>
      </w:r>
      <w:r>
        <w:rPr>
          <w:sz w:val="20"/>
          <w:szCs w:val="20"/>
          <w:color w:val="auto"/>
        </w:rPr>
        <w:tab/>
      </w:r>
      <w:hyperlink r:id="rId189">
        <w:r>
          <w:rPr>
            <w:rFonts w:ascii="Times New Roman" w:cs="Times New Roman" w:eastAsia="Times New Roman" w:hAnsi="Times New Roman"/>
            <w:sz w:val="17"/>
            <w:szCs w:val="17"/>
            <w:u w:val="single" w:color="auto"/>
            <w:color w:val="0000EE"/>
          </w:rPr>
          <w:t>Lease dated March 28, 2018 between AeroVironment, Inc. and Princeton Avenue Holdings, LLC for</w:t>
        </w:r>
      </w:hyperlink>
      <w:r>
        <w:rPr>
          <w:rFonts w:ascii="Times New Roman" w:cs="Times New Roman" w:eastAsia="Times New Roman" w:hAnsi="Times New Roman"/>
          <w:sz w:val="17"/>
          <w:szCs w:val="17"/>
          <w:u w:val="single" w:color="auto"/>
          <w:color w:val="0000EE"/>
        </w:rPr>
        <w:t xml:space="preserve"> </w:t>
      </w:r>
      <w:hyperlink r:id="rId189">
        <w:r>
          <w:rPr>
            <w:rFonts w:ascii="Times New Roman" w:cs="Times New Roman" w:eastAsia="Times New Roman" w:hAnsi="Times New Roman"/>
            <w:sz w:val="17"/>
            <w:szCs w:val="17"/>
            <w:u w:val="single" w:color="auto"/>
            <w:color w:val="0000EE"/>
          </w:rPr>
          <w:t>property located at 14501 Princeton Avenue, Moorpark, California, including addendums thereto</w:t>
        </w:r>
      </w:hyperlink>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20" w:right="439" w:hanging="965"/>
        <w:spacing w:after="0" w:line="24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10.32(13)</w:t>
      </w:r>
      <w:r>
        <w:rPr>
          <w:sz w:val="20"/>
          <w:szCs w:val="20"/>
          <w:color w:val="auto"/>
        </w:rPr>
        <w:tab/>
      </w:r>
      <w:hyperlink r:id="rId191">
        <w:r>
          <w:rPr>
            <w:rFonts w:ascii="Times New Roman" w:cs="Times New Roman" w:eastAsia="Times New Roman" w:hAnsi="Times New Roman"/>
            <w:sz w:val="18"/>
            <w:szCs w:val="18"/>
            <w:u w:val="single" w:color="auto"/>
            <w:color w:val="0000EE"/>
          </w:rPr>
          <w:t>First Amendment to Lease dated October 26, 2018 between AeroVironment, Inc. and Princeton Avenue</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Holdings, LLC for property located at 14501 Princeton Avenue, Moorpark, California</w:t>
        </w:r>
      </w:hyperlink>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1" w:lineRule="exact"/>
        <w:rPr>
          <w:sz w:val="20"/>
          <w:szCs w:val="20"/>
          <w:color w:val="auto"/>
        </w:rPr>
      </w:pPr>
    </w:p>
    <w:p>
      <w:pPr>
        <w:ind w:left="24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42" w:lineRule="exact"/>
        <w:rPr>
          <w:sz w:val="20"/>
          <w:szCs w:val="20"/>
          <w:color w:val="auto"/>
        </w:rPr>
      </w:pPr>
    </w:p>
    <w:p>
      <w:pPr>
        <w:ind w:left="1120" w:right="379" w:hanging="965"/>
        <w:spacing w:after="0" w:line="234"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10.33(19)</w:t>
      </w:r>
      <w:r>
        <w:rPr>
          <w:sz w:val="20"/>
          <w:szCs w:val="20"/>
          <w:color w:val="auto"/>
        </w:rPr>
        <w:tab/>
      </w:r>
      <w:hyperlink r:id="rId191">
        <w:r>
          <w:rPr>
            <w:rFonts w:ascii="Times New Roman" w:cs="Times New Roman" w:eastAsia="Times New Roman" w:hAnsi="Times New Roman"/>
            <w:sz w:val="18"/>
            <w:szCs w:val="18"/>
            <w:u w:val="single" w:color="auto"/>
            <w:color w:val="0000EE"/>
          </w:rPr>
          <w:t>Second Amendment to Lease dated October 26, 2018 between AeroVironment, Inc., Princeton Avenue</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Holdings, LLC and Princeton Avenue Holdings II, LLC for property located at 14501 Princeton Avenue,</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Moorpark, California</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ind w:left="14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10.34#(1)</w:t>
      </w:r>
      <w:r>
        <w:rPr>
          <w:sz w:val="20"/>
          <w:szCs w:val="20"/>
          <w:color w:val="auto"/>
        </w:rPr>
        <w:tab/>
      </w:r>
      <w:hyperlink r:id="rId193">
        <w:r>
          <w:rPr>
            <w:rFonts w:ascii="Times New Roman" w:cs="Times New Roman" w:eastAsia="Times New Roman" w:hAnsi="Times New Roman"/>
            <w:sz w:val="17"/>
            <w:szCs w:val="17"/>
            <w:u w:val="single" w:color="auto"/>
            <w:color w:val="0000EE"/>
          </w:rPr>
          <w:t>Retiree Medical Plan</w:t>
        </w:r>
      </w:hyperlink>
    </w:p>
    <w:p>
      <w:pPr>
        <w:ind w:left="14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10.35(14)</w:t>
      </w:r>
      <w:r>
        <w:rPr>
          <w:sz w:val="20"/>
          <w:szCs w:val="20"/>
          <w:color w:val="auto"/>
        </w:rPr>
        <w:tab/>
      </w:r>
      <w:hyperlink r:id="rId194">
        <w:r>
          <w:rPr>
            <w:rFonts w:ascii="Times New Roman" w:cs="Times New Roman" w:eastAsia="Times New Roman" w:hAnsi="Times New Roman"/>
            <w:sz w:val="17"/>
            <w:szCs w:val="17"/>
            <w:u w:val="single" w:color="auto"/>
            <w:color w:val="0000EE"/>
          </w:rPr>
          <w:t>Form of Director Letter Agreement by and between AeroVironment, Inc. and certain non-employee director</w:t>
        </w:r>
      </w:hyperlink>
    </w:p>
    <w:p>
      <w:pPr>
        <w:spacing w:after="0" w:line="16" w:lineRule="exact"/>
        <w:rPr>
          <w:rFonts w:ascii="Times New Roman" w:cs="Times New Roman" w:eastAsia="Times New Roman" w:hAnsi="Times New Roman"/>
          <w:sz w:val="18"/>
          <w:szCs w:val="18"/>
          <w:u w:val="single" w:color="auto"/>
          <w:color w:val="0000EE"/>
        </w:rPr>
      </w:pPr>
    </w:p>
    <w:p>
      <w:pPr>
        <w:ind w:left="12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10.36#(15)</w:t>
      </w:r>
      <w:r>
        <w:rPr>
          <w:sz w:val="20"/>
          <w:szCs w:val="20"/>
          <w:color w:val="auto"/>
        </w:rPr>
        <w:tab/>
      </w:r>
      <w:hyperlink r:id="rId195">
        <w:r>
          <w:rPr>
            <w:rFonts w:ascii="Times New Roman" w:cs="Times New Roman" w:eastAsia="Times New Roman" w:hAnsi="Times New Roman"/>
            <w:sz w:val="17"/>
            <w:szCs w:val="17"/>
            <w:u w:val="single" w:color="auto"/>
            <w:color w:val="0000EE"/>
          </w:rPr>
          <w:t>AeroVironment, Inc. Executive Severance Plan and Summary Description, effective January 1, 2019</w:t>
        </w:r>
      </w:hyperlink>
    </w:p>
    <w:p>
      <w:pPr>
        <w:spacing w:after="0" w:line="27" w:lineRule="exact"/>
        <w:rPr>
          <w:rFonts w:ascii="Times New Roman" w:cs="Times New Roman" w:eastAsia="Times New Roman" w:hAnsi="Times New Roman"/>
          <w:sz w:val="18"/>
          <w:szCs w:val="18"/>
          <w:u w:val="single" w:color="auto"/>
          <w:color w:val="0000EE"/>
        </w:rPr>
      </w:pPr>
    </w:p>
    <w:p>
      <w:pPr>
        <w:ind w:left="12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10.37#(26)</w:t>
      </w:r>
      <w:r>
        <w:rPr>
          <w:sz w:val="20"/>
          <w:szCs w:val="20"/>
          <w:color w:val="auto"/>
        </w:rPr>
        <w:tab/>
      </w:r>
      <w:hyperlink r:id="rId196">
        <w:r>
          <w:rPr>
            <w:rFonts w:ascii="Times New Roman" w:cs="Times New Roman" w:eastAsia="Times New Roman" w:hAnsi="Times New Roman"/>
            <w:sz w:val="17"/>
            <w:szCs w:val="17"/>
            <w:u w:val="single" w:color="auto"/>
            <w:color w:val="0000EE"/>
          </w:rPr>
          <w:t>Amended and Restated Executive Severance Plan of AeroVironment, Inc.</w:t>
        </w:r>
      </w:hyperlink>
    </w:p>
    <w:p>
      <w:pPr>
        <w:spacing w:after="0" w:line="9" w:lineRule="exact"/>
        <w:rPr>
          <w:rFonts w:ascii="Times New Roman" w:cs="Times New Roman" w:eastAsia="Times New Roman" w:hAnsi="Times New Roman"/>
          <w:sz w:val="18"/>
          <w:szCs w:val="18"/>
          <w:u w:val="single" w:color="auto"/>
          <w:color w:val="0000EE"/>
        </w:rPr>
      </w:pPr>
    </w:p>
    <w:p>
      <w:pPr>
        <w:ind w:left="12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10.38#(26)</w:t>
      </w:r>
      <w:r>
        <w:rPr>
          <w:sz w:val="20"/>
          <w:szCs w:val="20"/>
          <w:color w:val="auto"/>
        </w:rPr>
        <w:tab/>
      </w:r>
      <w:hyperlink r:id="rId197">
        <w:r>
          <w:rPr>
            <w:rFonts w:ascii="Times New Roman" w:cs="Times New Roman" w:eastAsia="Times New Roman" w:hAnsi="Times New Roman"/>
            <w:sz w:val="17"/>
            <w:szCs w:val="17"/>
            <w:u w:val="single" w:color="auto"/>
            <w:color w:val="0000EE"/>
          </w:rPr>
          <w:t>Executive Transaction Severance Plan of AeroVironment, Inc.</w:t>
        </w:r>
      </w:hyperlink>
    </w:p>
    <w:p>
      <w:pPr>
        <w:spacing w:after="0" w:line="9" w:lineRule="exact"/>
        <w:rPr>
          <w:rFonts w:ascii="Times New Roman" w:cs="Times New Roman" w:eastAsia="Times New Roman" w:hAnsi="Times New Roman"/>
          <w:sz w:val="18"/>
          <w:szCs w:val="18"/>
          <w:u w:val="single" w:color="auto"/>
          <w:color w:val="0000EE"/>
        </w:rPr>
      </w:pPr>
    </w:p>
    <w:p>
      <w:pPr>
        <w:ind w:left="1200" w:right="319" w:hanging="1068"/>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10.40*(11)</w:t>
      </w:r>
      <w:r>
        <w:rPr>
          <w:sz w:val="20"/>
          <w:szCs w:val="20"/>
          <w:color w:val="auto"/>
        </w:rPr>
        <w:tab/>
      </w:r>
      <w:hyperlink r:id="rId198">
        <w:r>
          <w:rPr>
            <w:rFonts w:ascii="Times New Roman" w:cs="Times New Roman" w:eastAsia="Times New Roman" w:hAnsi="Times New Roman"/>
            <w:sz w:val="18"/>
            <w:szCs w:val="18"/>
            <w:u w:val="single" w:color="auto"/>
            <w:color w:val="0000EE"/>
          </w:rPr>
          <w:t>Stock Purchase Agreement, dated January 11, 2021, by and among AeroVironment, Inc., Arcturus UAV,</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Inc., and the shareholders and other equity interest holders of Arcturus UAV, Inc.</w:t>
        </w:r>
      </w:hyperlink>
    </w:p>
    <w:p>
      <w:pPr>
        <w:spacing w:after="0" w:line="1" w:lineRule="exact"/>
        <w:rPr>
          <w:sz w:val="20"/>
          <w:szCs w:val="20"/>
          <w:color w:val="auto"/>
        </w:rPr>
      </w:pPr>
    </w:p>
    <w:p>
      <w:pPr>
        <w:ind w:left="1200" w:right="319" w:hanging="1023"/>
        <w:spacing w:after="0" w:line="265" w:lineRule="auto"/>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10.41(11)</w:t>
      </w:r>
      <w:r>
        <w:rPr>
          <w:sz w:val="20"/>
          <w:szCs w:val="20"/>
          <w:color w:val="auto"/>
        </w:rPr>
        <w:tab/>
      </w:r>
      <w:hyperlink r:id="rId199">
        <w:r>
          <w:rPr>
            <w:rFonts w:ascii="Times New Roman" w:cs="Times New Roman" w:eastAsia="Times New Roman" w:hAnsi="Times New Roman"/>
            <w:sz w:val="17"/>
            <w:szCs w:val="17"/>
            <w:u w:val="single" w:color="auto"/>
            <w:color w:val="0000EE"/>
          </w:rPr>
          <w:t>Loan commitment letter, dated January 11, 2021, by and among AeroVironment, Inc., Bank of America,</w:t>
        </w:r>
      </w:hyperlink>
      <w:r>
        <w:rPr>
          <w:rFonts w:ascii="Times New Roman" w:cs="Times New Roman" w:eastAsia="Times New Roman" w:hAnsi="Times New Roman"/>
          <w:sz w:val="17"/>
          <w:szCs w:val="17"/>
          <w:u w:val="single" w:color="auto"/>
          <w:color w:val="0000EE"/>
        </w:rPr>
        <w:t xml:space="preserve"> </w:t>
      </w:r>
      <w:hyperlink r:id="rId199">
        <w:r>
          <w:rPr>
            <w:rFonts w:ascii="Times New Roman" w:cs="Times New Roman" w:eastAsia="Times New Roman" w:hAnsi="Times New Roman"/>
            <w:sz w:val="17"/>
            <w:szCs w:val="17"/>
            <w:u w:val="single" w:color="auto"/>
            <w:color w:val="0000EE"/>
          </w:rPr>
          <w:t>N.A., BofA Securities, Inc., JPMorgan Chase Bank, N.A., and U.S. Bank National Association.</w:t>
        </w:r>
      </w:hyperlink>
    </w:p>
    <w:p>
      <w:pPr>
        <w:ind w:left="1200" w:right="199" w:hanging="1068"/>
        <w:spacing w:after="0" w:line="249"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10.42*(11)</w:t>
      </w:r>
      <w:r>
        <w:rPr>
          <w:sz w:val="20"/>
          <w:szCs w:val="20"/>
          <w:color w:val="auto"/>
        </w:rPr>
        <w:tab/>
      </w:r>
      <w:hyperlink r:id="rId200">
        <w:r>
          <w:rPr>
            <w:rFonts w:ascii="Times New Roman" w:cs="Times New Roman" w:eastAsia="Times New Roman" w:hAnsi="Times New Roman"/>
            <w:sz w:val="18"/>
            <w:szCs w:val="18"/>
            <w:u w:val="single" w:color="auto"/>
            <w:color w:val="0000EE"/>
          </w:rPr>
          <w:t>Credit Agreement, dated February 19, 2021, by and among AeroVironment, Inc., certain lenders, letter of</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credit issuers, Bank of America, N.A., as the administrative agent and the swingline lender, and BofA</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Securities, Inc., JPMorgan Chase Bank, N.A., and U.S. Bank National Association, as joint lead arrangers</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and joint bookrunners</w:t>
        </w:r>
      </w:hyperlink>
    </w:p>
    <w:p>
      <w:pPr>
        <w:ind w:left="1200" w:right="459" w:hanging="1064"/>
        <w:spacing w:after="0" w:line="253"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10.43</w:t>
      </w:r>
      <w:r>
        <w:rPr>
          <w:rFonts w:ascii="Arial" w:cs="Arial" w:eastAsia="Arial" w:hAnsi="Arial"/>
          <w:sz w:val="18"/>
          <w:szCs w:val="18"/>
          <w:color w:val="auto"/>
        </w:rPr>
        <w:t>ǂ</w:t>
      </w:r>
      <w:r>
        <w:rPr>
          <w:rFonts w:ascii="Times New Roman" w:cs="Times New Roman" w:eastAsia="Times New Roman" w:hAnsi="Times New Roman"/>
          <w:sz w:val="18"/>
          <w:szCs w:val="18"/>
          <w:color w:val="auto"/>
        </w:rPr>
        <w:t>(11)</w:t>
      </w:r>
      <w:r>
        <w:rPr>
          <w:sz w:val="20"/>
          <w:szCs w:val="20"/>
          <w:color w:val="auto"/>
        </w:rPr>
        <w:tab/>
      </w:r>
      <w:hyperlink r:id="rId201">
        <w:r>
          <w:rPr>
            <w:rFonts w:ascii="Times New Roman" w:cs="Times New Roman" w:eastAsia="Times New Roman" w:hAnsi="Times New Roman"/>
            <w:sz w:val="18"/>
            <w:szCs w:val="18"/>
            <w:u w:val="single" w:color="auto"/>
            <w:color w:val="0000EE"/>
          </w:rPr>
          <w:t>Security and Pledge Agreement, dated February 19, 2021, by and among AeroVironment, Inc., certain</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obligors, and Bank of America, N.A., as the administrative agent</w:t>
        </w:r>
      </w:hyperlink>
    </w:p>
    <w:p>
      <w:pPr>
        <w:spacing w:after="0" w:line="1" w:lineRule="exact"/>
        <w:rPr>
          <w:sz w:val="20"/>
          <w:szCs w:val="20"/>
          <w:color w:val="auto"/>
        </w:rPr>
      </w:pPr>
    </w:p>
    <w:p>
      <w:pPr>
        <w:ind w:left="1200" w:right="99" w:hanging="1026"/>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10.44(16)</w:t>
      </w:r>
      <w:r>
        <w:rPr>
          <w:sz w:val="20"/>
          <w:szCs w:val="20"/>
          <w:color w:val="auto"/>
        </w:rPr>
        <w:tab/>
      </w:r>
      <w:hyperlink r:id="rId202">
        <w:r>
          <w:rPr>
            <w:rFonts w:ascii="Times New Roman" w:cs="Times New Roman" w:eastAsia="Times New Roman" w:hAnsi="Times New Roman"/>
            <w:sz w:val="18"/>
            <w:szCs w:val="18"/>
            <w:u w:val="single" w:color="auto"/>
            <w:color w:val="0000EE"/>
          </w:rPr>
          <w:t>First Amendment to Credit Agreement and Waiver, dated February 4, 2022, by and among AeroVironment,</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Inc., certain lenders, letter of credit issuers, Bank of America, N.A., as the administrative agent and the</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swingline lender, and BofA Securities, Inc., JPMorgan Chase Bank, N.A., and U.S. Bank National</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Association</w:t>
        </w:r>
      </w:hyperlink>
    </w:p>
    <w:p>
      <w:pPr>
        <w:spacing w:after="0" w:line="2" w:lineRule="exact"/>
        <w:rPr>
          <w:rFonts w:ascii="Times New Roman" w:cs="Times New Roman" w:eastAsia="Times New Roman" w:hAnsi="Times New Roman"/>
          <w:sz w:val="18"/>
          <w:szCs w:val="18"/>
          <w:u w:val="single" w:color="auto"/>
          <w:color w:val="0000EE"/>
        </w:rPr>
      </w:pPr>
    </w:p>
    <w:p>
      <w:pPr>
        <w:ind w:left="1200" w:right="219" w:hanging="1026"/>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10.45(19)</w:t>
      </w:r>
      <w:r>
        <w:rPr>
          <w:sz w:val="20"/>
          <w:szCs w:val="20"/>
          <w:color w:val="auto"/>
        </w:rPr>
        <w:tab/>
      </w:r>
      <w:hyperlink r:id="rId203">
        <w:r>
          <w:rPr>
            <w:rFonts w:ascii="Times New Roman" w:cs="Times New Roman" w:eastAsia="Times New Roman" w:hAnsi="Times New Roman"/>
            <w:sz w:val="18"/>
            <w:szCs w:val="18"/>
            <w:u w:val="single" w:color="auto"/>
            <w:color w:val="0000EE"/>
          </w:rPr>
          <w:t>Second Amendment to Credit Agreement and Waiver, dated June 6, 2023, by and among AeroVironment,</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Inc., certain lenders, letter of credit issuers, Bank of America, N.A., as the administrative agent and the</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swingline lender, and BofA Securities, Inc., JPMorgan Chase Bank, N.A., and U.S. Bank National</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Association</w:t>
        </w:r>
      </w:hyperlink>
    </w:p>
    <w:p>
      <w:pPr>
        <w:spacing w:after="0" w:line="2" w:lineRule="exact"/>
        <w:rPr>
          <w:rFonts w:ascii="Times New Roman" w:cs="Times New Roman" w:eastAsia="Times New Roman" w:hAnsi="Times New Roman"/>
          <w:sz w:val="18"/>
          <w:szCs w:val="18"/>
          <w:u w:val="single" w:color="auto"/>
          <w:color w:val="0000EE"/>
        </w:rPr>
      </w:pPr>
    </w:p>
    <w:p>
      <w:pPr>
        <w:ind w:left="1200" w:right="579" w:hanging="1026"/>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10.46(26)</w:t>
      </w:r>
      <w:r>
        <w:rPr>
          <w:sz w:val="20"/>
          <w:szCs w:val="20"/>
          <w:color w:val="auto"/>
        </w:rPr>
        <w:tab/>
      </w:r>
      <w:hyperlink r:id="rId204">
        <w:r>
          <w:rPr>
            <w:rFonts w:ascii="Times New Roman" w:cs="Times New Roman" w:eastAsia="Times New Roman" w:hAnsi="Times New Roman"/>
            <w:sz w:val="18"/>
            <w:szCs w:val="18"/>
            <w:u w:val="single" w:color="auto"/>
            <w:color w:val="0000EE"/>
          </w:rPr>
          <w:t>Third Amendment to Credit Agreement, dated October 4, 2024, by and among AeroVironment, Inc.,</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certain lenders, letter of credit issuers, Bank of America, N.A., as the administrative agent and the</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swingline lender, and Bank of America, N.A., JPMorgan Chase Bank, N.A., U.S. Bank National</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Association and Citibank, N.A.</w:t>
        </w:r>
      </w:hyperlink>
    </w:p>
    <w:p>
      <w:pPr>
        <w:spacing w:after="0" w:line="2" w:lineRule="exact"/>
        <w:rPr>
          <w:rFonts w:ascii="Times New Roman" w:cs="Times New Roman" w:eastAsia="Times New Roman" w:hAnsi="Times New Roman"/>
          <w:sz w:val="18"/>
          <w:szCs w:val="18"/>
          <w:u w:val="single" w:color="auto"/>
          <w:color w:val="0000EE"/>
        </w:rPr>
      </w:pPr>
    </w:p>
    <w:p>
      <w:pPr>
        <w:ind w:left="1200" w:right="99" w:hanging="1026"/>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10.47(28)</w:t>
      </w:r>
      <w:r>
        <w:rPr>
          <w:sz w:val="20"/>
          <w:szCs w:val="20"/>
          <w:color w:val="auto"/>
        </w:rPr>
        <w:tab/>
      </w:r>
      <w:hyperlink r:id="rId205">
        <w:r>
          <w:rPr>
            <w:rFonts w:ascii="Times New Roman" w:cs="Times New Roman" w:eastAsia="Times New Roman" w:hAnsi="Times New Roman"/>
            <w:sz w:val="18"/>
            <w:szCs w:val="18"/>
            <w:u w:val="single" w:color="auto"/>
            <w:color w:val="0000EE"/>
          </w:rPr>
          <w:t>Fourth Amendment to Credit Agreement, Amendment to Security and Pledge Agreement, and Joinder</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Agreement, dated May 1, 2025, by and among AeroVironment, Inc., certain lenders, letter of credit issuers,</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Bank of America, N.A., as the administrative agent and the swingline lender, and Bank of America, N.A.,</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JPMorgan Chase Bank, N.A., U.S. Bank National Association and Citibank, N.A, as co-syndication agents</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for the Term A facility.</w:t>
        </w:r>
      </w:hyperlink>
    </w:p>
    <w:p>
      <w:pPr>
        <w:spacing w:after="0" w:line="2" w:lineRule="exact"/>
        <w:rPr>
          <w:rFonts w:ascii="Times New Roman" w:cs="Times New Roman" w:eastAsia="Times New Roman" w:hAnsi="Times New Roman"/>
          <w:sz w:val="18"/>
          <w:szCs w:val="18"/>
          <w:u w:val="single" w:color="auto"/>
          <w:color w:val="0000EE"/>
        </w:rPr>
      </w:pPr>
    </w:p>
    <w:p>
      <w:pPr>
        <w:ind w:left="16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10.48(22)</w:t>
      </w:r>
      <w:r>
        <w:rPr>
          <w:sz w:val="20"/>
          <w:szCs w:val="20"/>
          <w:color w:val="auto"/>
        </w:rPr>
        <w:tab/>
      </w:r>
      <w:hyperlink r:id="rId206">
        <w:r>
          <w:rPr>
            <w:rFonts w:ascii="Times New Roman" w:cs="Times New Roman" w:eastAsia="Times New Roman" w:hAnsi="Times New Roman"/>
            <w:sz w:val="17"/>
            <w:szCs w:val="17"/>
            <w:u w:val="single" w:color="auto"/>
            <w:color w:val="0000EE"/>
          </w:rPr>
          <w:t>Joinder Agreement, dated October 30, 2023, between AeroVironment, Inc. and Bank of America, N.A.</w:t>
        </w:r>
      </w:hyperlink>
    </w:p>
    <w:p>
      <w:pPr>
        <w:spacing w:after="0" w:line="9" w:lineRule="exact"/>
        <w:rPr>
          <w:rFonts w:ascii="Times New Roman" w:cs="Times New Roman" w:eastAsia="Times New Roman" w:hAnsi="Times New Roman"/>
          <w:sz w:val="18"/>
          <w:szCs w:val="18"/>
          <w:u w:val="single" w:color="auto"/>
          <w:color w:val="0000EE"/>
        </w:rPr>
      </w:pPr>
    </w:p>
    <w:p>
      <w:pPr>
        <w:ind w:left="8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10.49</w:t>
      </w:r>
      <w:r>
        <w:rPr>
          <w:rFonts w:ascii="Arial" w:cs="Arial" w:eastAsia="Arial" w:hAnsi="Arial"/>
          <w:sz w:val="18"/>
          <w:szCs w:val="18"/>
          <w:color w:val="auto"/>
        </w:rPr>
        <w:t>ǂ</w:t>
      </w:r>
      <w:r>
        <w:rPr>
          <w:rFonts w:ascii="Times New Roman" w:cs="Times New Roman" w:eastAsia="Times New Roman" w:hAnsi="Times New Roman"/>
          <w:sz w:val="18"/>
          <w:szCs w:val="18"/>
          <w:color w:val="auto"/>
        </w:rPr>
        <w:t>*(11)</w:t>
      </w:r>
      <w:r>
        <w:rPr>
          <w:sz w:val="20"/>
          <w:szCs w:val="20"/>
          <w:color w:val="auto"/>
        </w:rPr>
        <w:tab/>
      </w:r>
      <w:hyperlink r:id="rId207">
        <w:r>
          <w:rPr>
            <w:rFonts w:ascii="Times New Roman" w:cs="Times New Roman" w:eastAsia="Times New Roman" w:hAnsi="Times New Roman"/>
            <w:sz w:val="17"/>
            <w:szCs w:val="17"/>
            <w:u w:val="single" w:color="auto"/>
            <w:color w:val="0000EE"/>
          </w:rPr>
          <w:t>Share Purchase Agreement, dated December 3, 2020, by and between AeroVironment, Inc., Unmanned</w:t>
        </w:r>
      </w:hyperlink>
    </w:p>
    <w:p>
      <w:pPr>
        <w:spacing w:after="0" w:line="10" w:lineRule="exact"/>
        <w:rPr>
          <w:rFonts w:ascii="Times New Roman" w:cs="Times New Roman" w:eastAsia="Times New Roman" w:hAnsi="Times New Roman"/>
          <w:sz w:val="18"/>
          <w:szCs w:val="18"/>
          <w:u w:val="single" w:color="auto"/>
          <w:color w:val="0000EE"/>
        </w:rPr>
      </w:pPr>
    </w:p>
    <w:p>
      <w:pPr>
        <w:ind w:left="1200"/>
        <w:spacing w:after="0"/>
        <w:rPr>
          <w:rFonts w:ascii="Times New Roman" w:cs="Times New Roman" w:eastAsia="Times New Roman" w:hAnsi="Times New Roman"/>
          <w:sz w:val="18"/>
          <w:szCs w:val="18"/>
          <w:u w:val="single" w:color="auto"/>
          <w:color w:val="0000EE"/>
        </w:rPr>
      </w:pPr>
      <w:hyperlink r:id="rId207">
        <w:r>
          <w:rPr>
            <w:rFonts w:ascii="Times New Roman" w:cs="Times New Roman" w:eastAsia="Times New Roman" w:hAnsi="Times New Roman"/>
            <w:sz w:val="18"/>
            <w:szCs w:val="18"/>
            <w:u w:val="single" w:color="auto"/>
            <w:color w:val="0000EE"/>
          </w:rPr>
          <w:t>Systems Investments GmbH, and each of the unit holders of Unmanned Systems Investments GmbH</w:t>
        </w:r>
      </w:hyperlink>
    </w:p>
    <w:p>
      <w:pPr>
        <w:spacing w:after="0" w:line="7" w:lineRule="exact"/>
        <w:rPr>
          <w:rFonts w:ascii="Times New Roman" w:cs="Times New Roman" w:eastAsia="Times New Roman" w:hAnsi="Times New Roman"/>
          <w:sz w:val="18"/>
          <w:szCs w:val="18"/>
          <w:u w:val="single" w:color="auto"/>
          <w:color w:val="0000EE"/>
        </w:rPr>
      </w:pPr>
    </w:p>
    <w:p>
      <w:pPr>
        <w:ind w:left="16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10.50(20)</w:t>
      </w:r>
      <w:r>
        <w:rPr>
          <w:sz w:val="20"/>
          <w:szCs w:val="20"/>
          <w:color w:val="auto"/>
        </w:rPr>
        <w:tab/>
      </w:r>
      <w:hyperlink r:id="rId208">
        <w:r>
          <w:rPr>
            <w:rFonts w:ascii="Times New Roman" w:cs="Times New Roman" w:eastAsia="Times New Roman" w:hAnsi="Times New Roman"/>
            <w:sz w:val="17"/>
            <w:szCs w:val="17"/>
            <w:u w:val="single" w:color="auto"/>
            <w:color w:val="0000EE"/>
          </w:rPr>
          <w:t>AeroVironment, Inc. 2023 Employee Stock Purchase Plan</w:t>
        </w:r>
      </w:hyperlink>
    </w:p>
    <w:p>
      <w:pPr>
        <w:spacing w:after="0" w:line="9" w:lineRule="exact"/>
        <w:rPr>
          <w:rFonts w:ascii="Times New Roman" w:cs="Times New Roman" w:eastAsia="Times New Roman" w:hAnsi="Times New Roman"/>
          <w:sz w:val="18"/>
          <w:szCs w:val="18"/>
          <w:u w:val="single" w:color="auto"/>
          <w:color w:val="0000EE"/>
        </w:rPr>
      </w:pPr>
    </w:p>
    <w:p>
      <w:pPr>
        <w:ind w:left="16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10.51(25)</w:t>
      </w:r>
      <w:r>
        <w:rPr>
          <w:sz w:val="20"/>
          <w:szCs w:val="20"/>
          <w:color w:val="auto"/>
        </w:rPr>
        <w:tab/>
      </w:r>
      <w:hyperlink r:id="rId209">
        <w:r>
          <w:rPr>
            <w:rFonts w:ascii="Times New Roman" w:cs="Times New Roman" w:eastAsia="Times New Roman" w:hAnsi="Times New Roman"/>
            <w:sz w:val="17"/>
            <w:szCs w:val="17"/>
            <w:u w:val="single" w:color="auto"/>
            <w:color w:val="0000EE"/>
          </w:rPr>
          <w:t>Form of Seller and Sponsor Member Support Agreement</w:t>
        </w:r>
      </w:hyperlink>
    </w:p>
    <w:p>
      <w:pPr>
        <w:spacing w:after="0" w:line="9" w:lineRule="exact"/>
        <w:rPr>
          <w:rFonts w:ascii="Times New Roman" w:cs="Times New Roman" w:eastAsia="Times New Roman" w:hAnsi="Times New Roman"/>
          <w:sz w:val="18"/>
          <w:szCs w:val="18"/>
          <w:u w:val="single" w:color="auto"/>
          <w:color w:val="0000EE"/>
        </w:rPr>
      </w:pPr>
    </w:p>
    <w:p>
      <w:pPr>
        <w:ind w:left="16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10.52(25)</w:t>
      </w:r>
      <w:r>
        <w:rPr>
          <w:sz w:val="20"/>
          <w:szCs w:val="20"/>
          <w:color w:val="auto"/>
        </w:rPr>
        <w:tab/>
      </w:r>
      <w:hyperlink r:id="rId210">
        <w:r>
          <w:rPr>
            <w:rFonts w:ascii="Times New Roman" w:cs="Times New Roman" w:eastAsia="Times New Roman" w:hAnsi="Times New Roman"/>
            <w:sz w:val="17"/>
            <w:szCs w:val="17"/>
            <w:u w:val="single" w:color="auto"/>
            <w:color w:val="0000EE"/>
          </w:rPr>
          <w:t>Form of Joinder and Lock-Up Agreement</w:t>
        </w:r>
      </w:hyperlink>
    </w:p>
    <w:p>
      <w:pPr>
        <w:spacing w:after="0" w:line="9" w:lineRule="exact"/>
        <w:rPr>
          <w:rFonts w:ascii="Times New Roman" w:cs="Times New Roman" w:eastAsia="Times New Roman" w:hAnsi="Times New Roman"/>
          <w:sz w:val="18"/>
          <w:szCs w:val="18"/>
          <w:u w:val="single" w:color="auto"/>
          <w:color w:val="0000EE"/>
        </w:rPr>
      </w:pPr>
    </w:p>
    <w:p>
      <w:pPr>
        <w:ind w:left="1200" w:right="319" w:hanging="1026"/>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10.53(25)</w:t>
      </w:r>
      <w:r>
        <w:rPr>
          <w:sz w:val="20"/>
          <w:szCs w:val="20"/>
          <w:color w:val="auto"/>
        </w:rPr>
        <w:tab/>
      </w:r>
      <w:hyperlink r:id="rId211">
        <w:r>
          <w:rPr>
            <w:rFonts w:ascii="Times New Roman" w:cs="Times New Roman" w:eastAsia="Times New Roman" w:hAnsi="Times New Roman"/>
            <w:sz w:val="18"/>
            <w:szCs w:val="18"/>
            <w:u w:val="single" w:color="auto"/>
            <w:color w:val="0000EE"/>
          </w:rPr>
          <w:t>Shareholder’s Agreement, dated as of November 18, 2024, by and among the Company and the Sponsor</w:t>
        </w:r>
      </w:hyperlink>
      <w:r>
        <w:rPr>
          <w:rFonts w:ascii="Times New Roman" w:cs="Times New Roman" w:eastAsia="Times New Roman" w:hAnsi="Times New Roman"/>
          <w:sz w:val="18"/>
          <w:szCs w:val="18"/>
          <w:u w:val="single" w:color="auto"/>
          <w:color w:val="0000EE"/>
        </w:rPr>
        <w:t xml:space="preserve"> </w:t>
      </w:r>
      <w:hyperlink r:id="rId211">
        <w:r>
          <w:rPr>
            <w:rFonts w:ascii="Times New Roman" w:cs="Times New Roman" w:eastAsia="Times New Roman" w:hAnsi="Times New Roman"/>
            <w:sz w:val="18"/>
            <w:szCs w:val="18"/>
            <w:u w:val="single" w:color="auto"/>
            <w:color w:val="0000EE"/>
          </w:rPr>
          <w:t>Members</w:t>
        </w:r>
      </w:hyperlink>
    </w:p>
    <w:p>
      <w:pPr>
        <w:spacing w:after="0" w:line="1" w:lineRule="exact"/>
        <w:rPr>
          <w:sz w:val="20"/>
          <w:szCs w:val="20"/>
          <w:color w:val="auto"/>
        </w:rPr>
      </w:pPr>
    </w:p>
    <w:p>
      <w:pPr>
        <w:ind w:left="1200" w:hanging="769"/>
        <w:spacing w:after="0"/>
        <w:tabs>
          <w:tab w:leader="none" w:pos="1200" w:val="left"/>
        </w:tabs>
        <w:numPr>
          <w:ilvl w:val="0"/>
          <w:numId w:val="72"/>
        </w:numPr>
        <w:rPr>
          <w:rFonts w:ascii="Times New Roman" w:cs="Times New Roman" w:eastAsia="Times New Roman" w:hAnsi="Times New Roman"/>
          <w:sz w:val="18"/>
          <w:szCs w:val="18"/>
          <w:u w:val="single" w:color="auto"/>
          <w:color w:val="0000EE"/>
        </w:rPr>
      </w:pPr>
      <w:hyperlink r:id="rId212">
        <w:r>
          <w:rPr>
            <w:rFonts w:ascii="Times New Roman" w:cs="Times New Roman" w:eastAsia="Times New Roman" w:hAnsi="Times New Roman"/>
            <w:sz w:val="18"/>
            <w:szCs w:val="18"/>
            <w:u w:val="single" w:color="auto"/>
            <w:color w:val="0000EE"/>
          </w:rPr>
          <w:t>Insider Trading Policy</w:t>
        </w:r>
      </w:hyperlink>
    </w:p>
    <w:p>
      <w:pPr>
        <w:spacing w:after="0" w:line="9" w:lineRule="exact"/>
        <w:rPr>
          <w:sz w:val="20"/>
          <w:szCs w:val="20"/>
          <w:color w:val="auto"/>
        </w:rPr>
      </w:pPr>
    </w:p>
    <w:p>
      <w:pPr>
        <w:ind w:left="360"/>
        <w:spacing w:after="0"/>
        <w:tabs>
          <w:tab w:leader="none" w:pos="11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Subsidiaries of AeroVironment, Inc.</w:t>
      </w:r>
    </w:p>
    <w:p>
      <w:pPr>
        <w:spacing w:after="0" w:line="9" w:lineRule="exact"/>
        <w:rPr>
          <w:sz w:val="20"/>
          <w:szCs w:val="20"/>
          <w:color w:val="auto"/>
        </w:rPr>
      </w:pPr>
    </w:p>
    <w:p>
      <w:pPr>
        <w:ind w:left="360"/>
        <w:spacing w:after="0"/>
        <w:tabs>
          <w:tab w:leader="none" w:pos="11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Deloitte &amp; Touche LLP, independent registered public accounting firm</w:t>
      </w:r>
    </w:p>
    <w:p>
      <w:pPr>
        <w:spacing w:after="0" w:line="9" w:lineRule="exact"/>
        <w:rPr>
          <w:sz w:val="20"/>
          <w:szCs w:val="20"/>
          <w:color w:val="auto"/>
        </w:rPr>
      </w:pPr>
    </w:p>
    <w:p>
      <w:pPr>
        <w:ind w:left="360"/>
        <w:spacing w:after="0"/>
        <w:tabs>
          <w:tab w:leader="none" w:pos="11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(incorporated by reference to the signature page of this Annual Report)</w:t>
      </w:r>
    </w:p>
    <w:p>
      <w:pPr>
        <w:spacing w:after="0" w:line="9" w:lineRule="exact"/>
        <w:rPr>
          <w:sz w:val="20"/>
          <w:szCs w:val="20"/>
          <w:color w:val="auto"/>
        </w:rPr>
      </w:pPr>
    </w:p>
    <w:p>
      <w:pPr>
        <w:ind w:left="360"/>
        <w:spacing w:after="0"/>
        <w:tabs>
          <w:tab w:leader="none" w:pos="11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Pursuant to Rule 13a-14(a) or Rule 15d-14(a) of the Securities Exchange Act of 1934</w:t>
      </w:r>
    </w:p>
    <w:p>
      <w:pPr>
        <w:spacing w:after="0" w:line="9" w:lineRule="exact"/>
        <w:rPr>
          <w:sz w:val="20"/>
          <w:szCs w:val="20"/>
          <w:color w:val="auto"/>
        </w:rPr>
      </w:pPr>
    </w:p>
    <w:p>
      <w:pPr>
        <w:ind w:left="360"/>
        <w:spacing w:after="0"/>
        <w:tabs>
          <w:tab w:leader="none" w:pos="11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Pursuant to Rule 13a-14(a) or Rule 15d-14(a) of the Securities Exchange Act of 1934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6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32.1</w:t>
            </w: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1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3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160" w:type="dxa"/>
            <w:vAlign w:val="bottom"/>
            <w:vMerge w:val="continue"/>
          </w:tcPr>
          <w:p>
            <w:pPr>
              <w:spacing w:after="0"/>
              <w:rPr>
                <w:sz w:val="12"/>
                <w:szCs w:val="12"/>
                <w:color w:val="auto"/>
              </w:rPr>
            </w:pPr>
          </w:p>
        </w:tc>
        <w:tc>
          <w:tcPr>
            <w:tcW w:w="13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2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40" w:type="dxa"/>
            <w:vAlign w:val="bottom"/>
            <w:tcBorders>
              <w:bottom w:val="single" w:sz="8" w:color="auto"/>
            </w:tcBorders>
            <w:vMerge w:val="continue"/>
          </w:tcPr>
          <w:p>
            <w:pPr>
              <w:spacing w:after="0"/>
              <w:rPr>
                <w:sz w:val="15"/>
                <w:szCs w:val="15"/>
                <w:color w:val="auto"/>
              </w:rPr>
            </w:pPr>
          </w:p>
        </w:tc>
        <w:tc>
          <w:tcPr>
            <w:tcW w:w="64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tcPr>
          <w:p>
            <w:pPr>
              <w:jc w:val="right"/>
              <w:ind w:right="354"/>
              <w:spacing w:after="0" w:line="169" w:lineRule="exact"/>
              <w:rPr>
                <w:sz w:val="20"/>
                <w:szCs w:val="20"/>
                <w:color w:val="auto"/>
              </w:rPr>
            </w:pPr>
            <w:r>
              <w:rPr>
                <w:rFonts w:ascii="Times New Roman" w:cs="Times New Roman" w:eastAsia="Times New Roman" w:hAnsi="Times New Roman"/>
                <w:sz w:val="18"/>
                <w:szCs w:val="18"/>
                <w:color w:val="auto"/>
              </w:rPr>
              <w:t>97(23)</w:t>
            </w:r>
          </w:p>
        </w:tc>
        <w:tc>
          <w:tcPr>
            <w:tcW w:w="7760" w:type="dxa"/>
            <w:vAlign w:val="bottom"/>
            <w:gridSpan w:val="4"/>
          </w:tcPr>
          <w:p>
            <w:pPr>
              <w:spacing w:after="0" w:line="169"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Nasdaq Rule 5608 Equity Incentive Compensation Recovery Policy</w:t>
              </w:r>
            </w:hyperlink>
          </w:p>
        </w:tc>
        <w:tc>
          <w:tcPr>
            <w:tcW w:w="0" w:type="dxa"/>
            <w:vAlign w:val="bottom"/>
          </w:tcPr>
          <w:p>
            <w:pPr>
              <w:spacing w:after="0"/>
              <w:rPr>
                <w:sz w:val="1"/>
                <w:szCs w:val="1"/>
                <w:color w:val="auto"/>
              </w:rPr>
            </w:pPr>
          </w:p>
        </w:tc>
      </w:tr>
      <w:tr>
        <w:trPr>
          <w:trHeight w:val="218"/>
        </w:trPr>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9"/>
              </w:rPr>
              <w:t>101.INS</w:t>
            </w:r>
          </w:p>
        </w:tc>
        <w:tc>
          <w:tcPr>
            <w:tcW w:w="48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101.SCH</w:t>
            </w: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101.CAL</w:t>
            </w: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7"/>
              </w:rPr>
              <w:t>101.DEF</w:t>
            </w: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101.LAB</w:t>
            </w: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34"/>
        </w:trPr>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9"/>
              </w:rPr>
              <w:t>101.PRE</w:t>
            </w: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ind w:left="1200" w:hanging="814"/>
        <w:spacing w:after="0"/>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00" w:right="559" w:hanging="656"/>
        <w:spacing w:after="0" w:line="261"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Registration Statement on Form S-1 (File No. 333-137658).</w:t>
      </w:r>
    </w:p>
    <w:p>
      <w:pPr>
        <w:ind w:left="700" w:right="41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24, 2020 (File No. 001-33261).</w:t>
      </w:r>
    </w:p>
    <w:p>
      <w:pPr>
        <w:ind w:left="700" w:right="1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 K filed on June 29, 2016 (File No. 001 33261).</w:t>
      </w:r>
    </w:p>
    <w:p>
      <w:pPr>
        <w:ind w:left="700" w:right="1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to the Company’s Current Report on Form 8-K filed on October 5, 2011 (File No. 001-33261).</w:t>
      </w:r>
    </w:p>
    <w:p>
      <w:pPr>
        <w:ind w:left="700" w:right="39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28, 2017 (File No. 001-33261).</w:t>
      </w:r>
    </w:p>
    <w:p>
      <w:pPr>
        <w:ind w:left="700" w:right="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July 28, 2010 (File No. 001-33261).</w:t>
      </w:r>
    </w:p>
    <w:p>
      <w:pPr>
        <w:ind w:left="700" w:right="39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26, 2019 (File No. 001-33261).</w:t>
      </w:r>
    </w:p>
    <w:p>
      <w:pPr>
        <w:ind w:left="700" w:right="5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Registration Statement on Form S-8 filed October 13, 2021 (File No. 333-260227).</w:t>
      </w:r>
    </w:p>
    <w:p>
      <w:pPr>
        <w:ind w:left="700" w:right="39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26, 2008 (File No. 001-33261).</w:t>
      </w:r>
    </w:p>
    <w:p>
      <w:pPr>
        <w:ind w:left="700" w:right="1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5, 2014 (File No. 001-33261).</w:t>
      </w:r>
    </w:p>
    <w:p>
      <w:pPr>
        <w:ind w:left="700" w:right="39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29, 2021 (File No. 001-33261).</w:t>
      </w:r>
    </w:p>
    <w:p>
      <w:pPr>
        <w:ind w:left="700" w:right="8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September 6, 2018 (File No. 001-33261).</w:t>
      </w:r>
    </w:p>
    <w:p>
      <w:pPr>
        <w:ind w:left="700" w:right="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November 30, 2018 (File No. 001 33261).</w:t>
      </w:r>
    </w:p>
    <w:p>
      <w:pPr>
        <w:ind w:left="700" w:right="1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9, 2016 (File No. 001-33261).</w:t>
      </w:r>
    </w:p>
    <w:p>
      <w:pPr>
        <w:ind w:left="700" w:right="17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7, 2018 (File No. 001-33261).</w:t>
      </w:r>
    </w:p>
    <w:p>
      <w:pPr>
        <w:ind w:left="700" w:right="19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4, 2022 (File No. 001-33261).</w:t>
      </w:r>
    </w:p>
    <w:p>
      <w:pPr>
        <w:ind w:left="700" w:right="41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28, 2022 (File No. 001-33261).</w:t>
      </w:r>
    </w:p>
    <w:p>
      <w:pPr>
        <w:ind w:left="700" w:right="11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December 7, 2022 (File No. 001-33261).</w:t>
      </w:r>
    </w:p>
    <w:p>
      <w:pPr>
        <w:ind w:left="700" w:right="419" w:hanging="656"/>
        <w:spacing w:after="0" w:line="25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27, 2023 (File No. 001-33261).</w:t>
      </w:r>
    </w:p>
    <w:p>
      <w:pPr>
        <w:ind w:left="700" w:right="239" w:hanging="656"/>
        <w:spacing w:after="0" w:line="260" w:lineRule="auto"/>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Appendix A to the Company’s Definitive Proxy Statement on Schedule 14A filed August 17, 2023 (File No. 001-33261).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-5564505</wp:posOffset>
            </wp:positionV>
            <wp:extent cx="14141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99" w:hanging="656"/>
        <w:spacing w:after="0" w:line="261"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August 22, 2023 (File No. 001-33261).</w:t>
      </w:r>
    </w:p>
    <w:p>
      <w:pPr>
        <w:ind w:left="700" w:right="119" w:hanging="656"/>
        <w:spacing w:after="0" w:line="25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December 5, 2023 (File No. 001-33261).</w:t>
      </w:r>
    </w:p>
    <w:p>
      <w:pPr>
        <w:ind w:left="700" w:right="419" w:hanging="656"/>
        <w:spacing w:after="0" w:line="25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26, 2024 (File No. 001-33261).</w:t>
      </w:r>
    </w:p>
    <w:p>
      <w:pPr>
        <w:ind w:left="700" w:right="319" w:hanging="656"/>
        <w:spacing w:after="0" w:line="217" w:lineRule="exact"/>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October 3, 2024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ind w:left="700" w:right="319" w:hanging="656"/>
        <w:spacing w:after="0" w:line="216" w:lineRule="exact"/>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November 19, 2024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33261).</w:t>
      </w:r>
    </w:p>
    <w:p>
      <w:pPr>
        <w:ind w:left="700" w:right="119" w:hanging="656"/>
        <w:spacing w:after="0" w:line="249"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December 4, 2024 (File No. 001-33261).</w:t>
      </w:r>
    </w:p>
    <w:p>
      <w:pPr>
        <w:ind w:left="700" w:right="119" w:hanging="656"/>
        <w:spacing w:after="0" w:line="25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April 7, 2025 (File No. 001-33261).</w:t>
      </w:r>
    </w:p>
    <w:p>
      <w:pPr>
        <w:ind w:left="700" w:right="159" w:hanging="656"/>
        <w:spacing w:after="0" w:line="260"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May 1, 2025 (File No. 001-33261).</w:t>
      </w:r>
    </w:p>
    <w:p>
      <w:pPr>
        <w:spacing w:after="0" w:line="181" w:lineRule="exact"/>
        <w:rPr>
          <w:sz w:val="20"/>
          <w:szCs w:val="20"/>
          <w:color w:val="auto"/>
        </w:rPr>
      </w:pPr>
    </w:p>
    <w:p>
      <w:pPr>
        <w:ind w:left="700" w:right="179" w:hanging="656"/>
        <w:spacing w:after="0" w:line="312" w:lineRule="auto"/>
        <w:tabs>
          <w:tab w:leader="none" w:pos="700" w:val="left"/>
        </w:tabs>
        <w:numPr>
          <w:ilvl w:val="0"/>
          <w:numId w:val="7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Pursuant to Items 601(b)(2) and/or 601(b)(10) of Regulation S-K, certain immaterial provisions of the agreement that would likely cause competitive harm to the Company if publicly disclosed have been redacted or omitted.</w:t>
      </w:r>
    </w:p>
    <w:p>
      <w:pPr>
        <w:spacing w:after="0" w:line="140" w:lineRule="exact"/>
        <w:rPr>
          <w:sz w:val="20"/>
          <w:szCs w:val="20"/>
          <w:color w:val="auto"/>
        </w:rPr>
      </w:pPr>
    </w:p>
    <w:p>
      <w:pPr>
        <w:ind w:left="700" w:hanging="656"/>
        <w:spacing w:after="0"/>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5" w:lineRule="exact"/>
        <w:rPr>
          <w:sz w:val="20"/>
          <w:szCs w:val="20"/>
          <w:color w:val="auto"/>
        </w:rPr>
      </w:pPr>
    </w:p>
    <w:p>
      <w:pPr>
        <w:jc w:val="both"/>
        <w:ind w:left="700" w:right="299" w:hanging="656"/>
        <w:spacing w:after="0" w:line="266" w:lineRule="auto"/>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(or similar attachments) to this Exhibit have been omitted in accordance with Items 601(a)(5) and/or 601(b)(2) of Regulation S-K. The Registrant agrees to furnish supplementary a copy of all omitted schedules to the Securities and Exchange Commission on a confidential basis upon request.</w:t>
      </w:r>
    </w:p>
    <w:p>
      <w:pPr>
        <w:spacing w:after="0" w:line="176" w:lineRule="exact"/>
        <w:rPr>
          <w:sz w:val="20"/>
          <w:szCs w:val="20"/>
          <w:color w:val="auto"/>
        </w:rPr>
      </w:pPr>
    </w:p>
    <w:p>
      <w:pPr>
        <w:ind w:left="700" w:right="479" w:hanging="656"/>
        <w:spacing w:after="0" w:line="282" w:lineRule="auto"/>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and Separate Financial Statements of Subsidiaries Not Consolidated and Fifty Percent or Less Owned Persons</w:t>
      </w:r>
    </w:p>
    <w:p>
      <w:pPr>
        <w:spacing w:after="0" w:line="16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16.Form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646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AEROVIRONMENT, INC.</w:t>
            </w:r>
          </w:p>
        </w:tc>
      </w:tr>
      <w:tr>
        <w:trPr>
          <w:trHeight w:val="432"/>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2025</w:t>
            </w:r>
          </w:p>
        </w:tc>
        <w:tc>
          <w:tcPr>
            <w:tcW w:w="2020" w:type="dxa"/>
            <w:vAlign w:val="bottom"/>
          </w:tcPr>
          <w:p>
            <w:pPr>
              <w:spacing w:after="0"/>
              <w:rPr>
                <w:sz w:val="24"/>
                <w:szCs w:val="24"/>
                <w:color w:val="auto"/>
              </w:rPr>
            </w:pPr>
          </w:p>
        </w:tc>
        <w:tc>
          <w:tcPr>
            <w:tcW w:w="4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2"/>
                <w:szCs w:val="12"/>
                <w:color w:val="auto"/>
              </w:rPr>
              <w:t>ahid</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awabi</w:t>
            </w:r>
          </w:p>
        </w:tc>
      </w:tr>
      <w:tr>
        <w:trPr>
          <w:trHeight w:val="191"/>
        </w:trPr>
        <w:tc>
          <w:tcPr>
            <w:tcW w:w="2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By:Wahid Nawabi</w:t>
            </w:r>
          </w:p>
        </w:tc>
      </w:tr>
      <w:tr>
        <w:trPr>
          <w:trHeight w:val="216"/>
        </w:trPr>
        <w:tc>
          <w:tcPr>
            <w:tcW w:w="2460" w:type="dxa"/>
            <w:vAlign w:val="bottom"/>
          </w:tcPr>
          <w:p>
            <w:pPr>
              <w:spacing w:after="0"/>
              <w:rPr>
                <w:sz w:val="18"/>
                <w:szCs w:val="18"/>
                <w:color w:val="auto"/>
              </w:rPr>
            </w:pPr>
          </w:p>
        </w:tc>
        <w:tc>
          <w:tcPr>
            <w:tcW w:w="64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Its: Chief Executive Officer and President</w:t>
            </w:r>
          </w:p>
        </w:tc>
      </w:tr>
      <w:tr>
        <w:trPr>
          <w:trHeight w:val="234"/>
        </w:trPr>
        <w:tc>
          <w:tcPr>
            <w:tcW w:w="2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51"/>
        </w:trPr>
        <w:tc>
          <w:tcPr>
            <w:tcW w:w="2460" w:type="dxa"/>
            <w:vAlign w:val="bottom"/>
          </w:tcPr>
          <w:p>
            <w:pPr>
              <w:spacing w:after="0"/>
              <w:rPr>
                <w:sz w:val="24"/>
                <w:szCs w:val="24"/>
                <w:color w:val="auto"/>
              </w:rPr>
            </w:pPr>
          </w:p>
        </w:tc>
        <w:tc>
          <w:tcPr>
            <w:tcW w:w="64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17"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of the persons whose signature appears below hereby constitutes and appoints Wahid Nawabi and Kevin P. McDonnell, each of them acting individually, as his attorney-in-fact,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 in-fact,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attorney-in-fact and any and all amendments to this Annual Report on Form 10-K.</w:t>
      </w:r>
    </w:p>
    <w:p>
      <w:pPr>
        <w:spacing w:after="0" w:line="111"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320" w:type="dxa"/>
            <w:vAlign w:val="bottom"/>
          </w:tcPr>
          <w:p>
            <w:pPr>
              <w:spacing w:after="0"/>
              <w:rPr>
                <w:sz w:val="18"/>
                <w:szCs w:val="18"/>
                <w:color w:val="auto"/>
              </w:rPr>
            </w:pPr>
          </w:p>
        </w:tc>
        <w:tc>
          <w:tcPr>
            <w:tcW w:w="34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3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3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W</w:t>
            </w:r>
            <w:r>
              <w:rPr>
                <w:rFonts w:ascii="Times New Roman" w:cs="Times New Roman" w:eastAsia="Times New Roman" w:hAnsi="Times New Roman"/>
                <w:sz w:val="10"/>
                <w:szCs w:val="10"/>
                <w:color w:val="auto"/>
              </w:rPr>
              <w:t>ahid</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awabi</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President, Chief</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2025</w:t>
            </w:r>
          </w:p>
        </w:tc>
      </w:tr>
      <w:tr>
        <w:trPr>
          <w:trHeight w:val="188"/>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Wahid Nawabi</w:t>
            </w:r>
          </w:p>
        </w:tc>
        <w:tc>
          <w:tcPr>
            <w:tcW w:w="3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Officer and Chairman</w:t>
            </w:r>
          </w:p>
        </w:tc>
        <w:tc>
          <w:tcPr>
            <w:tcW w:w="1740" w:type="dxa"/>
            <w:vAlign w:val="bottom"/>
          </w:tcPr>
          <w:p>
            <w:pPr>
              <w:spacing w:after="0"/>
              <w:rPr>
                <w:sz w:val="16"/>
                <w:szCs w:val="16"/>
                <w:color w:val="auto"/>
              </w:rPr>
            </w:pPr>
          </w:p>
        </w:tc>
      </w:tr>
      <w:tr>
        <w:trPr>
          <w:trHeight w:val="210"/>
        </w:trPr>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740" w:type="dxa"/>
            <w:vAlign w:val="bottom"/>
          </w:tcPr>
          <w:p>
            <w:pPr>
              <w:spacing w:after="0"/>
              <w:rPr>
                <w:sz w:val="18"/>
                <w:szCs w:val="18"/>
                <w:color w:val="auto"/>
              </w:rPr>
            </w:pPr>
          </w:p>
        </w:tc>
      </w:tr>
      <w:tr>
        <w:trPr>
          <w:trHeight w:val="324"/>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K</w:t>
            </w:r>
            <w:r>
              <w:rPr>
                <w:rFonts w:ascii="Times New Roman" w:cs="Times New Roman" w:eastAsia="Times New Roman" w:hAnsi="Times New Roman"/>
                <w:sz w:val="10"/>
                <w:szCs w:val="10"/>
                <w:color w:val="auto"/>
              </w:rPr>
              <w:t>evin</w:t>
            </w:r>
            <w:r>
              <w:rPr>
                <w:rFonts w:ascii="Times New Roman" w:cs="Times New Roman" w:eastAsia="Times New Roman" w:hAnsi="Times New Roman"/>
                <w:sz w:val="16"/>
                <w:szCs w:val="16"/>
                <w:color w:val="auto"/>
              </w:rPr>
              <w:t xml:space="preserve"> P. M</w:t>
            </w:r>
            <w:r>
              <w:rPr>
                <w:rFonts w:ascii="Times New Roman" w:cs="Times New Roman" w:eastAsia="Times New Roman" w:hAnsi="Times New Roman"/>
                <w:sz w:val="10"/>
                <w:szCs w:val="10"/>
                <w:color w:val="auto"/>
              </w:rPr>
              <w:t>c</w:t>
            </w: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onnell</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Vice President and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2025</w:t>
            </w:r>
          </w:p>
        </w:tc>
      </w:tr>
      <w:tr>
        <w:trPr>
          <w:trHeight w:val="188"/>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Kevin P. McDonnell</w:t>
            </w:r>
          </w:p>
        </w:tc>
        <w:tc>
          <w:tcPr>
            <w:tcW w:w="3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 (Principal</w:t>
            </w:r>
          </w:p>
        </w:tc>
        <w:tc>
          <w:tcPr>
            <w:tcW w:w="1740" w:type="dxa"/>
            <w:vAlign w:val="bottom"/>
          </w:tcPr>
          <w:p>
            <w:pPr>
              <w:spacing w:after="0"/>
              <w:rPr>
                <w:sz w:val="16"/>
                <w:szCs w:val="16"/>
                <w:color w:val="auto"/>
              </w:rPr>
            </w:pPr>
          </w:p>
        </w:tc>
      </w:tr>
      <w:tr>
        <w:trPr>
          <w:trHeight w:val="210"/>
        </w:trPr>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Officer)</w:t>
            </w:r>
          </w:p>
        </w:tc>
        <w:tc>
          <w:tcPr>
            <w:tcW w:w="1740" w:type="dxa"/>
            <w:vAlign w:val="bottom"/>
          </w:tcPr>
          <w:p>
            <w:pPr>
              <w:spacing w:after="0"/>
              <w:rPr>
                <w:sz w:val="18"/>
                <w:szCs w:val="18"/>
                <w:color w:val="auto"/>
              </w:rPr>
            </w:pPr>
          </w:p>
        </w:tc>
      </w:tr>
      <w:tr>
        <w:trPr>
          <w:trHeight w:val="324"/>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w:t>
            </w:r>
            <w:r>
              <w:rPr>
                <w:rFonts w:ascii="Times New Roman" w:cs="Times New Roman" w:eastAsia="Times New Roman" w:hAnsi="Times New Roman"/>
                <w:sz w:val="10"/>
                <w:szCs w:val="10"/>
                <w:color w:val="auto"/>
              </w:rPr>
              <w:t>rian</w:t>
            </w:r>
            <w:r>
              <w:rPr>
                <w:rFonts w:ascii="Times New Roman" w:cs="Times New Roman" w:eastAsia="Times New Roman" w:hAnsi="Times New Roman"/>
                <w:sz w:val="16"/>
                <w:szCs w:val="16"/>
                <w:color w:val="auto"/>
              </w:rPr>
              <w:t xml:space="preserve"> C. S</w:t>
            </w:r>
            <w:r>
              <w:rPr>
                <w:rFonts w:ascii="Times New Roman" w:cs="Times New Roman" w:eastAsia="Times New Roman" w:hAnsi="Times New Roman"/>
                <w:sz w:val="10"/>
                <w:szCs w:val="10"/>
                <w:color w:val="auto"/>
              </w:rPr>
              <w:t>hackley</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 and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2025</w:t>
            </w:r>
          </w:p>
        </w:tc>
      </w:tr>
      <w:tr>
        <w:trPr>
          <w:trHeight w:val="188"/>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Brian C. Shackley</w:t>
            </w:r>
          </w:p>
        </w:tc>
        <w:tc>
          <w:tcPr>
            <w:tcW w:w="3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Accounting Officer (Principal</w:t>
            </w:r>
          </w:p>
        </w:tc>
        <w:tc>
          <w:tcPr>
            <w:tcW w:w="1740" w:type="dxa"/>
            <w:vAlign w:val="bottom"/>
          </w:tcPr>
          <w:p>
            <w:pPr>
              <w:spacing w:after="0"/>
              <w:rPr>
                <w:sz w:val="16"/>
                <w:szCs w:val="16"/>
                <w:color w:val="auto"/>
              </w:rPr>
            </w:pPr>
          </w:p>
        </w:tc>
      </w:tr>
      <w:tr>
        <w:trPr>
          <w:trHeight w:val="210"/>
        </w:trPr>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Officer)</w:t>
            </w:r>
          </w:p>
        </w:tc>
        <w:tc>
          <w:tcPr>
            <w:tcW w:w="1740" w:type="dxa"/>
            <w:vAlign w:val="bottom"/>
          </w:tcPr>
          <w:p>
            <w:pPr>
              <w:spacing w:after="0"/>
              <w:rPr>
                <w:sz w:val="18"/>
                <w:szCs w:val="18"/>
                <w:color w:val="auto"/>
              </w:rPr>
            </w:pPr>
          </w:p>
        </w:tc>
      </w:tr>
      <w:tr>
        <w:trPr>
          <w:trHeight w:val="327"/>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w:t>
            </w:r>
            <w:r>
              <w:rPr>
                <w:rFonts w:ascii="Times New Roman" w:cs="Times New Roman" w:eastAsia="Times New Roman" w:hAnsi="Times New Roman"/>
                <w:sz w:val="10"/>
                <w:szCs w:val="10"/>
                <w:color w:val="auto"/>
              </w:rPr>
              <w:t>dward</w:t>
            </w:r>
            <w:r>
              <w:rPr>
                <w:rFonts w:ascii="Times New Roman" w:cs="Times New Roman" w:eastAsia="Times New Roman" w:hAnsi="Times New Roman"/>
                <w:sz w:val="16"/>
                <w:szCs w:val="16"/>
                <w:color w:val="auto"/>
              </w:rPr>
              <w:t xml:space="preserve"> R. M</w:t>
            </w:r>
            <w:r>
              <w:rPr>
                <w:rFonts w:ascii="Times New Roman" w:cs="Times New Roman" w:eastAsia="Times New Roman" w:hAnsi="Times New Roman"/>
                <w:sz w:val="10"/>
                <w:szCs w:val="10"/>
                <w:color w:val="auto"/>
              </w:rPr>
              <w:t>uller</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2025</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Edward R. Muller</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w:t>
            </w:r>
            <w:r>
              <w:rPr>
                <w:rFonts w:ascii="Times New Roman" w:cs="Times New Roman" w:eastAsia="Times New Roman" w:hAnsi="Times New Roman"/>
                <w:sz w:val="10"/>
                <w:szCs w:val="10"/>
                <w:color w:val="auto"/>
              </w:rPr>
              <w:t>indy</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ewis</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2025</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Cindy Lewis</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w:t>
            </w:r>
            <w:r>
              <w:rPr>
                <w:rFonts w:ascii="Times New Roman" w:cs="Times New Roman" w:eastAsia="Times New Roman" w:hAnsi="Times New Roman"/>
                <w:sz w:val="10"/>
                <w:szCs w:val="10"/>
                <w:color w:val="auto"/>
              </w:rPr>
              <w:t>tephen</w:t>
            </w:r>
            <w:r>
              <w:rPr>
                <w:rFonts w:ascii="Times New Roman" w:cs="Times New Roman" w:eastAsia="Times New Roman" w:hAnsi="Times New Roman"/>
                <w:sz w:val="16"/>
                <w:szCs w:val="16"/>
                <w:color w:val="auto"/>
              </w:rPr>
              <w:t xml:space="preserve"> F. P</w:t>
            </w:r>
            <w:r>
              <w:rPr>
                <w:rFonts w:ascii="Times New Roman" w:cs="Times New Roman" w:eastAsia="Times New Roman" w:hAnsi="Times New Roman"/>
                <w:sz w:val="10"/>
                <w:szCs w:val="10"/>
                <w:color w:val="auto"/>
              </w:rPr>
              <w:t>age</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2025</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Stephen F. Page</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w:t>
            </w:r>
            <w:r>
              <w:rPr>
                <w:rFonts w:ascii="Times New Roman" w:cs="Times New Roman" w:eastAsia="Times New Roman" w:hAnsi="Times New Roman"/>
                <w:sz w:val="10"/>
                <w:szCs w:val="10"/>
                <w:color w:val="auto"/>
              </w:rPr>
              <w:t>ary</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0"/>
                <w:szCs w:val="10"/>
                <w:color w:val="auto"/>
              </w:rPr>
              <w:t>eth</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ong</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2025</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Mary Beth Long</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w:t>
            </w:r>
            <w:r>
              <w:rPr>
                <w:rFonts w:ascii="Times New Roman" w:cs="Times New Roman" w:eastAsia="Times New Roman" w:hAnsi="Times New Roman"/>
                <w:sz w:val="10"/>
                <w:szCs w:val="10"/>
                <w:color w:val="auto"/>
              </w:rPr>
              <w:t>oseph</w:t>
            </w:r>
            <w:r>
              <w:rPr>
                <w:rFonts w:ascii="Times New Roman" w:cs="Times New Roman" w:eastAsia="Times New Roman" w:hAnsi="Times New Roman"/>
                <w:sz w:val="16"/>
                <w:szCs w:val="16"/>
                <w:color w:val="auto"/>
              </w:rPr>
              <w:t xml:space="preserve"> L. V</w:t>
            </w:r>
            <w:r>
              <w:rPr>
                <w:rFonts w:ascii="Times New Roman" w:cs="Times New Roman" w:eastAsia="Times New Roman" w:hAnsi="Times New Roman"/>
                <w:sz w:val="10"/>
                <w:szCs w:val="10"/>
                <w:color w:val="auto"/>
              </w:rPr>
              <w:t>otel</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2025</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Joseph L. Votel</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w:t>
            </w:r>
            <w:r>
              <w:rPr>
                <w:rFonts w:ascii="Times New Roman" w:cs="Times New Roman" w:eastAsia="Times New Roman" w:hAnsi="Times New Roman"/>
                <w:sz w:val="10"/>
                <w:szCs w:val="10"/>
                <w:color w:val="auto"/>
              </w:rPr>
              <w:t>harles</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homas</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0"/>
                <w:szCs w:val="10"/>
                <w:color w:val="auto"/>
              </w:rPr>
              <w:t>urbage</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2025</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Charles Thomas Burbage</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P</w:t>
            </w:r>
            <w:r>
              <w:rPr>
                <w:rFonts w:ascii="Times New Roman" w:cs="Times New Roman" w:eastAsia="Times New Roman" w:hAnsi="Times New Roman"/>
                <w:sz w:val="10"/>
                <w:szCs w:val="10"/>
                <w:color w:val="auto"/>
              </w:rPr>
              <w:t>hilip</w:t>
            </w:r>
            <w:r>
              <w:rPr>
                <w:rFonts w:ascii="Times New Roman" w:cs="Times New Roman" w:eastAsia="Times New Roman" w:hAnsi="Times New Roman"/>
                <w:sz w:val="16"/>
                <w:szCs w:val="16"/>
                <w:color w:val="auto"/>
              </w:rPr>
              <w:t xml:space="preserve"> S. D</w:t>
            </w:r>
            <w:r>
              <w:rPr>
                <w:rFonts w:ascii="Times New Roman" w:cs="Times New Roman" w:eastAsia="Times New Roman" w:hAnsi="Times New Roman"/>
                <w:sz w:val="10"/>
                <w:szCs w:val="10"/>
                <w:color w:val="auto"/>
              </w:rPr>
              <w:t>avidson</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2025</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Philip S. Davidson</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w:t>
            </w:r>
            <w:r>
              <w:rPr>
                <w:rFonts w:ascii="Times New Roman" w:cs="Times New Roman" w:eastAsia="Times New Roman" w:hAnsi="Times New Roman"/>
                <w:sz w:val="10"/>
                <w:szCs w:val="10"/>
                <w:color w:val="auto"/>
              </w:rPr>
              <w:t>avid</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0"/>
                <w:szCs w:val="10"/>
                <w:color w:val="auto"/>
              </w:rPr>
              <w:t>odlinger</w:t>
            </w:r>
          </w:p>
        </w:tc>
        <w:tc>
          <w:tcPr>
            <w:tcW w:w="2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Director</w:t>
            </w:r>
          </w:p>
        </w:tc>
        <w:tc>
          <w:tcPr>
            <w:tcW w:w="2740" w:type="dxa"/>
            <w:vAlign w:val="bottom"/>
          </w:tcPr>
          <w:p>
            <w:pPr>
              <w:ind w:left="1840"/>
              <w:spacing w:after="0"/>
              <w:rPr>
                <w:sz w:val="20"/>
                <w:szCs w:val="20"/>
                <w:color w:val="auto"/>
              </w:rPr>
            </w:pPr>
            <w:r>
              <w:rPr>
                <w:rFonts w:ascii="Times New Roman" w:cs="Times New Roman" w:eastAsia="Times New Roman" w:hAnsi="Times New Roman"/>
                <w:sz w:val="16"/>
                <w:szCs w:val="16"/>
                <w:color w:val="auto"/>
                <w:w w:val="98"/>
              </w:rPr>
              <w:t>June 24, 2025</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David Wodlinger</w:t>
            </w:r>
          </w:p>
        </w:tc>
        <w:tc>
          <w:tcPr>
            <w:tcW w:w="27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H</w:t>
            </w:r>
            <w:r>
              <w:rPr>
                <w:rFonts w:ascii="Times New Roman" w:cs="Times New Roman" w:eastAsia="Times New Roman" w:hAnsi="Times New Roman"/>
                <w:sz w:val="10"/>
                <w:szCs w:val="10"/>
                <w:color w:val="auto"/>
              </w:rPr>
              <w:t>enry</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lbers</w:t>
            </w:r>
          </w:p>
        </w:tc>
        <w:tc>
          <w:tcPr>
            <w:tcW w:w="2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Director</w:t>
            </w:r>
          </w:p>
        </w:tc>
        <w:tc>
          <w:tcPr>
            <w:tcW w:w="2740" w:type="dxa"/>
            <w:vAlign w:val="bottom"/>
          </w:tcPr>
          <w:p>
            <w:pPr>
              <w:ind w:left="1840"/>
              <w:spacing w:after="0"/>
              <w:rPr>
                <w:sz w:val="20"/>
                <w:szCs w:val="20"/>
                <w:color w:val="auto"/>
              </w:rPr>
            </w:pPr>
            <w:r>
              <w:rPr>
                <w:rFonts w:ascii="Times New Roman" w:cs="Times New Roman" w:eastAsia="Times New Roman" w:hAnsi="Times New Roman"/>
                <w:sz w:val="16"/>
                <w:szCs w:val="16"/>
                <w:color w:val="auto"/>
                <w:w w:val="98"/>
              </w:rPr>
              <w:t>June 24, 2025</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Henry Albers</w:t>
            </w:r>
          </w:p>
        </w:tc>
        <w:tc>
          <w:tcPr>
            <w:tcW w:w="270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the Company’s Securities Registered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Under Section 12 of the Exchange Act of 1934</w:t>
      </w:r>
    </w:p>
    <w:p>
      <w:pPr>
        <w:spacing w:after="0" w:line="247" w:lineRule="exact"/>
        <w:rPr>
          <w:sz w:val="20"/>
          <w:szCs w:val="20"/>
          <w:color w:val="auto"/>
        </w:rPr>
      </w:pPr>
    </w:p>
    <w:p>
      <w:pPr>
        <w:jc w:val="both"/>
        <w:ind w:left="200" w:right="219" w:firstLine="441"/>
        <w:spacing w:after="0" w:line="258" w:lineRule="auto"/>
        <w:rPr>
          <w:sz w:val="20"/>
          <w:szCs w:val="20"/>
          <w:color w:val="auto"/>
        </w:rPr>
      </w:pPr>
      <w:r>
        <w:rPr>
          <w:rFonts w:ascii="Times New Roman" w:cs="Times New Roman" w:eastAsia="Times New Roman" w:hAnsi="Times New Roman"/>
          <w:sz w:val="18"/>
          <w:szCs w:val="18"/>
          <w:color w:val="auto"/>
        </w:rPr>
        <w:t>As of April 30, 2025, AeroVironment, Inc. (“we”, “our”, or the “Company”), has one class of securities registered under Section 12 of the Securities Exchange Act of 1934, as amended: our common stock, $0.0001 par value per share (“common stock”).</w:t>
      </w:r>
    </w:p>
    <w:p>
      <w:pPr>
        <w:spacing w:after="0" w:line="183" w:lineRule="exact"/>
        <w:rPr>
          <w:sz w:val="20"/>
          <w:szCs w:val="20"/>
          <w:color w:val="auto"/>
        </w:rPr>
      </w:pPr>
    </w:p>
    <w:p>
      <w:pPr>
        <w:jc w:val="both"/>
        <w:ind w:left="200" w:right="219" w:firstLine="441"/>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capital stock is not complete. This description is summarized from, and qualified in its entirety by reference to, our Amended and Restated Certificate of Incorporation, as amended (“Certificate of Incorporation”), our Fifth Amended and Restated Bylaws, as amended (“Bylaws”), which have been publicly filed with the SEC.</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212" w:lineRule="exact"/>
        <w:rPr>
          <w:sz w:val="20"/>
          <w:szCs w:val="20"/>
          <w:color w:val="auto"/>
        </w:rPr>
      </w:pPr>
    </w:p>
    <w:p>
      <w:pPr>
        <w:ind w:left="1020" w:hanging="325"/>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common stock, $0.0001 par value; and</w:t>
      </w:r>
    </w:p>
    <w:p>
      <w:pPr>
        <w:spacing w:after="0" w:line="225" w:lineRule="exact"/>
        <w:rPr>
          <w:rFonts w:ascii="Times New Roman" w:cs="Times New Roman" w:eastAsia="Times New Roman" w:hAnsi="Times New Roman"/>
          <w:sz w:val="18"/>
          <w:szCs w:val="18"/>
          <w:color w:val="auto"/>
        </w:rPr>
      </w:pPr>
    </w:p>
    <w:p>
      <w:pPr>
        <w:ind w:left="1020" w:hanging="325"/>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$0.0001 par value.</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the stockholders, including the election of directors, and do not have cumulative voting rights.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16" w:lineRule="exact"/>
        <w:rPr>
          <w:sz w:val="20"/>
          <w:szCs w:val="20"/>
          <w:color w:val="auto"/>
        </w:rPr>
      </w:pPr>
    </w:p>
    <w:p>
      <w:pPr>
        <w:ind w:left="200" w:right="319" w:firstLine="648"/>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ratably those dividends, if any, as may be declared by our board of directors out of legally available funds.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16" w:lineRule="exact"/>
        <w:rPr>
          <w:sz w:val="20"/>
          <w:szCs w:val="20"/>
          <w:color w:val="auto"/>
        </w:rPr>
      </w:pPr>
    </w:p>
    <w:p>
      <w:pPr>
        <w:ind w:left="200" w:right="259" w:firstLine="648"/>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 up, the holders of common stock will be entitled to share ratably in the net assets legally available for distribution to stockholders after the payment of all of our debts and other liabilities of the Company, subject to the prior rights of any preferred stock then outstanding.</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Rights and Preferences</w:t>
      </w:r>
    </w:p>
    <w:p>
      <w:pPr>
        <w:spacing w:after="0" w:line="229" w:lineRule="exact"/>
        <w:rPr>
          <w:sz w:val="20"/>
          <w:szCs w:val="20"/>
          <w:color w:val="auto"/>
        </w:rPr>
      </w:pPr>
    </w:p>
    <w:p>
      <w:pPr>
        <w:ind w:left="200" w:right="379" w:firstLine="648"/>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or conversion rights or other subscription rights and there are no redemption or sinking funds provisions applicable to the common stock.</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229" w:lineRule="exact"/>
        <w:rPr>
          <w:sz w:val="20"/>
          <w:szCs w:val="20"/>
          <w:color w:val="auto"/>
        </w:rPr>
      </w:pPr>
    </w:p>
    <w:p>
      <w:pPr>
        <w:ind w:left="200" w:right="239" w:firstLine="648"/>
        <w:spacing w:after="0" w:line="252" w:lineRule="auto"/>
        <w:rPr>
          <w:sz w:val="20"/>
          <w:szCs w:val="20"/>
          <w:color w:val="auto"/>
        </w:rPr>
      </w:pPr>
      <w:r>
        <w:rPr>
          <w:rFonts w:ascii="Times New Roman" w:cs="Times New Roman" w:eastAsia="Times New Roman" w:hAnsi="Times New Roman"/>
          <w:sz w:val="18"/>
          <w:szCs w:val="18"/>
          <w:color w:val="auto"/>
        </w:rPr>
        <w:t>Until the election of directors at our 2027 annual meeting of stockholders, our board of directors is divided into three classes. Starting with our 2025 annual meeting of stockholders, the directors whose terms expire at each annual meeting of stockholders will be elected to one-year terms rather than three-year terms. For so long as our board of directors is classified, any director may be removed, for cause, from the board of directors at any meeting of stockholders by not less than 66 2/3% of our outstanding stock. Upon the board of directors becoming declassified at the 2027 annual meeting of stockholders, directors may be removed with or without cause by the affirmative vote of not less than a majority of the total voting power of all outstanding securities of the company then entitled to vote generally in the election of directors, voting together as a single class, in accordance with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639445</wp:posOffset>
            </wp:positionV>
            <wp:extent cx="545211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5" w:name="page136"/>
    <w:bookmarkEnd w:id="13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29" w:lineRule="exact"/>
        <w:rPr>
          <w:sz w:val="20"/>
          <w:szCs w:val="20"/>
          <w:color w:val="auto"/>
        </w:rPr>
      </w:pPr>
    </w:p>
    <w:p>
      <w:pPr>
        <w:ind w:left="200" w:right="219" w:firstLine="648"/>
        <w:spacing w:after="0" w:line="249" w:lineRule="auto"/>
        <w:rPr>
          <w:sz w:val="20"/>
          <w:szCs w:val="20"/>
          <w:color w:val="auto"/>
        </w:rPr>
      </w:pPr>
      <w:r>
        <w:rPr>
          <w:rFonts w:ascii="Times New Roman" w:cs="Times New Roman" w:eastAsia="Times New Roman" w:hAnsi="Times New Roman"/>
          <w:sz w:val="18"/>
          <w:szCs w:val="18"/>
          <w:color w:val="auto"/>
        </w:rPr>
        <w:t>On November 18, 2024, we entered into an Agreement and Plan of Merger (the “Merger Agreement”) with Archangel Merger Sub, LLC, a Delaware limited liability company and our direct wholly owned subsidiary (“Merger Sub”), BlueHalo Financing Topco, LLC, a Delaware limited liability company (“BlueHalo”), and BlueHalo Holdings Parent, LLC, a Delaware limited liability company and sole member of BlueHalo Financing Topco, LLC (“Seller”). In connection with the execution and delivery of the Merger Agreement, Arlington Capital Partners V, L.P. and Arlington Capital Partners VI, L.P. (collectively, the “Sponsor Members”) entered into a shareholder’s agreement (the “Shareholder’s Agreement”) with us pursuant to which the Sponsor Members, among other things, agreed to abide by customary standstill covenants, obligations to vote consistent with the recommendation of our board of directors, and customary employee non-solicit restrictions with respect to the employees of the Company and its subsidiaries. Among other things, we agreed to provide the Sponsor Members with certain board designation rights and customary registration rights, including customary demand and piggyback rights. The Sponsor Members have such designation rights to designate two directors to our board of directors until they and their affiliates cease to collectively hold and own, directly or indirectly, at least 20% of our Adjusted Outstanding Shares, and the Sponsor Members will have such designation rights to designate one director to our board of directors until they and their affiliates cease to collectively hold and own, directly or indirectly, at least 15% but less than 20% of our Adjusted Outstanding Shares. “Adjusted Outstanding Shares” means, at any time, the total number of issued and outstanding shares of our common stock, less the number of shares issued by us within six months of May 1, 2025.</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Our Certificate of Incorporation and Our Bylaws</w:t>
      </w:r>
    </w:p>
    <w:p>
      <w:pPr>
        <w:spacing w:after="0" w:line="225" w:lineRule="exact"/>
        <w:rPr>
          <w:sz w:val="20"/>
          <w:szCs w:val="20"/>
          <w:color w:val="auto"/>
        </w:rPr>
      </w:pPr>
    </w:p>
    <w:p>
      <w:pPr>
        <w:jc w:val="both"/>
        <w:ind w:left="200" w:right="43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ome provisions of the Delaware General Corporation Law (“DGCL”) and our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Bylaws, contain provisions that could make certain transactions more difficult, including an acquisition of us by means of a tender offer, an acquisition of us by means of a proxy contest or otherwise, or the removal of any of our incumbent officers and directors.</w:t>
      </w:r>
    </w:p>
    <w:p>
      <w:pPr>
        <w:spacing w:after="0" w:line="184" w:lineRule="exact"/>
        <w:rPr>
          <w:sz w:val="20"/>
          <w:szCs w:val="20"/>
          <w:color w:val="auto"/>
        </w:rPr>
      </w:pPr>
    </w:p>
    <w:p>
      <w:pPr>
        <w:ind w:left="200" w:right="219" w:firstLine="648"/>
        <w:spacing w:after="0" w:line="256" w:lineRule="auto"/>
        <w:rPr>
          <w:sz w:val="20"/>
          <w:szCs w:val="20"/>
          <w:color w:val="auto"/>
        </w:rPr>
      </w:pPr>
      <w:r>
        <w:rPr>
          <w:rFonts w:ascii="Times New Roman" w:cs="Times New Roman" w:eastAsia="Times New Roman" w:hAnsi="Times New Roman"/>
          <w:sz w:val="18"/>
          <w:szCs w:val="18"/>
          <w:color w:val="auto"/>
        </w:rPr>
        <w:t>These provisions, which are summarized below, are expected to discourage coercive takeover practices and inadequate takeover bids. These provisions also are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2" w:lineRule="exact"/>
        <w:rPr>
          <w:sz w:val="20"/>
          <w:szCs w:val="20"/>
          <w:color w:val="auto"/>
        </w:rPr>
      </w:pPr>
    </w:p>
    <w:p>
      <w:pPr>
        <w:ind w:left="200" w:right="3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Undesignated Preferred Stock. </w:t>
      </w:r>
      <w:r>
        <w:rPr>
          <w:rFonts w:ascii="Times New Roman" w:cs="Times New Roman" w:eastAsia="Times New Roman" w:hAnsi="Times New Roman"/>
          <w:sz w:val="18"/>
          <w:szCs w:val="18"/>
          <w:color w:val="auto"/>
        </w:rPr>
        <w:t>Our board of directors, without further action by our stockholders, may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10,000,000 shares of undesignated preferred stock in one or more series, in each case, in such number and with such voting or other rights, preferences, or privileges as are established by our board of directors with respect thereto, including those superior to our common stock, that could impede the success of any attempt to change the control of the Company. These and other provisions may have the effect of deferring hostile takeovers or delaying changes in control or management of the Company.</w:t>
      </w:r>
    </w:p>
    <w:p>
      <w:pPr>
        <w:spacing w:after="0" w:line="169" w:lineRule="exact"/>
        <w:rPr>
          <w:sz w:val="20"/>
          <w:szCs w:val="20"/>
          <w:color w:val="auto"/>
        </w:rPr>
      </w:pPr>
    </w:p>
    <w:p>
      <w:pPr>
        <w:ind w:left="200" w:right="6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Stockholder Meetings. </w:t>
      </w:r>
      <w:r>
        <w:rPr>
          <w:rFonts w:ascii="Times New Roman" w:cs="Times New Roman" w:eastAsia="Times New Roman" w:hAnsi="Times New Roman"/>
          <w:sz w:val="18"/>
          <w:szCs w:val="18"/>
          <w:color w:val="auto"/>
        </w:rPr>
        <w:t>Our Certificate of Incorporation and Bylaws provide that a special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be called only by our chairman of the board or chief executive officer, or by the chief executive officer or secretary at the request in writing by a majority of our board of directors.</w:t>
      </w:r>
    </w:p>
    <w:p>
      <w:pPr>
        <w:spacing w:after="0" w:line="173" w:lineRule="exact"/>
        <w:rPr>
          <w:sz w:val="20"/>
          <w:szCs w:val="20"/>
          <w:color w:val="auto"/>
        </w:rPr>
      </w:pPr>
    </w:p>
    <w:p>
      <w:pPr>
        <w:ind w:left="200" w:right="3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Our Bylaws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procedures with respect to stockholder proposals and the nomination of candidates for election as directors, other than nominations made by or at the direction of our board of directors or a committee of our board of directors.</w:t>
      </w:r>
    </w:p>
    <w:p>
      <w:pPr>
        <w:spacing w:after="0" w:line="183" w:lineRule="exact"/>
        <w:rPr>
          <w:sz w:val="20"/>
          <w:szCs w:val="20"/>
          <w:color w:val="auto"/>
        </w:rPr>
      </w:pPr>
    </w:p>
    <w:p>
      <w:pPr>
        <w:ind w:left="200" w:right="2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Elimination of Stockholder Action by Written Consent. </w:t>
      </w:r>
      <w:r>
        <w:rPr>
          <w:rFonts w:ascii="Times New Roman" w:cs="Times New Roman" w:eastAsia="Times New Roman" w:hAnsi="Times New Roman"/>
          <w:sz w:val="18"/>
          <w:szCs w:val="18"/>
          <w:color w:val="auto"/>
        </w:rPr>
        <w:t>Our Certificate of Incorporation eliminates the right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to act by written consent without a meeting.</w:t>
      </w:r>
    </w:p>
    <w:p>
      <w:pPr>
        <w:spacing w:after="0" w:line="158" w:lineRule="exact"/>
        <w:rPr>
          <w:sz w:val="20"/>
          <w:szCs w:val="20"/>
          <w:color w:val="auto"/>
        </w:rPr>
      </w:pPr>
    </w:p>
    <w:p>
      <w:pPr>
        <w:ind w:left="200" w:right="339"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Amendments to Certificate of Incorporation and Bylaws. </w:t>
      </w:r>
      <w:r>
        <w:rPr>
          <w:rFonts w:ascii="Times New Roman" w:cs="Times New Roman" w:eastAsia="Times New Roman" w:hAnsi="Times New Roman"/>
          <w:sz w:val="18"/>
          <w:szCs w:val="18"/>
          <w:color w:val="auto"/>
        </w:rPr>
        <w:t>The affirmative vote of holders of at least 66⅔%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outstanding voting stock of the Company, voting together as a single class, is required to amend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36" w:name="page137"/>
    <w:bookmarkEnd w:id="13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45" w:lineRule="exact"/>
        <w:rPr>
          <w:sz w:val="20"/>
          <w:szCs w:val="20"/>
          <w:color w:val="auto"/>
        </w:rPr>
      </w:pPr>
    </w:p>
    <w:p>
      <w:pPr>
        <w:jc w:val="both"/>
        <w:ind w:left="200" w:right="279"/>
        <w:spacing w:after="0" w:line="254" w:lineRule="auto"/>
        <w:rPr>
          <w:sz w:val="20"/>
          <w:szCs w:val="20"/>
          <w:color w:val="auto"/>
        </w:rPr>
      </w:pPr>
      <w:r>
        <w:rPr>
          <w:rFonts w:ascii="Times New Roman" w:cs="Times New Roman" w:eastAsia="Times New Roman" w:hAnsi="Times New Roman"/>
          <w:sz w:val="18"/>
          <w:szCs w:val="18"/>
          <w:color w:val="auto"/>
        </w:rPr>
        <w:t>portions of the Certificate of Incorporation, including the portions regarding the removal of directors for cause by our stockholders. Our board of directors may amend or repeal our Bylaws without any further action by our stockholders. Our stockholders may amend or repeal the Bylaws with, in addition to any other vote required by law, the affirmative vote of the holders of not less than 66⅔% of the total voting power of all outstanding Company securities then entitled to vote generally in the election of directors, voting together as a single class.</w:t>
      </w:r>
    </w:p>
    <w:p>
      <w:pPr>
        <w:spacing w:after="0" w:line="185" w:lineRule="exact"/>
        <w:rPr>
          <w:sz w:val="20"/>
          <w:szCs w:val="20"/>
          <w:color w:val="auto"/>
        </w:rPr>
      </w:pPr>
    </w:p>
    <w:p>
      <w:pPr>
        <w:ind w:left="200" w:right="4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subject to the provisions of Section 203 of the DGCL.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exceptions, Section 203 prohibits persons deemed “interested stockholders” from engaging, under certain circumstances, in a “business combination” with a publicly held Delaware corporation for three years following the date these persons become interested stockholders, unless:</w:t>
      </w:r>
    </w:p>
    <w:p>
      <w:pPr>
        <w:spacing w:after="0" w:line="168" w:lineRule="exact"/>
        <w:rPr>
          <w:sz w:val="20"/>
          <w:szCs w:val="20"/>
          <w:color w:val="auto"/>
        </w:rPr>
      </w:pPr>
    </w:p>
    <w:p>
      <w:pPr>
        <w:ind w:left="1500" w:right="519" w:hanging="319"/>
        <w:spacing w:after="0" w:line="266" w:lineRule="auto"/>
        <w:tabs>
          <w:tab w:leader="none" w:pos="1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500" w:right="259" w:hanging="319"/>
        <w:spacing w:after="0" w:line="261" w:lineRule="auto"/>
        <w:tabs>
          <w:tab w:leader="none" w:pos="1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stockholder owned at least 85% of the voting stock of the corporation outstanding at the time the transaction commenced, calculated in accordance with the provisions of Section 203 of the DGCL; or</w:t>
      </w:r>
    </w:p>
    <w:p>
      <w:pPr>
        <w:spacing w:after="0" w:line="58" w:lineRule="exact"/>
        <w:rPr>
          <w:rFonts w:ascii="Times New Roman" w:cs="Times New Roman" w:eastAsia="Times New Roman" w:hAnsi="Times New Roman"/>
          <w:sz w:val="18"/>
          <w:szCs w:val="18"/>
          <w:color w:val="auto"/>
        </w:rPr>
      </w:pPr>
    </w:p>
    <w:p>
      <w:pPr>
        <w:ind w:left="1500" w:right="279" w:hanging="319"/>
        <w:spacing w:after="0" w:line="261" w:lineRule="auto"/>
        <w:tabs>
          <w:tab w:leader="none" w:pos="1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the board of directors and authorized at an annual or special meeting of stockholders, and not by written consent, by the affirmative vote of at least 66⅔% of the outstanding voting stock which is not owned by the interested stockholder.</w:t>
      </w:r>
    </w:p>
    <w:p>
      <w:pPr>
        <w:spacing w:after="0" w:line="274" w:lineRule="exact"/>
        <w:rPr>
          <w:sz w:val="20"/>
          <w:szCs w:val="20"/>
          <w:color w:val="auto"/>
        </w:rPr>
      </w:pPr>
    </w:p>
    <w:p>
      <w:pPr>
        <w:ind w:left="200" w:right="239" w:firstLine="648"/>
        <w:spacing w:after="0" w:line="253" w:lineRule="auto"/>
        <w:rPr>
          <w:sz w:val="20"/>
          <w:szCs w:val="20"/>
          <w:color w:val="auto"/>
        </w:rPr>
      </w:pPr>
      <w:r>
        <w:rPr>
          <w:rFonts w:ascii="Times New Roman" w:cs="Times New Roman" w:eastAsia="Times New Roman" w:hAnsi="Times New Roman"/>
          <w:sz w:val="18"/>
          <w:szCs w:val="18"/>
          <w:color w:val="auto"/>
        </w:rPr>
        <w:t>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We also anticipate that Section 203 of the DGCL may also discourage attempts that might result in a premium over the market price for the shares of capital stock held by stockholders.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trading symbol “AVAV.”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523240</wp:posOffset>
            </wp:positionV>
            <wp:extent cx="545211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37" w:name="page138"/>
    <w:bookmarkEnd w:id="137"/>
    <w:p>
      <w:pPr>
        <w:ind w:left="80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Subsidiaries of AeroVironment, Inc. as of June 24, 2025</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422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Arcturus UAV, Inc.</w:t>
            </w:r>
          </w:p>
        </w:tc>
        <w:tc>
          <w:tcPr>
            <w:tcW w:w="200" w:type="dxa"/>
            <w:vAlign w:val="bottom"/>
            <w:vMerge w:val="continue"/>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Telerob Gesellschaft für Fernhantierungstechnik mbH</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03"/>
        </w:trPr>
        <w:tc>
          <w:tcPr>
            <w:tcW w:w="44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Tomahawk Robotics, Inc.</w:t>
            </w:r>
          </w:p>
        </w:tc>
        <w:tc>
          <w:tcPr>
            <w:tcW w:w="442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AeroVironment U.K.</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Archangel Merger Sub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BlueHalo,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BlueHalo Labs,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 Technologies, Inc.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SRT Aviation and Technical Services, Inc.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03"/>
        </w:trPr>
        <w:tc>
          <w:tcPr>
            <w:tcW w:w="44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Digital Vector Holdings, LLC</w:t>
            </w:r>
          </w:p>
        </w:tc>
        <w:tc>
          <w:tcPr>
            <w:tcW w:w="442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LokiSet,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Virginia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Gradient Zero,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Minitnet,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Vertex Holdings,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JC Information and Services,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Pennsylvania</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Vertex,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3"/>
        </w:trPr>
        <w:tc>
          <w:tcPr>
            <w:tcW w:w="44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Digital Vertex Federal Holdings, LLC</w:t>
            </w:r>
          </w:p>
        </w:tc>
        <w:tc>
          <w:tcPr>
            <w:tcW w:w="442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Vertex Federal,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Vertex International,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Ipsolon Research, Inc.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BlueHalo Innovations,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VideoRay LLC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Pennsylvania</w:t>
            </w:r>
          </w:p>
        </w:tc>
        <w:tc>
          <w:tcPr>
            <w:tcW w:w="0" w:type="dxa"/>
            <w:vAlign w:val="bottom"/>
          </w:tcPr>
          <w:p>
            <w:pPr>
              <w:spacing w:after="0"/>
              <w:rPr>
                <w:sz w:val="1"/>
                <w:szCs w:val="1"/>
                <w:color w:val="auto"/>
              </w:rPr>
            </w:pPr>
          </w:p>
        </w:tc>
      </w:t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VideoRay Europe B.V.</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Other subsidiaries of the Registrant have been omitted from this listing since, considered in the aggregate as a single subsidiary, they would not constitute a significant subsidiary, as defined by Rule 1-02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8" w:name="page139"/>
    <w:bookmarkEnd w:id="138"/>
    <w:p>
      <w:pPr>
        <w:ind w:left="80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Pursuant to 18 U.S.C. Section 1350, as created by Section 906 of the Sarbanes-Oxley Act of 2002, each of the undersigned officers of AeroVironment, Inc. (the “Company”) hereby certifies, to each such officer’s knowledge, that:</w:t>
      </w:r>
    </w:p>
    <w:p>
      <w:pPr>
        <w:spacing w:after="0" w:line="140" w:lineRule="exact"/>
        <w:rPr>
          <w:sz w:val="20"/>
          <w:szCs w:val="20"/>
          <w:color w:val="auto"/>
        </w:rPr>
      </w:pPr>
    </w:p>
    <w:p>
      <w:pPr>
        <w:ind w:left="1340" w:right="199" w:hanging="642"/>
        <w:spacing w:after="0" w:line="266" w:lineRule="auto"/>
        <w:tabs>
          <w:tab w:leader="none" w:pos="1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year ended April 30, 2025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40" w:right="339" w:hanging="642"/>
        <w:spacing w:after="0" w:line="282" w:lineRule="auto"/>
        <w:tabs>
          <w:tab w:leader="none" w:pos="1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24, 2025</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WAHID NAWABI</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Wahid Nawabi</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43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24, 2025</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P. MCDONNELL</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P. McDonnell</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1411"/>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9" w:name="page140"/>
    <w:bookmarkEnd w:id="1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333-140237, 333-178349, 333-260227, and 333-280526 on Form S-8, Registration Statement No. 333-267326 on Form S-3, and Registration Statement No. 333-284651 on Form S-4 of our reports dated June 24, 2025, relating to the financial statements of AeroVironment, Inc. and the effectiveness of AeroVironment Inc.’s internal control over financial reporting appearing in this Annual Report on Form 10-K for the year ended April 30,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0" w:name="page141"/>
    <w:bookmarkEnd w:id="1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spacing w:after="0" w:line="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Wahid Nawabi, certify that:</w:t>
      </w:r>
    </w:p>
    <w:p>
      <w:pPr>
        <w:spacing w:after="0" w:line="225" w:lineRule="exact"/>
        <w:rPr>
          <w:sz w:val="20"/>
          <w:szCs w:val="20"/>
          <w:color w:val="auto"/>
        </w:rPr>
      </w:pPr>
    </w:p>
    <w:p>
      <w:pPr>
        <w:ind w:left="1340" w:hanging="642"/>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AeroVironment, Inc.;</w:t>
      </w:r>
    </w:p>
    <w:p>
      <w:pPr>
        <w:spacing w:after="0" w:line="225" w:lineRule="exact"/>
        <w:rPr>
          <w:rFonts w:ascii="Times New Roman" w:cs="Times New Roman" w:eastAsia="Times New Roman" w:hAnsi="Times New Roman"/>
          <w:sz w:val="18"/>
          <w:szCs w:val="18"/>
          <w:color w:val="auto"/>
        </w:rPr>
      </w:pPr>
    </w:p>
    <w:p>
      <w:pPr>
        <w:ind w:left="60" w:right="279" w:firstLine="638"/>
        <w:spacing w:after="0" w:line="266" w:lineRule="auto"/>
        <w:tabs>
          <w:tab w:leader="none" w:pos="13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0" w:right="99" w:firstLine="638"/>
        <w:spacing w:after="0" w:line="258" w:lineRule="auto"/>
        <w:tabs>
          <w:tab w:leader="none" w:pos="13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60" w:right="259" w:firstLine="638"/>
        <w:spacing w:after="0" w:line="266" w:lineRule="auto"/>
        <w:tabs>
          <w:tab w:leader="none" w:pos="13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99" w:firstLine="646"/>
        <w:spacing w:after="0" w:line="255" w:lineRule="auto"/>
        <w:tabs>
          <w:tab w:leader="none" w:pos="199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700" w:right="159" w:firstLine="646"/>
        <w:spacing w:after="0" w:line="261" w:lineRule="auto"/>
        <w:tabs>
          <w:tab w:leader="none" w:pos="199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700" w:right="79" w:firstLine="646"/>
        <w:spacing w:after="0" w:line="258" w:lineRule="auto"/>
        <w:tabs>
          <w:tab w:leader="none" w:pos="199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jc w:val="both"/>
        <w:ind w:left="700" w:right="239" w:firstLine="646"/>
        <w:spacing w:after="0" w:line="261" w:lineRule="auto"/>
        <w:tabs>
          <w:tab w:leader="none" w:pos="199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299" w:firstLine="638"/>
        <w:spacing w:after="0" w:line="258" w:lineRule="auto"/>
        <w:tabs>
          <w:tab w:leader="none" w:pos="13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82" w:lineRule="exact"/>
        <w:rPr>
          <w:rFonts w:ascii="Times New Roman" w:cs="Times New Roman" w:eastAsia="Times New Roman" w:hAnsi="Times New Roman"/>
          <w:sz w:val="18"/>
          <w:szCs w:val="18"/>
          <w:color w:val="auto"/>
        </w:rPr>
      </w:pPr>
    </w:p>
    <w:p>
      <w:pPr>
        <w:ind w:left="700" w:right="319" w:firstLine="646"/>
        <w:spacing w:after="0" w:line="266" w:lineRule="auto"/>
        <w:tabs>
          <w:tab w:leader="none" w:pos="199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59" w:firstLine="646"/>
        <w:spacing w:after="0" w:line="282" w:lineRule="auto"/>
        <w:tabs>
          <w:tab w:leader="none" w:pos="199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24, 2025</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Wahid Nawabi</w:t>
            </w:r>
          </w:p>
        </w:tc>
      </w:tr>
      <w:tr>
        <w:trPr>
          <w:trHeight w:val="191"/>
        </w:trPr>
        <w:tc>
          <w:tcPr>
            <w:tcW w:w="45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Wahid Nawabi</w:t>
            </w:r>
          </w:p>
        </w:tc>
      </w:tr>
      <w:tr>
        <w:trPr>
          <w:trHeight w:val="234"/>
        </w:trPr>
        <w:tc>
          <w:tcPr>
            <w:tcW w:w="45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979"/>
        </w:trPr>
        <w:tc>
          <w:tcPr>
            <w:tcW w:w="45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1" w:name="page142"/>
    <w:bookmarkEnd w:id="1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spacing w:after="0" w:line="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Kevin P. McDonnell, certify that:</w:t>
      </w:r>
    </w:p>
    <w:p>
      <w:pPr>
        <w:spacing w:after="0" w:line="225" w:lineRule="exact"/>
        <w:rPr>
          <w:sz w:val="20"/>
          <w:szCs w:val="20"/>
          <w:color w:val="auto"/>
        </w:rPr>
      </w:pPr>
    </w:p>
    <w:p>
      <w:pPr>
        <w:ind w:left="1340" w:hanging="642"/>
        <w:spacing w:after="0"/>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AeroVironment, Inc.;</w:t>
      </w:r>
    </w:p>
    <w:p>
      <w:pPr>
        <w:spacing w:after="0" w:line="225" w:lineRule="exact"/>
        <w:rPr>
          <w:rFonts w:ascii="Times New Roman" w:cs="Times New Roman" w:eastAsia="Times New Roman" w:hAnsi="Times New Roman"/>
          <w:sz w:val="18"/>
          <w:szCs w:val="18"/>
          <w:color w:val="auto"/>
        </w:rPr>
      </w:pPr>
    </w:p>
    <w:p>
      <w:pPr>
        <w:ind w:left="60" w:right="279" w:firstLine="638"/>
        <w:spacing w:after="0" w:line="266" w:lineRule="auto"/>
        <w:tabs>
          <w:tab w:leader="none" w:pos="13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0" w:right="99" w:firstLine="638"/>
        <w:spacing w:after="0" w:line="258" w:lineRule="auto"/>
        <w:tabs>
          <w:tab w:leader="none" w:pos="13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60" w:right="259" w:firstLine="638"/>
        <w:spacing w:after="0" w:line="266" w:lineRule="auto"/>
        <w:tabs>
          <w:tab w:leader="none" w:pos="13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99" w:firstLine="646"/>
        <w:spacing w:after="0" w:line="255" w:lineRule="auto"/>
        <w:tabs>
          <w:tab w:leader="none" w:pos="19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700" w:right="159" w:firstLine="646"/>
        <w:spacing w:after="0" w:line="261" w:lineRule="auto"/>
        <w:tabs>
          <w:tab w:leader="none" w:pos="19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700" w:right="79" w:firstLine="646"/>
        <w:spacing w:after="0" w:line="258" w:lineRule="auto"/>
        <w:tabs>
          <w:tab w:leader="none" w:pos="19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jc w:val="both"/>
        <w:ind w:left="700" w:right="239" w:firstLine="646"/>
        <w:spacing w:after="0" w:line="261" w:lineRule="auto"/>
        <w:tabs>
          <w:tab w:leader="none" w:pos="19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299" w:firstLine="638"/>
        <w:spacing w:after="0" w:line="258" w:lineRule="auto"/>
        <w:tabs>
          <w:tab w:leader="none" w:pos="13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82" w:lineRule="exact"/>
        <w:rPr>
          <w:rFonts w:ascii="Times New Roman" w:cs="Times New Roman" w:eastAsia="Times New Roman" w:hAnsi="Times New Roman"/>
          <w:sz w:val="18"/>
          <w:szCs w:val="18"/>
          <w:color w:val="auto"/>
        </w:rPr>
      </w:pPr>
    </w:p>
    <w:p>
      <w:pPr>
        <w:ind w:left="700" w:right="319" w:firstLine="646"/>
        <w:spacing w:after="0" w:line="266" w:lineRule="auto"/>
        <w:tabs>
          <w:tab w:leader="none" w:pos="19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59" w:firstLine="646"/>
        <w:spacing w:after="0" w:line="282" w:lineRule="auto"/>
        <w:tabs>
          <w:tab w:leader="none" w:pos="19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24, 2025</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P. McDonnell</w:t>
            </w:r>
          </w:p>
        </w:tc>
      </w:tr>
      <w:tr>
        <w:trPr>
          <w:trHeight w:val="191"/>
        </w:trPr>
        <w:tc>
          <w:tcPr>
            <w:tcW w:w="45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P. McDonnell</w:t>
            </w:r>
          </w:p>
        </w:tc>
      </w:tr>
      <w:tr>
        <w:trPr>
          <w:trHeight w:val="234"/>
        </w:trPr>
        <w:tc>
          <w:tcPr>
            <w:tcW w:w="45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979"/>
        </w:trPr>
        <w:tc>
          <w:tcPr>
            <w:tcW w:w="45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o"/>
      <w:numFmt w:val="bullet"/>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3"/>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decimal"/>
      <w:start w:val="4"/>
    </w:lvl>
  </w:abstractNum>
  <w:abstractNum w:abstractNumId="41">
    <w:nsid w:val="77AE35EB"/>
    <w:multiLevelType w:val="hybridMultilevel"/>
    <w:lvl w:ilvl="0">
      <w:lvlJc w:val="left"/>
      <w:lvlText w:val="%1."/>
      <w:numFmt w:val="decimal"/>
      <w:start w:val="5"/>
    </w:lvl>
  </w:abstractNum>
  <w:abstractNum w:abstractNumId="42">
    <w:nsid w:val="579BE4F1"/>
    <w:multiLevelType w:val="hybridMultilevel"/>
    <w:lvl w:ilvl="0">
      <w:lvlJc w:val="left"/>
      <w:lvlText w:val="%1."/>
      <w:numFmt w:val="decimal"/>
      <w:start w:val="6"/>
    </w:lvl>
  </w:abstractNum>
  <w:abstractNum w:abstractNumId="43">
    <w:nsid w:val="310C50B3"/>
    <w:multiLevelType w:val="hybridMultilevel"/>
    <w:lvl w:ilvl="0">
      <w:lvlJc w:val="left"/>
      <w:lvlText w:val="%1."/>
      <w:numFmt w:val="decimal"/>
      <w:start w:val="7"/>
    </w:lvl>
  </w:abstractNum>
  <w:abstractNum w:abstractNumId="44">
    <w:nsid w:val="5FF87E05"/>
    <w:multiLevelType w:val="hybridMultilevel"/>
    <w:lvl w:ilvl="0">
      <w:lvlJc w:val="left"/>
      <w:lvlText w:val="%1."/>
      <w:numFmt w:val="decimal"/>
      <w:start w:val="8"/>
    </w:lvl>
  </w:abstractNum>
  <w:abstractNum w:abstractNumId="45">
    <w:nsid w:val="2F305DEF"/>
    <w:multiLevelType w:val="hybridMultilevel"/>
    <w:lvl w:ilvl="0">
      <w:lvlJc w:val="left"/>
      <w:lvlText w:val="%1."/>
      <w:numFmt w:val="decimal"/>
      <w:start w:val="10"/>
    </w:lvl>
  </w:abstractNum>
  <w:abstractNum w:abstractNumId="46">
    <w:nsid w:val="25A70BF7"/>
    <w:multiLevelType w:val="hybridMultilevel"/>
    <w:lvl w:ilvl="0">
      <w:lvlJc w:val="left"/>
      <w:lvlText w:val="%1."/>
      <w:numFmt w:val="decimal"/>
      <w:start w:val="11"/>
    </w:lvl>
  </w:abstractNum>
  <w:abstractNum w:abstractNumId="47">
    <w:nsid w:val="1DBABF00"/>
    <w:multiLevelType w:val="hybridMultilevel"/>
    <w:lvl w:ilvl="0">
      <w:lvlJc w:val="left"/>
      <w:lvlText w:val="%1."/>
      <w:numFmt w:val="decimal"/>
      <w:start w:val="12"/>
    </w:lvl>
  </w:abstractNum>
  <w:abstractNum w:abstractNumId="48">
    <w:nsid w:val="4AD084E9"/>
    <w:multiLevelType w:val="hybridMultilevel"/>
    <w:lvl w:ilvl="0">
      <w:lvlJc w:val="left"/>
      <w:lvlText w:val="%1."/>
      <w:numFmt w:val="decimal"/>
      <w:start w:val="13"/>
    </w:lvl>
  </w:abstractNum>
  <w:abstractNum w:abstractNumId="49">
    <w:nsid w:val="1F48EAA1"/>
    <w:multiLevelType w:val="hybridMultilevel"/>
    <w:lvl w:ilvl="0">
      <w:lvlJc w:val="left"/>
      <w:lvlText w:val="%1."/>
      <w:numFmt w:val="decimal"/>
      <w:start w:val="14"/>
    </w:lvl>
  </w:abstractNum>
  <w:abstractNum w:abstractNumId="50">
    <w:nsid w:val="1381823A"/>
    <w:multiLevelType w:val="hybridMultilevel"/>
    <w:lvl w:ilvl="0">
      <w:lvlJc w:val="left"/>
      <w:lvlText w:val="%1."/>
      <w:numFmt w:val="decimal"/>
      <w:start w:val="15"/>
    </w:lvl>
  </w:abstractNum>
  <w:abstractNum w:abstractNumId="51">
    <w:nsid w:val="5DB70AE5"/>
    <w:multiLevelType w:val="hybridMultilevel"/>
    <w:lvl w:ilvl="0">
      <w:lvlJc w:val="left"/>
      <w:lvlText w:val="%1."/>
      <w:numFmt w:val="decimal"/>
      <w:start w:val="16"/>
    </w:lvl>
  </w:abstractNum>
  <w:abstractNum w:abstractNumId="52">
    <w:nsid w:val="100F8FCA"/>
    <w:multiLevelType w:val="hybridMultilevel"/>
    <w:lvl w:ilvl="0">
      <w:lvlJc w:val="left"/>
      <w:lvlText w:val="%1."/>
      <w:numFmt w:val="decimal"/>
      <w:start w:val="17"/>
    </w:lvl>
  </w:abstractNum>
  <w:abstractNum w:abstractNumId="53">
    <w:nsid w:val="6590700B"/>
    <w:multiLevelType w:val="hybridMultilevel"/>
    <w:lvl w:ilvl="0">
      <w:lvlJc w:val="left"/>
      <w:lvlText w:val="%1."/>
      <w:numFmt w:val="decimal"/>
      <w:start w:val="18"/>
    </w:lvl>
  </w:abstractNum>
  <w:abstractNum w:abstractNumId="54">
    <w:nsid w:val="15014ACB"/>
    <w:multiLevelType w:val="hybridMultilevel"/>
    <w:lvl w:ilvl="0">
      <w:lvlJc w:val="left"/>
      <w:lvlText w:val="%1."/>
      <w:numFmt w:val="decimal"/>
      <w:start w:val="19"/>
    </w:lvl>
  </w:abstractNum>
  <w:abstractNum w:abstractNumId="55">
    <w:nsid w:val="5F5E7FD0"/>
    <w:multiLevelType w:val="hybridMultilevel"/>
    <w:lvl w:ilvl="0">
      <w:lvlJc w:val="left"/>
      <w:lvlText w:val="%1."/>
      <w:numFmt w:val="decimal"/>
      <w:start w:val="20"/>
    </w:lvl>
  </w:abstractNum>
  <w:abstractNum w:abstractNumId="56">
    <w:nsid w:val="98A3148"/>
    <w:multiLevelType w:val="hybridMultilevel"/>
    <w:lvl w:ilvl="0">
      <w:lvlJc w:val="left"/>
      <w:lvlText w:val="%1."/>
      <w:numFmt w:val="decimal"/>
      <w:start w:val="2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1."/>
      <w:numFmt w:val="decimal"/>
      <w:start w:val="23"/>
    </w:lvl>
  </w:abstractNum>
  <w:abstractNum w:abstractNumId="63">
    <w:nsid w:val="5DC79EA8"/>
    <w:multiLevelType w:val="hybridMultilevel"/>
    <w:lvl w:ilvl="0">
      <w:lvlJc w:val="left"/>
      <w:lvlText w:val="%1."/>
      <w:numFmt w:val="decimal"/>
      <w:start w:val="24"/>
    </w:lvl>
  </w:abstractNum>
  <w:abstractNum w:abstractNumId="64">
    <w:nsid w:val="540A471C"/>
    <w:multiLevelType w:val="hybridMultilevel"/>
    <w:lvl w:ilvl="0">
      <w:lvlJc w:val="left"/>
      <w:lvlText w:val="%1."/>
      <w:numFmt w:val="decimal"/>
      <w:start w:val="25"/>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1."/>
      <w:numFmt w:val="decimal"/>
      <w:start w:val="34"/>
    </w:lvl>
  </w:abstractNum>
  <w:abstractNum w:abstractNumId="67">
    <w:nsid w:val="613EFDC5"/>
    <w:multiLevelType w:val="hybridMultilevel"/>
    <w:lvl w:ilvl="0">
      <w:lvlJc w:val="left"/>
      <w:lvlText w:val="(%1)"/>
      <w:numFmt w:val="lowerLetter"/>
      <w:start w:val="1"/>
    </w:lvl>
  </w:abstractNum>
  <w:abstractNum w:abstractNumId="68">
    <w:nsid w:val="BF72B14"/>
    <w:multiLevelType w:val="hybridMultilevel"/>
    <w:lvl w:ilvl="0">
      <w:lvlJc w:val="left"/>
      <w:lvlText w:val="%1."/>
      <w:numFmt w:val="decimal"/>
      <w:start w:val="1"/>
    </w:lvl>
    <w:lvl w:ilvl="1">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1)"/>
      <w:numFmt w:val="lowerLetter"/>
      <w:start w:val="2"/>
    </w:lvl>
  </w:abstractNum>
  <w:abstractNum w:abstractNumId="71">
    <w:nsid w:val="A0382C5"/>
    <w:multiLevelType w:val="hybridMultilevel"/>
    <w:lvl w:ilvl="0">
      <w:lvlJc w:val="left"/>
      <w:lvlText w:val="%1"/>
      <w:numFmt w:val="decimal"/>
      <w:start w:val="19"/>
    </w:lvl>
  </w:abstractNum>
  <w:abstractNum w:abstractNumId="72">
    <w:nsid w:val="8F2B15E"/>
    <w:multiLevelType w:val="hybridMultilevel"/>
    <w:lvl w:ilvl="0">
      <w:lvlJc w:val="left"/>
      <w:lvlText w:val="%1"/>
      <w:numFmt w:val="decimal"/>
      <w:start w:val="1"/>
    </w:lvl>
    <w:lvl w:ilvl="1">
      <w:lvlJc w:val="left"/>
      <w:lvlText w:val="%2"/>
      <w:numFmt w:val="decimal"/>
      <w:start w:val="104"/>
    </w:lvl>
  </w:abstractNum>
  <w:abstractNum w:abstractNumId="73">
    <w:nsid w:val="1A32234B"/>
    <w:multiLevelType w:val="hybridMultilevel"/>
    <w:lvl w:ilvl="0">
      <w:lvlJc w:val="left"/>
      <w:lvlText w:val="(%1)"/>
      <w:numFmt w:val="decimal"/>
      <w:start w:val="1"/>
    </w:lvl>
    <w:lvl w:ilvl="1">
      <w:lvlJc w:val="left"/>
      <w:lvlText w:val="%2"/>
      <w:numFmt w:val="decimal"/>
      <w:start w:val="1"/>
    </w:lvl>
  </w:abstractNum>
  <w:abstractNum w:abstractNumId="74">
    <w:nsid w:val="3B0FD379"/>
    <w:multiLevelType w:val="hybridMultilevel"/>
    <w:lvl w:ilvl="0">
      <w:lvlJc w:val="left"/>
      <w:lvlText w:val="(%1)"/>
      <w:numFmt w:val="decimal"/>
      <w:start w:val="21"/>
    </w:lvl>
  </w:abstractNum>
  <w:abstractNum w:abstractNumId="75">
    <w:nsid w:val="68EB2F63"/>
    <w:multiLevelType w:val="hybridMultilevel"/>
    <w:lvl w:ilvl="0">
      <w:lvlJc w:val="left"/>
      <w:lvlText w:val="ǂ"/>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1)"/>
      <w:numFmt w:val="lowerLetter"/>
      <w:start w:val="3"/>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1)"/>
      <w:numFmt w:val="lowerRoman"/>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1" Type="http://schemas.openxmlformats.org/officeDocument/2006/relationships/image" Target="media/image146.png"/><Relationship Id="rId164" Type="http://schemas.openxmlformats.org/officeDocument/2006/relationships/image" Target="media/image147.png"/><Relationship Id="rId190" Type="http://schemas.openxmlformats.org/officeDocument/2006/relationships/image" Target="media/image148.png"/><Relationship Id="rId192" Type="http://schemas.openxmlformats.org/officeDocument/2006/relationships/image" Target="media/image149.png"/><Relationship Id="rId213" Type="http://schemas.openxmlformats.org/officeDocument/2006/relationships/image" Target="media/image150.png"/><Relationship Id="rId215" Type="http://schemas.openxmlformats.org/officeDocument/2006/relationships/image" Target="media/image151.png"/><Relationship Id="rId216" Type="http://schemas.openxmlformats.org/officeDocument/2006/relationships/image" Target="media/image152.png"/><Relationship Id="rId217" Type="http://schemas.openxmlformats.org/officeDocument/2006/relationships/image" Target="media/image153.png"/><Relationship Id="rId218" Type="http://schemas.openxmlformats.org/officeDocument/2006/relationships/image" Target="media/image154.png"/><Relationship Id="rId219" Type="http://schemas.openxmlformats.org/officeDocument/2006/relationships/image" Target="media/image155.png"/><Relationship Id="rId220" Type="http://schemas.openxmlformats.org/officeDocument/2006/relationships/image" Target="media/image156.png"/><Relationship Id="rId221" Type="http://schemas.openxmlformats.org/officeDocument/2006/relationships/image" Target="media/image157.png"/><Relationship Id="rId222" Type="http://schemas.openxmlformats.org/officeDocument/2006/relationships/image" Target="media/image158.png"/><Relationship Id="rId223" Type="http://schemas.openxmlformats.org/officeDocument/2006/relationships/image" Target="media/image159.png"/><Relationship Id="rId224" Type="http://schemas.openxmlformats.org/officeDocument/2006/relationships/image" Target="media/image160.png"/><Relationship Id="rId225" Type="http://schemas.openxmlformats.org/officeDocument/2006/relationships/image" Target="media/image161.png"/><Relationship Id="rId153" Type="http://schemas.openxmlformats.org/officeDocument/2006/relationships/hyperlink" Target="https://www.sec.gov/Archives/edgar/data/1368622/000110465923094121/tm2324229d1_ex2-1.htm" TargetMode="External"/><Relationship Id="rId154" Type="http://schemas.openxmlformats.org/officeDocument/2006/relationships/hyperlink" Target="https://www.sec.gov/Archives/edgar/data/1368622/000110465924120356/tm2428659d1_ex2-1.htm" TargetMode="External"/><Relationship Id="rId155" Type="http://schemas.openxmlformats.org/officeDocument/2006/relationships/hyperlink" Target="https://www.sec.gov/Archives/edgar/data/1368622/000095015007000008/a28119exv3w1.htm" TargetMode="External"/><Relationship Id="rId156" Type="http://schemas.openxmlformats.org/officeDocument/2006/relationships/hyperlink" Target="https://www.sec.gov/Archives/edgar/data/1368622/000110465924105632/tm2425465d1_ex3-2.htm" TargetMode="External"/><Relationship Id="rId157" Type="http://schemas.openxmlformats.org/officeDocument/2006/relationships/hyperlink" Target="http://www.sec.gov/Archives/edgar/data/1368622/000095013406022859/a22303a3exv4w1.htm" TargetMode="External"/><Relationship Id="rId158" Type="http://schemas.openxmlformats.org/officeDocument/2006/relationships/hyperlink" Target="http://www.sec.gov/Archives/edgar/data/1368622/000155837016006514/avav-20160430ex101443c53.htm" TargetMode="External"/><Relationship Id="rId159" Type="http://schemas.openxmlformats.org/officeDocument/2006/relationships/hyperlink" Target="http://www.sec.gov/Archives/edgar/data/1368622/000095012406007190/a22303a2exv10w8.htm" TargetMode="External"/><Relationship Id="rId160" Type="http://schemas.openxmlformats.org/officeDocument/2006/relationships/hyperlink" Target="http://www.sec.gov/Archives/edgar/data/1368622/000110465911055028/a11-27507_1ex10d1.htm" TargetMode="External"/><Relationship Id="rId162" Type="http://schemas.openxmlformats.org/officeDocument/2006/relationships/hyperlink" Target="http://www.sec.gov/Archives/edgar/data/1368622/000155837017004963/avav-20170430ex1010971ed.htm" TargetMode="External"/><Relationship Id="rId163" Type="http://schemas.openxmlformats.org/officeDocument/2006/relationships/hyperlink" Target="http://www.sec.gov/Archives/edgar/data/1368622/000095012406007190/a22303a2exv10w9.htm" TargetMode="External"/><Relationship Id="rId165" Type="http://schemas.openxmlformats.org/officeDocument/2006/relationships/hyperlink" Target="http://www.sec.gov/Archives/edgar/data/1368622/000095012406007190/a22303a2exv10w10.htm" TargetMode="External"/><Relationship Id="rId166" Type="http://schemas.openxmlformats.org/officeDocument/2006/relationships/hyperlink" Target="http://www.sec.gov/Archives/edgar/data/1368622/000110465910040197/a10-14805_1ex10d1.htm" TargetMode="External"/><Relationship Id="rId167" Type="http://schemas.openxmlformats.org/officeDocument/2006/relationships/hyperlink" Target="http://www.sec.gov/Archives/edgar/data/1368622/000155837019005898/avav-20190430ex101499c35.htm" TargetMode="External"/><Relationship Id="rId168" Type="http://schemas.openxmlformats.org/officeDocument/2006/relationships/hyperlink" Target="http://www.sec.gov/Archives/edgar/data/1368622/000155837019005898/avav-20190430ex1015b5bd9.htm" TargetMode="External"/><Relationship Id="rId169" Type="http://schemas.openxmlformats.org/officeDocument/2006/relationships/hyperlink" Target="http://www.sec.gov/Archives/edgar/data/1368622/000155837019005898/avav-20190430ex1016ff6ff.htm" TargetMode="External"/><Relationship Id="rId170" Type="http://schemas.openxmlformats.org/officeDocument/2006/relationships/hyperlink" Target="http://www.sec.gov/Archives/edgar/data/1368622/000155837019005898/avav-20190430ex1017f5d10.htm" TargetMode="External"/><Relationship Id="rId171" Type="http://schemas.openxmlformats.org/officeDocument/2006/relationships/hyperlink" Target="https://www.sec.gov/Archives/edgar/data/1368622/000110465921125869/tm2129735d1_ex10-1.htm" TargetMode="External"/><Relationship Id="rId172" Type="http://schemas.openxmlformats.org/officeDocument/2006/relationships/hyperlink" Target="https://www.sec.gov/Archives/edgar/data/1368622/000110465921125869/tm2129735d1_ex10-2.htm" TargetMode="External"/><Relationship Id="rId173" Type="http://schemas.openxmlformats.org/officeDocument/2006/relationships/hyperlink" Target="https://www.sec.gov/Archives/edgar/data/1368622/000110465921125869/tm2129735d1_ex10-3.htm" TargetMode="External"/><Relationship Id="rId174" Type="http://schemas.openxmlformats.org/officeDocument/2006/relationships/hyperlink" Target="https://www.sec.gov/Archives/edgar/data/1368622/000110465921125869/tm2129735d1_ex10-4.htm" TargetMode="External"/><Relationship Id="rId175" Type="http://schemas.openxmlformats.org/officeDocument/2006/relationships/hyperlink" Target="https://www.sec.gov/Archives/edgar/data/1368622/000110465921125869/tm2129735d1_ex10-5.htm" TargetMode="External"/><Relationship Id="rId176" Type="http://schemas.openxmlformats.org/officeDocument/2006/relationships/hyperlink" Target="https://www.sec.gov/Archives/edgar/data/1368622/000110465921125869/tm2129735d1_ex10-6.htm" TargetMode="External"/><Relationship Id="rId177" Type="http://schemas.openxmlformats.org/officeDocument/2006/relationships/hyperlink" Target="https://www.sec.gov/Archives/edgar/data/1368622/000155837022010392/avav-20220430xex10d18.htm" TargetMode="External"/><Relationship Id="rId178" Type="http://schemas.openxmlformats.org/officeDocument/2006/relationships/hyperlink" Target="https://www.sec.gov/Archives/edgar/data/1368622/000155837023019483/avav-20231028xex10d1.htm" TargetMode="External"/><Relationship Id="rId179" Type="http://schemas.openxmlformats.org/officeDocument/2006/relationships/hyperlink" Target="http://www.sec.gov/Archives/edgar/data/1368622/000104746908007752/a2186536zex-10_15.htm" TargetMode="External"/><Relationship Id="rId180" Type="http://schemas.openxmlformats.org/officeDocument/2006/relationships/hyperlink" Target="https://www.sec.gov/Archives/edgar/data/1368622/000110465914016020/a14-4402_1ex10d1.htm" TargetMode="External"/><Relationship Id="rId181" Type="http://schemas.openxmlformats.org/officeDocument/2006/relationships/hyperlink" Target="https://www.sec.gov/Archives/edgar/data/1368622/000155837020007720/avav-20200430xex10d58.htm" TargetMode="External"/><Relationship Id="rId182" Type="http://schemas.openxmlformats.org/officeDocument/2006/relationships/hyperlink" Target="https://www.sec.gov/Archives/edgar/data/1368622/000155837024016018/avav-20241026xex10d2.htm" TargetMode="External"/><Relationship Id="rId183" Type="http://schemas.openxmlformats.org/officeDocument/2006/relationships/hyperlink" Target="https://www.sec.gov/Archives/edgar/data/1368622/000110465925032610/tm2511599d1_ex99-1.htm" TargetMode="External"/><Relationship Id="rId184" Type="http://schemas.openxmlformats.org/officeDocument/2006/relationships/hyperlink" Target="http://www.sec.gov/Archives/edgar/data/1368622/000104746908007752/a2186536zex-10_16.htm" TargetMode="External"/><Relationship Id="rId185" Type="http://schemas.openxmlformats.org/officeDocument/2006/relationships/hyperlink" Target="http://www.sec.gov/Archives/edgar/data/1368622/000110465914016020/a14-4402_1ex10d2.htm" TargetMode="External"/><Relationship Id="rId186" Type="http://schemas.openxmlformats.org/officeDocument/2006/relationships/hyperlink" Target="https://www.sec.gov/Archives/edgar/data/1368622/000155837021008684/avav-20210430xex10d66.htm" TargetMode="External"/><Relationship Id="rId187" Type="http://schemas.openxmlformats.org/officeDocument/2006/relationships/hyperlink" Target="http://www.sec.gov/Archives/edgar/data/1368622/000110465914016020/a14-4402_1ex10d3.htm" TargetMode="External"/><Relationship Id="rId188" Type="http://schemas.openxmlformats.org/officeDocument/2006/relationships/hyperlink" Target="https://www.sec.gov/Archives/edgar/data/1368622/000155837021008684/avav-20210430xex10d67.htm" TargetMode="External"/><Relationship Id="rId189" Type="http://schemas.openxmlformats.org/officeDocument/2006/relationships/hyperlink" Target="http://www.sec.gov/Archives/edgar/data/1368622/000155837018005457/avav-20180430ex1024f05cd.htm" TargetMode="External"/><Relationship Id="rId191" Type="http://schemas.openxmlformats.org/officeDocument/2006/relationships/hyperlink" Target="http://www.sec.gov/Archives/edgar/data/1368622/000155837018009506/avav-20181027ex1011ddfd7.htm" TargetMode="External"/><Relationship Id="rId193" Type="http://schemas.openxmlformats.org/officeDocument/2006/relationships/hyperlink" Target="http://www.sec.gov/Archives/edgar/data/1368622/000095015006000038/a22303orexv10w23.htm" TargetMode="External"/><Relationship Id="rId194" Type="http://schemas.openxmlformats.org/officeDocument/2006/relationships/hyperlink" Target="https://www.sec.gov/Archives/edgar/data/1368622/000110465916103402/a16-3826_1ex10d3.htm" TargetMode="External"/><Relationship Id="rId195" Type="http://schemas.openxmlformats.org/officeDocument/2006/relationships/hyperlink" Target="http://www.sec.gov/Archives/edgar/data/1368622/000155837019001518/avav-20190126ex101b87214.htm" TargetMode="External"/><Relationship Id="rId196" Type="http://schemas.openxmlformats.org/officeDocument/2006/relationships/hyperlink" Target="https://www.sec.gov/Archives/edgar/data/1368622/000155837024016018/avav-20241026xex10d3.htm" TargetMode="External"/><Relationship Id="rId197" Type="http://schemas.openxmlformats.org/officeDocument/2006/relationships/hyperlink" Target="https://www.sec.gov/Archives/edgar/data/1368622/000155837024016018/avav-20241026xex10d4.htm" TargetMode="External"/><Relationship Id="rId198" Type="http://schemas.openxmlformats.org/officeDocument/2006/relationships/hyperlink" Target="https://www.sec.gov/Archives/edgar/data/0001368622/000155837021002653/avav-20210130xex10d1.htm" TargetMode="External"/><Relationship Id="rId199" Type="http://schemas.openxmlformats.org/officeDocument/2006/relationships/hyperlink" Target="https://www.sec.gov/Archives/edgar/data/0001368622/000155837021002653/avav-20210130xex10d2.htm" TargetMode="External"/><Relationship Id="rId200" Type="http://schemas.openxmlformats.org/officeDocument/2006/relationships/hyperlink" Target="https://www.sec.gov/Archives/edgar/data/1368622/000155837021002653/avav-20210130xex10d3.htm" TargetMode="External"/><Relationship Id="rId201" Type="http://schemas.openxmlformats.org/officeDocument/2006/relationships/hyperlink" Target="https://www.sec.gov/Archives/edgar/data/1368622/000155837021002653/avav-20210130xex10d4.htm" TargetMode="External"/><Relationship Id="rId202" Type="http://schemas.openxmlformats.org/officeDocument/2006/relationships/hyperlink" Target="https://www.sec.gov/Archives/edgar/data/1368622/000155837022002839/avav-20220129xex10d7.htm" TargetMode="External"/><Relationship Id="rId203" Type="http://schemas.openxmlformats.org/officeDocument/2006/relationships/hyperlink" Target="https://www.sec.gov/Archives/edgar/data/1368622/000155837023011469/avav-20230430xex10d41.htm" TargetMode="External"/><Relationship Id="rId204" Type="http://schemas.openxmlformats.org/officeDocument/2006/relationships/hyperlink" Target="https://www.sec.gov/Archives/edgar/data/1368622/000155837024016018/avav-20241026xex10d1.htm" TargetMode="External"/><Relationship Id="rId205" Type="http://schemas.openxmlformats.org/officeDocument/2006/relationships/hyperlink" Target="https://www.sec.gov/Archives/edgar/data/1368622/000110465925043118/tm2513632d1_ex10-4.htm" TargetMode="External"/><Relationship Id="rId206" Type="http://schemas.openxmlformats.org/officeDocument/2006/relationships/hyperlink" Target="https://www.sec.gov/Archives/edgar/data/1368622/000155837023019483/avav-20231028xex10d2.htm" TargetMode="External"/><Relationship Id="rId207" Type="http://schemas.openxmlformats.org/officeDocument/2006/relationships/hyperlink" Target="https://www.sec.gov/Archives/edgar/data/1368622/000155837021002653/avav-20210130xex10d6.htm" TargetMode="External"/><Relationship Id="rId208" Type="http://schemas.openxmlformats.org/officeDocument/2006/relationships/hyperlink" Target="https://www.sec.gov/Archives/edgar/data/1368622/000110465923092796/tm232516d2-def14a.htm" TargetMode="External"/><Relationship Id="rId209" Type="http://schemas.openxmlformats.org/officeDocument/2006/relationships/hyperlink" Target="https://www.sec.gov/Archives/edgar/data/1368622/000110465924120356/tm2428659d1_ex10-1.htm" TargetMode="External"/><Relationship Id="rId210" Type="http://schemas.openxmlformats.org/officeDocument/2006/relationships/hyperlink" Target="https://www.sec.gov/Archives/edgar/data/1368622/000110465924120356/tm2428659d1_ex10-2.htm" TargetMode="External"/><Relationship Id="rId211" Type="http://schemas.openxmlformats.org/officeDocument/2006/relationships/hyperlink" Target="https://www.sec.gov/Archives/edgar/data/1368622/000110465924120356/tm2428659d1_ex10-3.htm" TargetMode="External"/><Relationship Id="rId212" Type="http://schemas.openxmlformats.org/officeDocument/2006/relationships/hyperlink" Target="https://www.sec.gov/Archives/edgar/data/1368622/000155837024009515/avav-20240430xex19d19.htm" TargetMode="External"/><Relationship Id="rId214" Type="http://schemas.openxmlformats.org/officeDocument/2006/relationships/hyperlink" Target="https://www.sec.gov/Archives/edgar/data/1368622/000155837024009515/avav-20240430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2025-06-25T05:20:40Z</dcterms:created>
  <dcterms:modified xsi:type="dcterms:W3CDTF">2025-06-25T05:20:40Z</dcterms:modified>
</cp:coreProperties>
</file>