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120839.xml.htm"/>
      <w:bookmarkStart w:id="1" w:name="ksform408202026_1208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PAGE STEPHEN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241 18TH STREET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AeroVironment Inc</w:t>
              </w:r>
            </w:hyperlink>
            <w:r>
              <w:rPr/>
              <w:t xml:space="preserve"> [ </w:t>
            </w:r>
            <w:r>
              <w:rPr>
                <w:rFonts w:ascii="Times;serif" w:hAnsi="Times;serif"/>
                <w:color w:val="0000FF"/>
                <w:sz w:val="24"/>
                <w:shd w:fill="FFFFFF" w:val="clear"/>
              </w:rPr>
              <w:t>AVAV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793"/>
        <w:gridCol w:w="446"/>
        <w:gridCol w:w="839"/>
        <w:gridCol w:w="1150"/>
        <w:gridCol w:w="988"/>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2,882</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191.98</w:t>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48,503</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Form 4 was effected pursuant to a Rule 10b5-1 trading plan adopted by the Stephen F. Page Living Trust, on September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the Stephen F. Page Living Trust, of which Mr. Page is the trustee. Mr. Page disclaims beneficial ownership of any securities in which he does not have a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Colby Petersen,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4178" TargetMode="External"/><Relationship Id="rId5" Type="http://schemas.openxmlformats.org/officeDocument/2006/relationships/hyperlink" Target="http://www.sec.gov/cgi-bin/browse-edgar?action=getcompany&amp;CIK=00013686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3381</Characters>
  <CharactersWithSpaces>3939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