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138430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580" w:type="dxa"/>
        <w:tblCellMar>
          <w:top w:w="0" w:type="dxa"/>
          <w:left w:w="0" w:type="dxa"/>
          <w:bottom w:w="0" w:type="dxa"/>
          <w:right w:w="0" w:type="dxa"/>
        </w:tblCellMar>
      </w:tblPr>
      <w:tr>
        <w:trPr>
          <w:trHeight w:val="238"/>
        </w:trPr>
        <w:tc>
          <w:tcPr>
            <w:tcW w:w="31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001-33261</w:t>
            </w:r>
          </w:p>
        </w:tc>
        <w:tc>
          <w:tcPr>
            <w:tcW w:w="294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95-2705790</w:t>
            </w:r>
          </w:p>
        </w:tc>
      </w:tr>
      <w:tr>
        <w:trPr>
          <w:trHeight w:val="191"/>
        </w:trPr>
        <w:tc>
          <w:tcPr>
            <w:tcW w:w="312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04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94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incorporation)</w:t>
            </w:r>
          </w:p>
        </w:tc>
        <w:tc>
          <w:tcPr>
            <w:tcW w:w="4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50"/>
        </w:trPr>
        <w:tc>
          <w:tcPr>
            <w:tcW w:w="3120" w:type="dxa"/>
            <w:vAlign w:val="bottom"/>
          </w:tcPr>
          <w:p>
            <w:pPr>
              <w:spacing w:after="0"/>
              <w:rPr>
                <w:sz w:val="24"/>
                <w:szCs w:val="24"/>
                <w:color w:val="auto"/>
              </w:rPr>
            </w:pPr>
          </w:p>
        </w:tc>
        <w:tc>
          <w:tcPr>
            <w:tcW w:w="4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241 18</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Street South, Suite 650</w:t>
            </w:r>
          </w:p>
        </w:tc>
        <w:tc>
          <w:tcPr>
            <w:tcW w:w="2940" w:type="dxa"/>
            <w:vAlign w:val="bottom"/>
          </w:tcPr>
          <w:p>
            <w:pPr>
              <w:spacing w:after="0"/>
              <w:rPr>
                <w:sz w:val="24"/>
                <w:szCs w:val="24"/>
                <w:color w:val="auto"/>
              </w:rPr>
            </w:pPr>
          </w:p>
        </w:tc>
      </w:tr>
      <w:tr>
        <w:trPr>
          <w:trHeight w:val="220"/>
        </w:trPr>
        <w:tc>
          <w:tcPr>
            <w:tcW w:w="3120" w:type="dxa"/>
            <w:vAlign w:val="bottom"/>
          </w:tcPr>
          <w:p>
            <w:pPr>
              <w:spacing w:after="0"/>
              <w:rPr>
                <w:sz w:val="19"/>
                <w:szCs w:val="19"/>
                <w:color w:val="auto"/>
              </w:rPr>
            </w:pPr>
          </w:p>
        </w:tc>
        <w:tc>
          <w:tcPr>
            <w:tcW w:w="4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Arlington, Virginia 22202</w:t>
            </w:r>
          </w:p>
        </w:tc>
        <w:tc>
          <w:tcPr>
            <w:tcW w:w="294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p>
        </w:tc>
        <w:tc>
          <w:tcPr>
            <w:tcW w:w="4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418-2828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AVAV</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previously disclosed, on May 1, 2025, AeroVironment, Inc. (the “Company”) (a) announced that it closed its acquisition (the “Acquisition”) of BlueHalo Financing Topco, LLC, a Delaware limited liability company (“BlueHalo”) pursuant to the terms of an Agreement and Plan of Merger entered into on November 18, 2024, and (b) drew on a term loan with an initial principal amount of $700.0 million (the “Term Loan”) and drew $225.0 million from its revolving credit facility (the “Revolving Facility”) to settle the existing indebtedness of BlueHalo and to settle transaction expenses at the closing of the Acquisition (collectively with the Term Loan, the “Financing Transactions”).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30, 2025, the Company announced proposed underwritten public offerings of (i) $750.0 million of shares of its common stock (the “Common Stock Offering”) and (ii) $600.0 million aggregate principal amount of convertible senior notes due 2030 (the “Convertible Senior Notes Offering”). The Company intends to use the net proceeds of the offerings to repay indebtedness under the Term Loan, to repay indebtedness under the Revolving Facility, and any remainder for general corporate purposes. The offerings are subject to market and other conditions, and there can be no assurance as to whether or when the offerings may be completed, or as to the actual size or terms of the offerings.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Current Report on Form 8-K is being filed to present pro forma financial information in connection with the Acquisition, the Financing Transactions, the Common Stock Offering and the Convertible Senior Notes Offering.</w:t>
      </w:r>
    </w:p>
    <w:p>
      <w:pPr>
        <w:spacing w:after="0" w:line="162"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Each of the offerings is being made pursuant to a prospectus supplement and an effective registration statement and nothing contained herein shall constitute an offer to sell or the solicitation of an offer to buy any securities in the Common Stock Offering or the Convertible Notes Offering.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giving effect to the Acquisition, the Financing Transactions, the Common Stock Offering and the Convertible Senior Notes Offering, which includes an unaudited pro forma condensed combined balance sheet as of April 30, 2025 and an unaudited pro forma condensed combined statement of income (loss) for the year ended April 30, 2025 is filed as Exhibit 99.1 to this Current Report on Form 8-K and is incorporated herein by reference.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and the accompanying notes included in this Current Report on Form 8-K has been presented for informational purposes only and is not necessarily indicative of the actual financial position or results of operations that the Company would have realized had the companies been combined as of the dates or during the periods presented, nor is it intended to be indicative of any anticipated combined financial position or future results of operations that the Company may achieve after the Acquisition, the Financing Transactions, the Common Stock Offering and the Convertible Senior Notes Offering.</w:t>
      </w:r>
    </w:p>
    <w:p>
      <w:pPr>
        <w:spacing w:after="0" w:line="183"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included as part of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7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0"/>
                <w:szCs w:val="20"/>
                <w:color w:val="auto"/>
              </w:rPr>
            </w:pPr>
          </w:p>
        </w:tc>
        <w:tc>
          <w:tcPr>
            <w:tcW w:w="9120" w:type="dxa"/>
            <w:vAlign w:val="bottom"/>
            <w:tcBorders>
              <w:bottom w:val="single" w:sz="8" w:color="auto"/>
            </w:tcBorders>
            <w:gridSpan w:val="2"/>
          </w:tcPr>
          <w:p>
            <w:pPr>
              <w:ind w:left="4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r>
      <w:tr>
        <w:trPr>
          <w:trHeight w:val="169"/>
        </w:trPr>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center"/>
              <w:ind w:right="700"/>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8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 and related notes.</w:t>
            </w:r>
          </w:p>
        </w:tc>
        <w:tc>
          <w:tcPr>
            <w:tcW w:w="100" w:type="dxa"/>
            <w:vAlign w:val="bottom"/>
          </w:tcPr>
          <w:p>
            <w:pPr>
              <w:spacing w:after="0"/>
              <w:rPr>
                <w:sz w:val="14"/>
                <w:szCs w:val="14"/>
                <w:color w:val="auto"/>
              </w:rPr>
            </w:pPr>
          </w:p>
        </w:tc>
      </w:tr>
      <w:tr>
        <w:trPr>
          <w:trHeight w:val="237"/>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AEROVIRONMENT,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Melissa Brown</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Melissa Brown</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&amp; Compliance Officer and</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AeroVironment, Inc. (“AeroVironment”), Archangel Merger Sub, LLC, a Delaware limited liability company and the Company’s direct wholly owned subsidiary (“Merger Sub”), BlueHalo Financing Topco, LLC, a Delaware limited liability company (“BlueHalo”) and BlueHalo Holdings Parent, LLC, a Delaware limited liability company and sole member of BlueHalo (“Seller”) entered into an Agreement and Plan of Merger (the “Merger Agreement”), which contemplated that Merger Sub would merge with and into BlueHalo, with BlueHalo continuing as a wholly owned subsidiary of AeroVironment. On May 1, 2025 (the “Closing Date”), AeroVironment, Merger Sub, BlueHalo, and Seller completed the transactions outlined in the Merger Agreement (the “Merger”).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AeroVironment drew on a term loan with an initial principal amount of $700.0 million (the “Term Loan”) and drew $225.0 million from its revolving credit facility (the “Revolving Facility”) to settle the existing indebtedness of BlueHalo and to settle transaction expenses at the closing of the Merger (collectively with the Term Loan, the “Financing Transactions”).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2025, AeroVironment announced its intention to offer and sell additional shares of its common stock, par value $0.0001 per share (the “Common Stock Offering”), and offer and sell convertible senior notes (“Convertible Notes Offering”), for aggregate gross proceeds of $1,350 million (excluding any amounts of common stock and convertible senior notes that may be sold pursuant to options granted to the underwriters of such offerings), the proceeds of which are intended to be used to repay indebtedness under the Term Loan, to repay indebtedness under the Revolving Facility, and any remainder for general corporate purposes (collectively, the “July 2025 Transactions”). The offerings are subject to market and other conditions, and there can be no assurance as to whether or when the offerings may be completed, or as to the actual size or terms of the offerings. Each of the offerings is being made pursuant to a prospectus supplement and an effective registration statement and nothing contained herein shall constitute an offer to sell or the solicitation of an offer to buy any securities in the Common Stock Offering or the Convertible Notes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estimated effects of the Merger, the Financing Transactions, and the July 2025 Transactions as if each had occurred on April 30, 2025, for the purposes of the unaudited pro forma condensed combined balance sheet, and as if the Merger, the Financing Transactions, and the July 2025 Transactions each occurred on May 1, 2024, the first day of AeroVironment’s fiscal year ended April 30, 2025, for the purposes of the unaudited pro forma condensed combined statements of income (loss).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SEC rules and regulations for companies with different fiscal year ends, the unaudited pro forma condensed combined financial information has been prepared utilizing periods that differ by less than 93 days. The unaudited pro forma condensed combined financial information was prepared using as follows:</w:t>
      </w:r>
    </w:p>
    <w:p>
      <w:pPr>
        <w:spacing w:after="0" w:line="176"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as of April 30, 2025 combines the historical audited consolidated balance sheet of AeroVironment as of April 30, 2025 with BlueHalo’s unaudited consolidated balance sheet as of March 31,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 of income (loss) for the year ended April 30, 2025 combines AeroVironment’s historical audited statement of income (loss) for the year ended April 30, 2025 with BlueHalo’s historical unaudited statements of operations for the twelve months ended March 31, 2025.</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BlueHalo’s historical unaudited statements of operations, after reclassifications, for the twelve months ended March 31, 2025 was prepared by summing BlueHalo’s unaudited statements of operations for the three months ended March 31, 2025, and BlueHalo’s audited statements of operations for the fiscal year ended December 31, 2024, and subtracting BlueHalo’s unaudited statements of operations for the three months ended March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historical financial statements of AeroVironment and BlueHalo have been adjusted in the accompanying unaudited pro forma condensed combined financial information to give effect to pro forma events that are merger transaction accounting and financing transaction adjustments which are necessary to account for the Merger, Financing Transactions, and the July 2025 Transactions in accordance with U.S. GAAP. The unaudited pro forma adjustments are based upon available information and certain assumptions that management believes are reasonable.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and the accompanying notes are provided for informational and illustrative purposes only and should be read in conjunction with AeroVironment’s consolidated financial statements and the notes thereto contained in its Annual Report on Form 10-K for the year ended April 30, 2025 filed with the SEC on June 25, 2025, BlueHalo’s consolidated financial statements and notes for the year ended December 31, 2024 and BlueHalo’s interim unaudited consolidated financial statements and notes for the period ended March 31, 2025 and March 31, 2024 contained within the Current Report on Form 8-K/A filed by AeroVironment on June 27,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is being accounted for as a business combination using the acquisition method with AeroVironment as the accounting acquirer in accordance with ASC Topic 805. Under this method of accounting, the estimated GAAP purchase price (as calculated in Note 3) will be allocated to BlueHalo’s assets acquired and liabilities assumed based upon their estimated fair values at the Closing date of the Merger. The process of valuing the net assets of BlueHalo, as well as evaluating accounting policies for conformity, is preliminary. Any differences between the estimated fair value of the consideration transferred and the estimated fair value of the assets acquired and liabilities assumed will be recorded as goodwill. Accordingly, allocation of the preliminary estimated merger consideration and related adjustments reflected in this unaudited pro forma condensed combined financial information are preliminary and subject to revision based on a final determination of fair value.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All financial data included in the unaudited pro forma condensed combined financial information is presented in thousands of U.S. Dollars, unless noted otherwise, and has been prepared based on U.S. GAAP and AeroVironment’s accounting policies. The unaudited pro forma condensed combined financial information presented is for informational purposes only and is not necessarily indicative of the financial position or results of operations that would have been realized if the Merger and the Financing Transactions had been completed on the dates set forth above, nor is it intended to be indicative of the future results or financial position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302"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As of April 30, 2025</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BlueHalo</w:t>
            </w: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 Financial</w:t>
            </w:r>
          </w:p>
        </w:tc>
        <w:tc>
          <w:tcPr>
            <w:tcW w:w="8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July 2025</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adjusted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AeroVironment</w:t>
            </w:r>
          </w:p>
        </w:tc>
        <w:tc>
          <w:tcPr>
            <w:tcW w:w="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After</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tcPr>
          <w:p>
            <w:pPr>
              <w:spacing w:after="0"/>
              <w:rPr>
                <w:sz w:val="12"/>
                <w:szCs w:val="12"/>
                <w:color w:val="auto"/>
              </w:rPr>
            </w:pPr>
          </w:p>
        </w:tc>
        <w:tc>
          <w:tcPr>
            <w:tcW w:w="9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the Transaction</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4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2"/>
                <w:szCs w:val="12"/>
                <w:color w:val="auto"/>
              </w:rPr>
            </w:pPr>
          </w:p>
        </w:tc>
        <w:tc>
          <w:tcPr>
            <w:tcW w:w="9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Financing</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4A)</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(Note 4B)</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 6A)</w:t>
            </w:r>
          </w:p>
        </w:tc>
        <w:tc>
          <w:tcPr>
            <w:tcW w:w="4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40,862</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55,247</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(910,324)</w:t>
            </w:r>
          </w:p>
        </w:tc>
        <w:tc>
          <w:tcPr>
            <w:tcW w:w="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917,141</w:t>
            </w:r>
          </w:p>
        </w:tc>
        <w:tc>
          <w:tcPr>
            <w:tcW w:w="3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102,926</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351,150</w:t>
            </w:r>
          </w:p>
        </w:tc>
        <w:tc>
          <w:tcPr>
            <w:tcW w:w="4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454,076</w:t>
            </w:r>
          </w:p>
        </w:tc>
        <w:tc>
          <w:tcPr>
            <w:tcW w:w="0" w:type="dxa"/>
            <w:vAlign w:val="bottom"/>
          </w:tcPr>
          <w:p>
            <w:pPr>
              <w:spacing w:after="0"/>
              <w:rPr>
                <w:sz w:val="1"/>
                <w:szCs w:val="1"/>
                <w:color w:val="auto"/>
              </w:rPr>
            </w:pPr>
          </w:p>
        </w:tc>
      </w:tr>
      <w:tr>
        <w:trPr>
          <w:trHeight w:val="126"/>
        </w:trPr>
        <w:tc>
          <w:tcPr>
            <w:tcW w:w="20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Accounts receivable, net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101,967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65,478</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167,445</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167,445</w:t>
            </w:r>
          </w:p>
        </w:tc>
        <w:tc>
          <w:tcPr>
            <w:tcW w:w="0" w:type="dxa"/>
            <w:vAlign w:val="bottom"/>
          </w:tcPr>
          <w:p>
            <w:pPr>
              <w:spacing w:after="0"/>
              <w:rPr>
                <w:sz w:val="1"/>
                <w:szCs w:val="1"/>
                <w:color w:val="auto"/>
              </w:rPr>
            </w:pPr>
          </w:p>
        </w:tc>
      </w:tr>
      <w:tr>
        <w:trPr>
          <w:trHeight w:val="171"/>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Unbilled receivables and</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290,009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124,533</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414,542</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414,542</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retentions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144,090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78,816</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31,184</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254,090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254,090</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3,034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3,656</w:t>
            </w:r>
          </w:p>
        </w:tc>
        <w:tc>
          <w:tcPr>
            <w:tcW w:w="0" w:type="dxa"/>
            <w:vAlign w:val="bottom"/>
          </w:tcPr>
          <w:p>
            <w:pPr>
              <w:spacing w:after="0"/>
              <w:rPr>
                <w:sz w:val="1"/>
                <w:szCs w:val="1"/>
                <w:color w:val="auto"/>
              </w:rPr>
            </w:pPr>
          </w:p>
        </w:tc>
      </w:tr>
      <w:tr>
        <w:trPr>
          <w:trHeight w:val="126"/>
        </w:trPr>
        <w:tc>
          <w:tcPr>
            <w:tcW w:w="20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Prepaid expenses and 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28,966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18,709</w:t>
            </w: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(3,014)</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(2,262)</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42,399</w:t>
            </w: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42,399</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606,516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345,817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(882,154)</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914,879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985,058</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351,150</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1,336,208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31,627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32,017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32,017</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50,704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122,455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(39,711)</w:t>
            </w:r>
          </w:p>
        </w:tc>
        <w:tc>
          <w:tcPr>
            <w:tcW w:w="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133,448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133,448</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31,879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75,183</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107,062</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107,062</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61,460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(61,460)</w:t>
            </w:r>
          </w:p>
        </w:tc>
        <w:tc>
          <w:tcPr>
            <w:tcW w:w="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Intangibles, 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48,711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515,106</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554,894</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1,118,711</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1,118,711</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256,781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874,306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1,427,015</w:t>
            </w:r>
          </w:p>
        </w:tc>
        <w:tc>
          <w:tcPr>
            <w:tcW w:w="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2,558,102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2,558,102</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32,889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(1,426)</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692</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35,393</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35,393</w:t>
            </w:r>
          </w:p>
        </w:tc>
        <w:tc>
          <w:tcPr>
            <w:tcW w:w="0" w:type="dxa"/>
            <w:vAlign w:val="bottom"/>
          </w:tcPr>
          <w:p>
            <w:pPr>
              <w:spacing w:after="0"/>
              <w:rPr>
                <w:sz w:val="1"/>
                <w:szCs w:val="1"/>
                <w:color w:val="auto"/>
              </w:rPr>
            </w:pPr>
          </w:p>
        </w:tc>
      </w:tr>
      <w:tr>
        <w:trPr>
          <w:trHeight w:val="156"/>
        </w:trPr>
        <w:tc>
          <w:tcPr>
            <w:tcW w:w="20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1,120,567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1,936,495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997,158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915,571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4,969,791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351,150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5,320,941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and stockholders’</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72,462</w:t>
            </w:r>
          </w:p>
        </w:tc>
        <w:tc>
          <w:tcPr>
            <w:tcW w:w="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59,635</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w:t>
            </w:r>
          </w:p>
        </w:tc>
        <w:tc>
          <w:tcPr>
            <w:tcW w:w="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(2,725)</w:t>
            </w: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126,372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126,372</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Wages and related accruals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44,253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45,127</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89,380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89,380</w:t>
            </w:r>
          </w:p>
        </w:tc>
        <w:tc>
          <w:tcPr>
            <w:tcW w:w="0" w:type="dxa"/>
            <w:vAlign w:val="bottom"/>
          </w:tcPr>
          <w:p>
            <w:pPr>
              <w:spacing w:after="0"/>
              <w:rPr>
                <w:sz w:val="1"/>
                <w:szCs w:val="1"/>
                <w:color w:val="auto"/>
              </w:rPr>
            </w:pPr>
          </w:p>
        </w:tc>
      </w:tr>
      <w:tr>
        <w:trPr>
          <w:trHeight w:val="148"/>
        </w:trPr>
        <w:tc>
          <w:tcPr>
            <w:tcW w:w="2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Customer advances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31,071</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47,023</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47,023</w:t>
            </w: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Current portion of long-term</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839,780</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(839,780)</w:t>
            </w:r>
          </w:p>
        </w:tc>
        <w:tc>
          <w:tcPr>
            <w:tcW w:w="3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35,000</w:t>
            </w:r>
          </w:p>
        </w:tc>
        <w:tc>
          <w:tcPr>
            <w:tcW w:w="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(35,000)</w:t>
            </w:r>
          </w:p>
        </w:tc>
        <w:tc>
          <w:tcPr>
            <w:tcW w:w="4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4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Current operating lease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10,479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11,808</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22,287</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22,287</w:t>
            </w:r>
          </w:p>
        </w:tc>
        <w:tc>
          <w:tcPr>
            <w:tcW w:w="0" w:type="dxa"/>
            <w:vAlign w:val="bottom"/>
          </w:tcPr>
          <w:p>
            <w:pPr>
              <w:spacing w:after="0"/>
              <w:rPr>
                <w:sz w:val="1"/>
                <w:szCs w:val="1"/>
                <w:color w:val="auto"/>
              </w:rPr>
            </w:pPr>
          </w:p>
        </w:tc>
      </w:tr>
      <w:tr>
        <w:trPr>
          <w:trHeight w:val="171"/>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4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62"/>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28,659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14,561</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(10,979)</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32,241</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32,241</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172,161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1,002,194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(853,759)</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32,275</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352,871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(36,609)</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316,262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Long-term debt, net of current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10,773</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(10,773)</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(j)</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883,296</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913,296</w:t>
            </w:r>
          </w:p>
        </w:tc>
        <w:tc>
          <w:tcPr>
            <w:tcW w:w="8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(329,596)</w:t>
            </w: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42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583,700</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portion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Non-current operating lease</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23,812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76,548</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100,360</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100,360</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Liability for uncertain tax</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6,061</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6,061</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6,061</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positions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23,785</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65,513</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89,298</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(3,912)</w:t>
            </w:r>
          </w:p>
        </w:tc>
        <w:tc>
          <w:tcPr>
            <w:tcW w:w="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85,386</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Mezzanine 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units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91,926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(91,926)</w:t>
            </w:r>
          </w:p>
        </w:tc>
        <w:tc>
          <w:tcPr>
            <w:tcW w:w="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Members’ 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730,345</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(730,345)</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$0.0001 par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(k)</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618,711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2,637,349</w:t>
            </w:r>
          </w:p>
        </w:tc>
        <w:tc>
          <w:tcPr>
            <w:tcW w:w="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3,256,060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722,450</w:t>
            </w:r>
          </w:p>
        </w:tc>
        <w:tc>
          <w:tcPr>
            <w:tcW w:w="4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3,978,510</w:t>
            </w:r>
          </w:p>
        </w:tc>
        <w:tc>
          <w:tcPr>
            <w:tcW w:w="0" w:type="dxa"/>
            <w:vAlign w:val="bottom"/>
          </w:tcPr>
          <w:p>
            <w:pPr>
              <w:spacing w:after="0"/>
              <w:rPr>
                <w:sz w:val="1"/>
                <w:szCs w:val="1"/>
                <w:color w:val="auto"/>
              </w:rPr>
            </w:pPr>
          </w:p>
        </w:tc>
      </w:tr>
      <w:tr>
        <w:trPr>
          <w:trHeight w:val="126"/>
        </w:trPr>
        <w:tc>
          <w:tcPr>
            <w:tcW w:w="20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Accumulated 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(6,514)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(6,514)</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(6,514)</w:t>
            </w:r>
          </w:p>
        </w:tc>
        <w:tc>
          <w:tcPr>
            <w:tcW w:w="0" w:type="dxa"/>
            <w:vAlign w:val="bottom"/>
          </w:tcPr>
          <w:p>
            <w:pPr>
              <w:spacing w:after="0"/>
              <w:rPr>
                <w:sz w:val="1"/>
                <w:szCs w:val="1"/>
                <w:color w:val="auto"/>
              </w:rPr>
            </w:pPr>
          </w:p>
        </w:tc>
      </w:tr>
      <w:tr>
        <w:trPr>
          <w:trHeight w:val="171"/>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274,306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(18,903)</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255,403</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(1,183)</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4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254,220</w:t>
            </w:r>
          </w:p>
        </w:tc>
        <w:tc>
          <w:tcPr>
            <w:tcW w:w="0" w:type="dxa"/>
            <w:vAlign w:val="bottom"/>
          </w:tcPr>
          <w:p>
            <w:pPr>
              <w:spacing w:after="0"/>
              <w:rPr>
                <w:sz w:val="1"/>
                <w:szCs w:val="1"/>
                <w:color w:val="auto"/>
              </w:rPr>
            </w:pPr>
          </w:p>
        </w:tc>
      </w:tr>
      <w:tr>
        <w:trPr>
          <w:trHeight w:val="106"/>
        </w:trPr>
        <w:tc>
          <w:tcPr>
            <w:tcW w:w="20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Total mezzanine equity, members'</w:t>
            </w: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equity and stockholders’ equity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886,507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822,271</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1,796,177</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3,504,955</w:t>
            </w: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721,267</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4,226,222</w:t>
            </w:r>
          </w:p>
        </w:tc>
        <w:tc>
          <w:tcPr>
            <w:tcW w:w="0" w:type="dxa"/>
            <w:vAlign w:val="bottom"/>
          </w:tcPr>
          <w:p>
            <w:pPr>
              <w:spacing w:after="0"/>
              <w:rPr>
                <w:sz w:val="1"/>
                <w:szCs w:val="1"/>
                <w:color w:val="auto"/>
              </w:rPr>
            </w:pPr>
          </w:p>
        </w:tc>
      </w:tr>
      <w:tr>
        <w:trPr>
          <w:trHeight w:val="106"/>
        </w:trPr>
        <w:tc>
          <w:tcPr>
            <w:tcW w:w="2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liabilities, mezzanine equity,</w:t>
            </w: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 equity and stockholders’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1,120,567</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1,936,495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997,158</w:t>
            </w:r>
          </w:p>
        </w:tc>
        <w:tc>
          <w:tcPr>
            <w:tcW w:w="3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915,571</w:t>
            </w:r>
          </w:p>
        </w:tc>
        <w:tc>
          <w:tcPr>
            <w:tcW w:w="3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4,969,791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351,150</w:t>
            </w: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5,320,941</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April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BlueHalo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Information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2025</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adjusted for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AeroVironment</w:t>
            </w: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After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100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 and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Reclassifications</w:t>
            </w:r>
          </w:p>
        </w:tc>
        <w:tc>
          <w:tcPr>
            <w:tcW w:w="80" w:type="dxa"/>
            <w:vAlign w:val="bottom"/>
          </w:tcPr>
          <w:p>
            <w:pPr>
              <w:spacing w:after="0"/>
              <w:rPr>
                <w:sz w:val="12"/>
                <w:szCs w:val="12"/>
                <w:color w:val="auto"/>
              </w:rPr>
            </w:pPr>
          </w:p>
        </w:tc>
        <w:tc>
          <w:tcPr>
            <w:tcW w:w="100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2"/>
                <w:szCs w:val="12"/>
                <w:color w:val="auto"/>
              </w:rPr>
            </w:pPr>
          </w:p>
        </w:tc>
        <w:tc>
          <w:tcPr>
            <w:tcW w:w="1000" w:type="dxa"/>
            <w:vAlign w:val="bottom"/>
            <w:gridSpan w:val="3"/>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2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(Note</w:t>
            </w:r>
          </w:p>
        </w:tc>
        <w:tc>
          <w:tcPr>
            <w:tcW w:w="460" w:type="dxa"/>
            <w:vAlign w:val="bottom"/>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9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 5A)</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(Note 5B)</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6B)</w:t>
            </w:r>
          </w:p>
        </w:tc>
        <w:tc>
          <w:tcPr>
            <w:tcW w:w="4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692,722</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396,630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1,089,352</w:t>
            </w: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1,089,352</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Contract services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127,905</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446,055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573,960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573,960</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820,627</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842,685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1,663,312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1,663,312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404,347</w:t>
            </w:r>
          </w:p>
        </w:tc>
        <w:tc>
          <w:tcPr>
            <w:tcW w:w="140" w:type="dxa"/>
            <w:vAlign w:val="bottom"/>
          </w:tcPr>
          <w:p>
            <w:pPr>
              <w:spacing w:after="0"/>
              <w:rPr>
                <w:sz w:val="12"/>
                <w:szCs w:val="12"/>
                <w:color w:val="auto"/>
              </w:rPr>
            </w:pPr>
          </w:p>
        </w:tc>
        <w:tc>
          <w:tcPr>
            <w:tcW w:w="9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288,744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48,861</w:t>
            </w:r>
          </w:p>
        </w:tc>
        <w:tc>
          <w:tcPr>
            <w:tcW w:w="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741,952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741,952</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Contract services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97,644</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381,799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19,879</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499,322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499,322</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501,991</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670,543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68,740</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1,241,274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288,375</w:t>
            </w:r>
          </w:p>
        </w:tc>
        <w:tc>
          <w:tcPr>
            <w:tcW w:w="140" w:type="dxa"/>
            <w:vAlign w:val="bottom"/>
          </w:tcPr>
          <w:p>
            <w:pPr>
              <w:spacing w:after="0"/>
              <w:rPr>
                <w:sz w:val="12"/>
                <w:szCs w:val="12"/>
                <w:color w:val="auto"/>
              </w:rPr>
            </w:pPr>
          </w:p>
        </w:tc>
        <w:tc>
          <w:tcPr>
            <w:tcW w:w="9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107,886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(48,861)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347,400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347,400</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Contract services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30,261</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64,256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(19,879)</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74,638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74,638</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318,636</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172,142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(68,740</w:t>
            </w:r>
          </w:p>
        </w:tc>
        <w:tc>
          <w:tcPr>
            <w:tcW w:w="14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422,038</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422,038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580" w:type="dxa"/>
            <w:vAlign w:val="bottom"/>
            <w:shd w:val="clear" w:color="auto" w:fill="CCEEFF"/>
          </w:tcPr>
          <w:p>
            <w:pPr>
              <w:ind w:left="40"/>
              <w:spacing w:after="0" w:line="106" w:lineRule="exact"/>
              <w:rPr>
                <w:sz w:val="20"/>
                <w:szCs w:val="20"/>
                <w:color w:val="auto"/>
              </w:rPr>
            </w:pPr>
            <w:r>
              <w:rPr>
                <w:rFonts w:ascii="Times New Roman" w:cs="Times New Roman" w:eastAsia="Times New Roman" w:hAnsi="Times New Roman"/>
                <w:sz w:val="12"/>
                <w:szCs w:val="12"/>
                <w:color w:val="auto"/>
              </w:rPr>
              <w:t>Selling, general and</w:t>
            </w:r>
          </w:p>
        </w:tc>
        <w:tc>
          <w:tcPr>
            <w:tcW w:w="12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158,753</w:t>
            </w: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210,250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110,455</w:t>
            </w:r>
          </w:p>
        </w:tc>
        <w:tc>
          <w:tcPr>
            <w:tcW w:w="5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479,458</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479,458</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administrative</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Research and</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100,729</w:t>
            </w:r>
          </w:p>
        </w:tc>
        <w:tc>
          <w:tcPr>
            <w:tcW w:w="140" w:type="dxa"/>
            <w:vAlign w:val="bottom"/>
          </w:tcPr>
          <w:p>
            <w:pPr>
              <w:spacing w:after="0"/>
              <w:rPr>
                <w:sz w:val="10"/>
                <w:szCs w:val="10"/>
                <w:color w:val="auto"/>
              </w:rPr>
            </w:pPr>
          </w:p>
        </w:tc>
        <w:tc>
          <w:tcPr>
            <w:tcW w:w="9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115,855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115,855</w:t>
            </w:r>
          </w:p>
        </w:tc>
        <w:tc>
          <w:tcPr>
            <w:tcW w:w="0" w:type="dxa"/>
            <w:vAlign w:val="bottom"/>
          </w:tcPr>
          <w:p>
            <w:pPr>
              <w:spacing w:after="0"/>
              <w:rPr>
                <w:sz w:val="1"/>
                <w:szCs w:val="1"/>
                <w:color w:val="auto"/>
              </w:rPr>
            </w:pPr>
          </w:p>
        </w:tc>
      </w:tr>
      <w:tr>
        <w:trPr>
          <w:trHeight w:val="171"/>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18,359</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18,359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18,359</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line="126" w:lineRule="exact"/>
              <w:rPr>
                <w:sz w:val="20"/>
                <w:szCs w:val="20"/>
                <w:color w:val="auto"/>
              </w:rPr>
            </w:pPr>
            <w:r>
              <w:rPr>
                <w:rFonts w:ascii="Times New Roman" w:cs="Times New Roman" w:eastAsia="Times New Roman" w:hAnsi="Times New Roman"/>
                <w:sz w:val="14"/>
                <w:szCs w:val="14"/>
                <w:color w:val="auto"/>
              </w:rPr>
              <w:t>Income (loss) from</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40,795</w:t>
            </w:r>
          </w:p>
        </w:tc>
        <w:tc>
          <w:tcPr>
            <w:tcW w:w="140" w:type="dxa"/>
            <w:vAlign w:val="bottom"/>
          </w:tcPr>
          <w:p>
            <w:pPr>
              <w:spacing w:after="0"/>
              <w:rPr>
                <w:sz w:val="9"/>
                <w:szCs w:val="9"/>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(53,234)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(179,195)</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(191,634)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(191,634)</w:t>
            </w:r>
          </w:p>
        </w:tc>
        <w:tc>
          <w:tcPr>
            <w:tcW w:w="0" w:type="dxa"/>
            <w:vAlign w:val="bottom"/>
          </w:tcPr>
          <w:p>
            <w:pPr>
              <w:spacing w:after="0"/>
              <w:rPr>
                <w:sz w:val="1"/>
                <w:szCs w:val="1"/>
                <w:color w:val="auto"/>
              </w:rPr>
            </w:pPr>
          </w:p>
        </w:tc>
      </w:tr>
      <w:tr>
        <w:trPr>
          <w:trHeight w:val="171"/>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(loss) income: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(2,188)</w:t>
            </w:r>
          </w:p>
        </w:tc>
        <w:tc>
          <w:tcPr>
            <w:tcW w:w="1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(74,159)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74,159</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(d)</w:t>
            </w:r>
          </w:p>
        </w:tc>
        <w:tc>
          <w:tcPr>
            <w:tcW w:w="100" w:type="dxa"/>
            <w:vAlign w:val="bottom"/>
          </w:tcPr>
          <w:p>
            <w:pPr>
              <w:spacing w:after="0"/>
              <w:rPr>
                <w:sz w:val="10"/>
                <w:szCs w:val="10"/>
                <w:color w:val="auto"/>
              </w:rPr>
            </w:pPr>
          </w:p>
        </w:tc>
        <w:tc>
          <w:tcPr>
            <w:tcW w:w="9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(66,741)</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(68,929)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57,227</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(a)</w:t>
            </w:r>
          </w:p>
        </w:tc>
        <w:tc>
          <w:tcPr>
            <w:tcW w:w="38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(11,702)</w:t>
            </w:r>
          </w:p>
        </w:tc>
        <w:tc>
          <w:tcPr>
            <w:tcW w:w="0" w:type="dxa"/>
            <w:vAlign w:val="bottom"/>
          </w:tcPr>
          <w:p>
            <w:pPr>
              <w:spacing w:after="0"/>
              <w:rPr>
                <w:sz w:val="1"/>
                <w:szCs w:val="1"/>
                <w:color w:val="auto"/>
              </w:rPr>
            </w:pPr>
          </w:p>
        </w:tc>
      </w:tr>
      <w:tr>
        <w:trPr>
          <w:trHeight w:val="171"/>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(expense), net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1,057</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7,880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7,880</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line="126" w:lineRule="exact"/>
              <w:rPr>
                <w:sz w:val="20"/>
                <w:szCs w:val="20"/>
                <w:color w:val="auto"/>
              </w:rPr>
            </w:pPr>
            <w:r>
              <w:rPr>
                <w:rFonts w:ascii="Times New Roman" w:cs="Times New Roman" w:eastAsia="Times New Roman" w:hAnsi="Times New Roman"/>
                <w:sz w:val="14"/>
                <w:szCs w:val="14"/>
                <w:color w:val="auto"/>
              </w:rPr>
              <w:t>Income (loss) before</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39,664</w:t>
            </w:r>
          </w:p>
        </w:tc>
        <w:tc>
          <w:tcPr>
            <w:tcW w:w="140" w:type="dxa"/>
            <w:vAlign w:val="bottom"/>
          </w:tcPr>
          <w:p>
            <w:pPr>
              <w:spacing w:after="0"/>
              <w:rPr>
                <w:sz w:val="9"/>
                <w:szCs w:val="9"/>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(120,570)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(105,036)</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(66,741)</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(252,683)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57,227</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(195,456)</w:t>
            </w:r>
          </w:p>
        </w:tc>
        <w:tc>
          <w:tcPr>
            <w:tcW w:w="0" w:type="dxa"/>
            <w:vAlign w:val="bottom"/>
          </w:tcPr>
          <w:p>
            <w:pPr>
              <w:spacing w:after="0"/>
              <w:rPr>
                <w:sz w:val="1"/>
                <w:szCs w:val="1"/>
                <w:color w:val="auto"/>
              </w:rPr>
            </w:pPr>
          </w:p>
        </w:tc>
      </w:tr>
      <w:tr>
        <w:trPr>
          <w:trHeight w:val="171"/>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Provision for (benefit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882</w:t>
            </w: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(42,026)</w:t>
            </w:r>
          </w:p>
        </w:tc>
        <w:tc>
          <w:tcPr>
            <w:tcW w:w="5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(16,018)</w:t>
            </w:r>
          </w:p>
        </w:tc>
        <w:tc>
          <w:tcPr>
            <w:tcW w:w="3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(82,722)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13,735</w:t>
            </w:r>
          </w:p>
        </w:tc>
        <w:tc>
          <w:tcPr>
            <w:tcW w:w="4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38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(68,987)</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from) income taxes</w:t>
            </w: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Equity method</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investment (loss)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net of tax</w:t>
            </w:r>
          </w:p>
        </w:tc>
        <w:tc>
          <w:tcPr>
            <w:tcW w:w="1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4,837</w:t>
            </w:r>
          </w:p>
        </w:tc>
        <w:tc>
          <w:tcPr>
            <w:tcW w:w="140" w:type="dxa"/>
            <w:vAlign w:val="bottom"/>
          </w:tcPr>
          <w:p>
            <w:pPr>
              <w:spacing w:after="0"/>
              <w:rPr>
                <w:sz w:val="16"/>
                <w:szCs w:val="16"/>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4,837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4,837</w:t>
            </w:r>
          </w:p>
        </w:tc>
        <w:tc>
          <w:tcPr>
            <w:tcW w:w="0" w:type="dxa"/>
            <w:vAlign w:val="bottom"/>
          </w:tcPr>
          <w:p>
            <w:pPr>
              <w:spacing w:after="0"/>
              <w:rPr>
                <w:sz w:val="1"/>
                <w:szCs w:val="1"/>
                <w:color w:val="auto"/>
              </w:rPr>
            </w:pPr>
          </w:p>
        </w:tc>
      </w:tr>
      <w:tr>
        <w:trPr>
          <w:trHeight w:val="155"/>
        </w:trPr>
        <w:tc>
          <w:tcPr>
            <w:tcW w:w="1580" w:type="dxa"/>
            <w:vAlign w:val="bottom"/>
            <w:tcBorders>
              <w:top w:val="single" w:sz="8" w:color="CCEEFF"/>
              <w:bottom w:val="single" w:sz="8" w:color="CCEEFF"/>
            </w:tcBorders>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43,619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(95,010</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(63,010</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(50,723</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(165,124</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43,492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(121,632</w:t>
            </w: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line="119" w:lineRule="exact"/>
              <w:rPr>
                <w:sz w:val="20"/>
                <w:szCs w:val="20"/>
                <w:color w:val="auto"/>
              </w:rPr>
            </w:pPr>
            <w:r>
              <w:rPr>
                <w:rFonts w:ascii="Times New Roman" w:cs="Times New Roman" w:eastAsia="Times New Roman" w:hAnsi="Times New Roman"/>
                <w:sz w:val="13"/>
                <w:szCs w:val="13"/>
                <w:color w:val="auto"/>
              </w:rPr>
              <w:t>Net income (loss) per</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Weighted-average</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shares outstanding:</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28,018,656</w:t>
            </w:r>
          </w:p>
        </w:tc>
        <w:tc>
          <w:tcPr>
            <w:tcW w:w="140" w:type="dxa"/>
            <w:vAlign w:val="bottom"/>
          </w:tcPr>
          <w:p>
            <w:pPr>
              <w:spacing w:after="0"/>
              <w:rPr>
                <w:sz w:val="12"/>
                <w:szCs w:val="12"/>
                <w:color w:val="auto"/>
              </w:rPr>
            </w:pPr>
          </w:p>
        </w:tc>
        <w:tc>
          <w:tcPr>
            <w:tcW w:w="9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17,425,849</w:t>
            </w:r>
          </w:p>
        </w:tc>
        <w:tc>
          <w:tcPr>
            <w:tcW w:w="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0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45,444,505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2,697,162</w:t>
            </w:r>
          </w:p>
        </w:tc>
        <w:tc>
          <w:tcPr>
            <w:tcW w:w="4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380" w:type="dxa"/>
            <w:vAlign w:val="bottom"/>
          </w:tcPr>
          <w:p>
            <w:pPr>
              <w:spacing w:after="0"/>
              <w:rPr>
                <w:sz w:val="12"/>
                <w:szCs w:val="12"/>
                <w:color w:val="auto"/>
              </w:rPr>
            </w:pPr>
          </w:p>
        </w:tc>
        <w:tc>
          <w:tcPr>
            <w:tcW w:w="10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48,141,667</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28,173,488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17,271,017</w:t>
            </w:r>
          </w:p>
        </w:tc>
        <w:tc>
          <w:tcPr>
            <w:tcW w:w="5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45,444,505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2,697,162</w:t>
            </w:r>
          </w:p>
        </w:tc>
        <w:tc>
          <w:tcPr>
            <w:tcW w:w="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48,141,667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and related notes are prepared in accordance with Article 11 of Regulation S-X as amended by the final rule, Release No. 33-10786 “Amendments to Financial Disclosures about Acquired and Disposed Businesses”.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AeroVironment’s and BlueHalo’s historical financial statements were prepared in accordance with U.S. GAAP and presented in U.S. dollars. As discussed in Note 2, certain reclassifications were made to align AeroVironment’s and BlueHalo’s financial statements presentation. AeroVironment is currently in the process of evaluating BlueHalo’s accounting policies. As a result of that review, additional differences could be identified among the accounting policies of the companies. Based upon the review prepared to date, AeroVironment has determined that no significant adjustments are necessary to conform BlueHalo’s financial statements to the accounting policies used by AeroVironment.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using the acquisition method of accounting in accordance with ASC Topic 805, with AeroVironment as the accounting acquirer of BlueHalo using the fair value concepts defined in ASC Topic 820, Fair Value Measurement, and based on the historical financial statements of AeroVironment and BlueHalo. Under ASC Topic 805, all assets acquired and liabilities assumed in a business combination are recognized and measured at their assumed acquisition date fair value. The excess of the preliminary estimated merger consideration over the estimated fair value of assets acquired and liabilities assumed, if any, is allocated to goodwill. The preliminary estimated merger consideration is based upon the estimated shares of AeroVironment to be issued multiplied by AeroVironment’s share price and cash payments by AeroVironment at the Closing Date. Transaction costs associated with the business combinations are expensed as incurred.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the preliminary estimated merger consideration depends upon certain estimates and assumptions, all of which are preliminary. The allocation of the preliminary estimated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The final valuation will be based on the actual net tangible and intangible assets existing at the acquisition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adjustments represent management’s best estimates and are based upon currently available information and certain assumptions that AeroVironment believes are reasonable under the circumstances. AeroVironment is not aware of any material transactions between AeroVironment and BlueHalo nor amongst BlueHalo during the periods presented that have not already been eliminated in consolidation of BlueHalo. Accordingly, adjustments to eliminate transactions between AeroVironment and BlueHalo have not been reflected in the unaudited pro forma condensed combined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Reclassification Adjustments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preparation of this unaudited pro forma condensed combined financial information, AeroVironment management performed a preliminary analysis of BlueHalo’s financial information to identify differences in financial statement presentation as compared to the presentation of AeroVironment. With the information currently available, AeroVironment has determined that no significant adjustments are necessary to conform BlueHalo’s financial statements to those used by AeroVironment. However, certain reclassification adjustments have been made to conform BlueHalo’s historical financial statement presentation to AeroVironment’s financial statement presentation and accounting policies. Following the Closing Date, the combined company will finalize the review of accounting policies and reclassifications, which could be materially different from the amounts set forth in the unaudited pro forma condensed combined financial information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 w:name="page8"/>
    <w:bookmarkEnd w:id="7"/>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table below for a summary of reclassification adjustments made to present BlueHalo’s balance sheet as of March 31, 2025 to conform with that of AeroVironment’s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BlueHalo</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BlueHalo</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 After</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Balances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Reclassifications</w:t>
            </w: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AeroVironment’s Historical Consolidated</w:t>
            </w:r>
          </w:p>
        </w:tc>
        <w:tc>
          <w:tcPr>
            <w:tcW w:w="8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BlueHalo Historical Consolidated</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r>
      <w:tr>
        <w:trPr>
          <w:trHeight w:val="238"/>
        </w:trPr>
        <w:tc>
          <w:tcPr>
            <w:tcW w:w="32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80" w:type="dxa"/>
            <w:vAlign w:val="bottom"/>
          </w:tcPr>
          <w:p>
            <w:pPr>
              <w:spacing w:after="0"/>
              <w:rPr>
                <w:sz w:val="20"/>
                <w:szCs w:val="20"/>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Balance Sheet Line Items</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w:t>
            </w:r>
          </w:p>
        </w:tc>
        <w:tc>
          <w:tcPr>
            <w:tcW w:w="282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Billed Receivables net of allowance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doubtful accounts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 credit losses</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124,533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124,533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78,816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78,816</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18,530</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9"/>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18,709</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122,455</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122,455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75,183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75,183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515,106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515,106</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874,306</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874,306</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62,937</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59,635</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Wages and related accruals</w:t>
            </w:r>
          </w:p>
        </w:tc>
        <w:tc>
          <w:tcPr>
            <w:tcW w:w="282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Accrued payroll and related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45,127</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23,468</w:t>
            </w: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7,603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31,071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794,780</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9"/>
              </w:rPr>
              <w: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839,780</w:t>
            </w:r>
          </w:p>
        </w:tc>
      </w:tr>
      <w:tr>
        <w:trPr>
          <w:trHeight w:val="216"/>
        </w:trPr>
        <w:tc>
          <w:tcPr>
            <w:tcW w:w="320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9"/>
              </w:rPr>
              <w: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11,808</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current liabilities</w:t>
            </w:r>
          </w:p>
        </w:tc>
        <w:tc>
          <w:tcPr>
            <w:tcW w:w="282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(c),(d),(f),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18,568</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(4,007)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14,561</w:t>
            </w:r>
          </w:p>
        </w:tc>
      </w:tr>
      <w:tr>
        <w:trPr>
          <w:trHeight w:val="216"/>
        </w:trPr>
        <w:tc>
          <w:tcPr>
            <w:tcW w:w="320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11,100</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(11,100)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(g),(h)</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10,773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76,548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76,548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23,785</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23,785</w:t>
            </w:r>
          </w:p>
        </w:tc>
      </w:tr>
      <w:tr>
        <w:trPr>
          <w:trHeight w:val="216"/>
        </w:trPr>
        <w:tc>
          <w:tcPr>
            <w:tcW w:w="320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Preferred units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91,926</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91,926</w:t>
            </w:r>
          </w:p>
        </w:tc>
      </w:tr>
      <w:tr>
        <w:trPr>
          <w:trHeight w:val="234"/>
        </w:trPr>
        <w:tc>
          <w:tcPr>
            <w:tcW w:w="3200" w:type="dxa"/>
            <w:vAlign w:val="bottom"/>
          </w:tcPr>
          <w:p>
            <w:pPr>
              <w:spacing w:after="0"/>
              <w:rPr>
                <w:sz w:val="20"/>
                <w:szCs w:val="20"/>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Members equity</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730,345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730,345</w:t>
            </w:r>
          </w:p>
        </w:tc>
      </w:tr>
    </w:tbl>
    <w:p>
      <w:pPr>
        <w:spacing w:after="0" w:line="17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$(0.2) million of Prepaid and other current assets to Accounts payable.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$0.4 million of Other noncurrent to Long-term investments.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$3.5 million of Accounts payable to Other current liabilities.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$(7.6) million of Contract liabilities to Other current liabilities.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$45.0 million of Line of credit to Current portion of long-term debt.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$0.2 million of Other current liabilities to Income taxes payable.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$0.3 million of Related party notes payable to Other current liabilities.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$10.8 million of Related party notes payable to Long-term debt, net of current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table below for a summary of adjustments made to present BlueHalo’s statement of operations for the twelve months ended March 31,</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to conform with that of AeroVironment’s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 + B - C</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BlueHalo</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BlueHalo</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BlueHalo</w:t>
            </w:r>
          </w:p>
        </w:tc>
      </w:tr>
      <w:tr>
        <w:trPr>
          <w:trHeight w:val="203"/>
        </w:trPr>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BlueHalo</w:t>
            </w: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BlueHalo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Historical, After</w:t>
            </w:r>
          </w:p>
        </w:tc>
      </w:tr>
      <w:tr>
        <w:trPr>
          <w:trHeight w:val="203"/>
        </w:trPr>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Three Month</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Twelve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Reclassifications</w:t>
            </w:r>
          </w:p>
        </w:tc>
      </w:tr>
      <w:tr>
        <w:trPr>
          <w:trHeight w:val="20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AeroVironment’s Historical</w:t>
            </w:r>
          </w:p>
        </w:tc>
        <w:tc>
          <w:tcPr>
            <w:tcW w:w="18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BlueHalo Historical</w:t>
            </w:r>
          </w:p>
        </w:tc>
        <w:tc>
          <w:tcPr>
            <w:tcW w:w="40" w:type="dxa"/>
            <w:vAlign w:val="bottom"/>
          </w:tcPr>
          <w:p>
            <w:pPr>
              <w:spacing w:after="0"/>
              <w:rPr>
                <w:sz w:val="17"/>
                <w:szCs w:val="17"/>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w:t>
            </w:r>
          </w:p>
        </w:tc>
        <w:tc>
          <w:tcPr>
            <w:tcW w:w="4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Month Ended</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Twelve Month</w:t>
            </w:r>
          </w:p>
        </w:tc>
      </w:tr>
      <w:tr>
        <w:trPr>
          <w:trHeight w:val="203"/>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Statement of Income Line</w:t>
            </w:r>
          </w:p>
        </w:tc>
        <w:tc>
          <w:tcPr>
            <w:tcW w:w="29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December 31,</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12"/>
        </w:trPr>
        <w:tc>
          <w:tcPr>
            <w:tcW w:w="198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Operations Line Items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r>
      <w:tr>
        <w:trPr>
          <w:trHeight w:val="202"/>
        </w:trPr>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Revenue:</w:t>
            </w:r>
          </w:p>
        </w:tc>
        <w:tc>
          <w:tcPr>
            <w:tcW w:w="40" w:type="dxa"/>
            <w:vAlign w:val="bottom"/>
          </w:tcPr>
          <w:p>
            <w:pPr>
              <w:spacing w:after="0"/>
              <w:rPr>
                <w:sz w:val="17"/>
                <w:szCs w:val="17"/>
                <w:color w:val="auto"/>
              </w:rPr>
            </w:pP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Revenue:</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370,827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82,556</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396,630</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396,630</w:t>
            </w:r>
          </w:p>
        </w:tc>
      </w:tr>
      <w:tr>
        <w:trPr>
          <w:trHeight w:val="203"/>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Services</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Contract Services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423,937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79,687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446,055</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446,055</w:t>
            </w:r>
          </w:p>
        </w:tc>
      </w:tr>
      <w:tr>
        <w:trPr>
          <w:trHeight w:val="203"/>
        </w:trPr>
        <w:tc>
          <w:tcPr>
            <w:tcW w:w="1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194,006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202,139</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86,605</w:t>
            </w:r>
          </w:p>
        </w:tc>
        <w:tc>
          <w:tcPr>
            <w:tcW w:w="5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(a),(c)</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288,744</w:t>
            </w:r>
          </w:p>
        </w:tc>
      </w:tr>
      <w:tr>
        <w:trPr>
          <w:trHeight w:val="203"/>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Services</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Contract Services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255,128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268,609</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113,190</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(b),(d)</w:t>
            </w: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381,799</w:t>
            </w:r>
          </w:p>
        </w:tc>
      </w:tr>
      <w:tr>
        <w:trPr>
          <w:trHeight w:val="203"/>
        </w:trPr>
        <w:tc>
          <w:tcPr>
            <w:tcW w:w="1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9"/>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general and</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8"/>
              </w:rPr>
              <w:t>(a),(b),</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318,427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331,689</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(121,439)</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(e)</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210,250</w:t>
            </w:r>
          </w:p>
        </w:tc>
      </w:tr>
      <w:tr>
        <w:trPr>
          <w:trHeight w:val="205"/>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8,286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15,126</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15,126</w:t>
            </w:r>
          </w:p>
        </w:tc>
      </w:tr>
      <w:tr>
        <w:trPr>
          <w:trHeight w:val="189"/>
        </w:trPr>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8"/>
              </w:rPr>
              <w:t>(c),(d),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70,332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78,356</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(78,356)</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(e)</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(expense),</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1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(65,329)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(74,159)</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(74,159)</w:t>
            </w:r>
          </w:p>
        </w:tc>
      </w:tr>
      <w:tr>
        <w:trPr>
          <w:trHeight w:val="203"/>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6,946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6,823</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6,823</w:t>
            </w:r>
          </w:p>
        </w:tc>
      </w:tr>
      <w:tr>
        <w:trPr>
          <w:trHeight w:val="189"/>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(25,560)</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(25,560)</w:t>
            </w:r>
          </w:p>
        </w:tc>
      </w:tr>
    </w:tbl>
    <w:p>
      <w:pPr>
        <w:spacing w:after="0" w:line="198"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$78.3 million of reimbursable overhead expenses from Selling, general and administrative to Cost of sales - Product sales to conform with AeroVironment’s accounting policy.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$103.8 million of reimbursable overhead expenses from Selling, general and administrative to Cost of sales - Contract services to conform with AeroVironment’s accounting policy.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$8.3 million of technology-related intangible asset amortization expense from Depreciation and amortization to Cost of sales - Product sales.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$9.4 million technology-related intangible asset amortization expense from Depreciation and amortization related to Cost of sales - Contract services.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$60.7 million of the remaining depreciation and amortization not included in (c) and (d), above, from Depreciation and amortization to 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Preliminary Merger Consideration Allocation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estimated merger consideration (in thousands):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merger consideration transferred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BlueHalo’s transaction expenses by AeroVironment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Settlement of BlueHalo’s indebtedness 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estimated merger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7"/>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517" w:hanging="517"/>
        <w:spacing w:after="0"/>
        <w:tabs>
          <w:tab w:leader="none" w:pos="5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2,640,365</w:t>
      </w:r>
    </w:p>
    <w:p>
      <w:pPr>
        <w:spacing w:after="0" w:line="22"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25,214</w:t>
      </w:r>
    </w:p>
    <w:p>
      <w:pPr>
        <w:spacing w:after="0" w:line="9" w:lineRule="exact"/>
        <w:rPr>
          <w:sz w:val="20"/>
          <w:szCs w:val="20"/>
          <w:color w:val="auto"/>
        </w:rPr>
      </w:pPr>
    </w:p>
    <w:p>
      <w:pPr>
        <w:ind w:left="637"/>
        <w:spacing w:after="0"/>
        <w:rPr>
          <w:sz w:val="20"/>
          <w:szCs w:val="20"/>
          <w:color w:val="auto"/>
        </w:rPr>
      </w:pPr>
      <w:r>
        <w:rPr>
          <w:rFonts w:ascii="Times New Roman" w:cs="Times New Roman" w:eastAsia="Times New Roman" w:hAnsi="Times New Roman"/>
          <w:sz w:val="18"/>
          <w:szCs w:val="18"/>
          <w:color w:val="auto"/>
        </w:rPr>
        <w:t>863,207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9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 w:lineRule="exact"/>
        <w:rPr>
          <w:sz w:val="20"/>
          <w:szCs w:val="20"/>
          <w:color w:val="auto"/>
        </w:rPr>
      </w:pPr>
    </w:p>
    <w:p>
      <w:pPr>
        <w:ind w:left="517" w:hanging="517"/>
        <w:spacing w:after="0"/>
        <w:tabs>
          <w:tab w:leader="none" w:pos="5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3,528,786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97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3" w:space="720"/>
            <w:col w:w="1337"/>
          </w:cols>
          <w:pgMar w:left="320" w:top="900" w:right="339" w:bottom="1440" w:gutter="0" w:footer="0" w:header="0"/>
        </w:sectPr>
      </w:pPr>
    </w:p>
    <w:p>
      <w:pPr>
        <w:spacing w:after="0" w:line="34"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AeroVironment’s common stock issued is based on 17,425,849 shares issued as consideration and the closing share price of $151.52 on April 30, 2025. The amount of shares issued as consideration is based upon the terms of the Merger Agreement, which provide for an aggregate merger consideration of 18,548,698 shares less the Closing Share Leakage Amount of 24,716 shares and the Excess Closing Indebtedness Share Amount of 1,098,133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merger consideration allocation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assumed accounting for the Merger, including the estimated preliminary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in the Merger, AeroVironment used publicly available benchmarking information as well as a variety of other assumptions, including market participant assumptions. AeroVironment is expected to use widely accepted income-based, market-based, and cost-based valuation approaches upon finalization of purchase accounting for the Merger. Actual results may differ materially from the assumptions within the accompanying unaudited pro forma condensed combined financial information. The unaudited pro forma adjustments are based upon available information and certain assumptions that AeroVironment believes are reasonable under the circumstances. The purchase price adjustments relating to the Merger are preliminary and subject to change, as additional information becomes available and as additional analyses are performed.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estimated merger consideration allocation, as if the Merger had been completed on April 30, 2025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55,247</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124,533</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 (i)</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18,709</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82,744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75,183</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(iii)</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 (ii)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1,070,000</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2,301,321</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59,635</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45,127</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31,071</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11,808</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76,548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(iii)</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150,758</w:t>
            </w:r>
          </w:p>
        </w:tc>
        <w:tc>
          <w:tcPr>
            <w:tcW w:w="80" w:type="dxa"/>
            <w:vAlign w:val="bottom"/>
            <w:shd w:val="clear" w:color="auto" w:fill="CCEEFF"/>
          </w:tcPr>
          <w:p>
            <w:pPr>
              <w:spacing w:after="0"/>
              <w:rPr>
                <w:sz w:val="19"/>
                <w:szCs w:val="19"/>
                <w:color w:val="auto"/>
              </w:rPr>
            </w:pPr>
          </w:p>
        </w:tc>
      </w:tr>
      <w:tr>
        <w:trPr>
          <w:trHeight w:val="210"/>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Preliminary estimated merger consideration</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3,528,786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9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has been adjusted to record the acquired inventories at a preliminary fair value of approximately $110.0 million, an increase of $31.2 million from the carrying value. The unaudited pro forma condensed combined statement of income (loss) for the year ended April 30, 2025 has been adjusted to recognize additional cost of goods sold related to the increased basis. The additional costs are not anticipated to affect the consolidated statement of income (loss) beyond twelve months after the acquisition date.</w:t>
      </w:r>
    </w:p>
    <w:p>
      <w:pPr>
        <w:spacing w:after="0" w:line="16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identifiable intangible assets in the unaudited pro forma condensed combined financial information consists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Preliminary Fair</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38"/>
        </w:trPr>
        <w:tc>
          <w:tcPr>
            <w:tcW w:w="7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fair value of intangible assets acquired:</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7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620,000</w:t>
            </w:r>
          </w:p>
        </w:tc>
        <w:tc>
          <w:tcPr>
            <w:tcW w:w="17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8"/>
                <w:szCs w:val="18"/>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7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4-10</w:t>
            </w:r>
          </w:p>
        </w:tc>
        <w:tc>
          <w:tcPr>
            <w:tcW w:w="100" w:type="dxa"/>
            <w:vAlign w:val="bottom"/>
          </w:tcPr>
          <w:p>
            <w:pPr>
              <w:spacing w:after="0"/>
              <w:rPr>
                <w:sz w:val="19"/>
                <w:szCs w:val="19"/>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10% change in the valuation of intangible assets would cause a corresponding increase or decrease in the amortization expense of approximately $19.4 million for the year ended April 30, 2025. Pro forma amortization is preliminary and based on the use of straight-line amortization. The amount of amortization following the Merger may differ significantly between periods based upon the final value assigned and amortization methodology used for each identifiable intangible asset.</w:t>
      </w:r>
    </w:p>
    <w:p>
      <w:pPr>
        <w:spacing w:after="0" w:line="16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fair value assigned to intangible assets has been estimated based on third-party preliminary valuation studies utilizing income-based methodologies and corroborated with benchmarks of similar transactions in the industry.</w:t>
      </w:r>
    </w:p>
    <w:p>
      <w:pPr>
        <w:spacing w:after="0" w:line="148"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were derived based on incremental differences in the book and tax basis created from the preliminary purchase allocation. In addition, as a result of the Merger, AeroVironment expects to realize the benefit of certain deferred tax assets where BlueHalo’s previously recorded a valuation allowance, therefore the valuation allowance is expected to be reduced in purchase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Adjustments to the Unaudited Pro Forma Condensed Combined Balance Sheet</w:t>
      </w:r>
    </w:p>
    <w:p>
      <w:pPr>
        <w:spacing w:after="0" w:line="216"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included in the Merger Transaction Accounting Adjustments column in the accompanying unaudited pro forma condensed combined balance sheet as of April 30, 2025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 Reflects adjustment to cash and cash equivalents (in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9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Merger transaction costs (i)</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BlueHalo’s indebtedness, including accrued interest</w:t>
            </w:r>
          </w:p>
        </w:tc>
        <w:tc>
          <w:tcPr>
            <w:tcW w:w="1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(863,207)</w:t>
            </w:r>
          </w:p>
        </w:tc>
      </w:tr>
      <w:tr>
        <w:trPr>
          <w:trHeight w:val="230"/>
        </w:trPr>
        <w:tc>
          <w:tcPr>
            <w:tcW w:w="9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BlueHalo's transaction expenses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(25,214)</w:t>
            </w:r>
          </w:p>
        </w:tc>
      </w:tr>
      <w:tr>
        <w:trPr>
          <w:trHeight w:val="209"/>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(910,324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99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non-recurring costs consist of legal advisory, financial advisory, accounting and consulting costs of AeroVironment related to the Merger.</w:t>
      </w:r>
    </w:p>
    <w:p>
      <w:pPr>
        <w:spacing w:after="0" w:line="2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preliminary purchase accounting adjustment for inventories based on the acquisition method of accounting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fair value of acquired inventories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net book value of inventories</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(78,816)</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4" w:lineRule="exact"/>
        <w:rPr>
          <w:sz w:val="20"/>
          <w:szCs w:val="20"/>
          <w:color w:val="auto"/>
        </w:rPr>
      </w:pPr>
    </w:p>
    <w:p>
      <w:pPr>
        <w:ind w:firstLine="8"/>
        <w:spacing w:after="0" w:line="282"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preliminary purchase accounting adjustment for estimated intangibles based on the acquisition method of accounting. Refer to Note 3 above for additional information on the acquired intangible assets expected to be recognized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fair value of acquired intangibles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net book value of intangible assets</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(515,106)</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554,894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4" w:lineRule="exact"/>
        <w:rPr>
          <w:sz w:val="20"/>
          <w:szCs w:val="20"/>
          <w:color w:val="auto"/>
        </w:rPr>
      </w:pPr>
    </w:p>
    <w:p>
      <w:pPr>
        <w:ind w:firstLine="8"/>
        <w:spacing w:after="0" w:line="282" w:lineRule="auto"/>
        <w:tabs>
          <w:tab w:leader="none" w:pos="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write-off BlueHalo’s historical capitalized software of $39.7 million from property and equipment, net as the future cash flows associated with these assets are captured within the fair value of acquired intangibles.</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write-off BlueHalo’s historical patent costs of $1.4 million from other assets as the future cash flows associated with these assets are captured within the fair value of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right="20" w:firstLine="8"/>
        <w:spacing w:after="0" w:line="282" w:lineRule="auto"/>
        <w:tabs>
          <w:tab w:leader="none" w:pos="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goodwill and excess of the estimated GAAP purchase price over the preliminary fair value of the underlying assets acquired and liabilities assumed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per purchase price allocation (Note 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goodwill</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(874,306)</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8"/>
        <w:spacing w:after="0" w:line="254"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deferred tax liability of $127.0 million associated with the incremental differences in the book and tax basis created from the preliminary purchase allocation, primarily resulting from the preliminary fair value of intangible assets. Further, represents a reclassification of AeroVironment’s historical deferred tax asset of $61.5 million to net against the deferred tax liability, above. These adjustments were based on the applicable statutory tax rate with the respective estimated purchase price allocation. The effective tax rate of the combined company could be significantly different (either higher or lower) depending on post-merger activities, including cash needs, the geographical mix of income and changes in tax law. Because the tax rates used for the pro forma financial information are estimated, the blended rate will likely vary from the actual effective rate in periods after completion of the Merger. This determination is preliminary and subject to change based upon the final determination of the fair value of the acquired assets and assumed liabilities.</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reduction in accounts payable related to AeroVironment’s merger transaction expenses of $3.0 million payable as of April 30, 2025.</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reduction in other current liabilities related to the write-off of BlueHalo’s accrued interest of $4.0 million and accrued transaction expenses of $7.0 million, respectively, as of March 31, 2025 which will be settled at close.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the settlement of BlueHalo’s debt. The impact on current portion of long-term debt and long-term debt have been adjusted for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Current portion of long-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20" w:type="dxa"/>
            <w:vAlign w:val="bottom"/>
          </w:tcPr>
          <w:p>
            <w:pPr>
              <w:spacing w:after="0"/>
              <w:rPr>
                <w:sz w:val="20"/>
                <w:szCs w:val="20"/>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BlueHalo’s indebtedness to be settled at close</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(844,766)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Eliminate BlueHalo’s Companies’ unamortized deferred financing fees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4,986</w:t>
            </w: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(839,780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5"/>
        </w:trPr>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 Reflects the adjustments to Stockholders’ equity (in thousands):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6"/>
        </w:trPr>
        <w:tc>
          <w:tcPr>
            <w:tcW w:w="39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Mezzanine</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BlueHalo’s historical equity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shares of AeroVironment common stock</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issued to BlueHalo’s equity-holders</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2,640,363</w:t>
            </w:r>
          </w:p>
        </w:tc>
        <w:tc>
          <w:tcPr>
            <w:tcW w:w="12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expensed transaction costs (i)</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Estimated deferred transaction costs (ii)</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3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pro forma merger transaction accounting</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left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(730,345)</w:t>
            </w:r>
          </w:p>
        </w:tc>
        <w:tc>
          <w:tcPr>
            <w:tcW w:w="220" w:type="dxa"/>
            <w:vAlign w:val="bottom"/>
            <w:tcBorders>
              <w:lef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2,637,349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(18,903)</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AeroVironment’s non-recurring financial advisory, legal advisory, accounting, and consulting costs associated with the Merger that were not eligible to be deferred.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AeroVironment’s non-recurring financial advisory, legal advisory, accounting, and consulting costs associated with the Merger that were eligible to be deferred and recorded within prepaid expenses and other current assets.</w:t>
      </w:r>
    </w:p>
    <w:p>
      <w:pPr>
        <w:spacing w:after="0" w:line="162"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included in the Financing Transactions Adjustments column in the accompanying unaudited pro forma condensed combined balance sheet as of April 30, 2025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 Reflects adjustment to cash and cash equivalents related to the Financing Transactions (in 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9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Loan A facility (i)</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(ii)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(7,859)</w:t>
            </w:r>
          </w:p>
        </w:tc>
      </w:tr>
      <w:tr>
        <w:trPr>
          <w:trHeight w:val="23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Facility (iii)</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shd w:val="clear" w:color="auto" w:fill="CCEEFF"/>
          </w:tcPr>
          <w:p>
            <w:pPr>
              <w:spacing w:after="0"/>
              <w:rPr>
                <w:sz w:val="19"/>
                <w:szCs w:val="19"/>
                <w:color w:val="auto"/>
              </w:rPr>
            </w:pPr>
          </w:p>
        </w:tc>
      </w:tr>
      <w:tr>
        <w:trPr>
          <w:trHeight w:val="20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financing transaction adjustment</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130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principal amount of AeroVironment’s Term Loan A facility with BofA NA and BofA Securities, Inc. issued in contemplation of the Merger.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commitment fee, structuring fee, legal fees, and other debt issuance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proceeds received by AeroVironment from drawing upon the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447"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As of April 30, 2025, AeroVironment had accrued debt issuance costs associated with the Financing Transaction of $2.7 million within accounts payable.</w:t>
      </w:r>
    </w:p>
    <w:p>
      <w:pPr>
        <w:spacing w:after="0" w:line="225" w:lineRule="exact"/>
        <w:rPr>
          <w:sz w:val="20"/>
          <w:szCs w:val="20"/>
          <w:color w:val="auto"/>
        </w:rPr>
      </w:pPr>
    </w:p>
    <w:p>
      <w:pPr>
        <w:ind w:firstLine="8"/>
        <w:spacing w:after="0" w:line="282" w:lineRule="auto"/>
        <w:tabs>
          <w:tab w:leader="none" w:pos="2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the Financing Transactions. The impact on current portion of long-term debt and long-term debt have been adjusted for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30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Current portion of long-</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A Facility (i)</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665,000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related to Term Loan A facility (ii)</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(6,704)</w:t>
            </w: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(6,704)</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Facility (iii)</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shd w:val="clear" w:color="auto" w:fill="CCEEFF"/>
          </w:tcPr>
          <w:p>
            <w:pPr>
              <w:spacing w:after="0"/>
              <w:rPr>
                <w:sz w:val="19"/>
                <w:szCs w:val="19"/>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financing transaction adjustment</w:t>
            </w:r>
          </w:p>
        </w:tc>
        <w:tc>
          <w:tcPr>
            <w:tcW w:w="1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883,296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Term Loan A facility issued by AeroVironment in contemplation of the Merger.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commitment fee, structuring fee, legal fees and other debt issuance costs.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proceeds received by the AeroVironment from drawing upon the Revolving Facility. Capitalized debt issuance costs associated with the Revolving Facility of $0.7 million were reflected as a pro forma financing transaction adjustment to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2025, AeroVironment had capitalized debt issuance costs associated with the Financing Transactions of $2.2 million within prepaid and other current assets. AeroVironment expensed $0.5 million of debt issuance costs associated with the Financing Transaction for the year ended April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 Forma Adjustments to the Unaudited Condensed Combined Statement of Income (Loss)</w:t>
      </w:r>
    </w:p>
    <w:p>
      <w:pPr>
        <w:spacing w:after="0" w:line="229"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included in the Merger Transaction Accounting Adjustments column in the accompanying unaudited pro forma condensed combined statement of income (loss) for the year ended April 30, 2025 are as follows: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cost of product sales including the amortization of the estimated fair value of intangibles and the amortization of the estimated inventory fair value adjustment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8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amortization of intangible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(8,328)</w:t>
            </w:r>
          </w:p>
        </w:tc>
      </w:tr>
      <w:tr>
        <w:trPr>
          <w:trHeight w:val="23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inventory fair value adjustment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31,184</w:t>
            </w:r>
          </w:p>
        </w:tc>
        <w:tc>
          <w:tcPr>
            <w:tcW w:w="80" w:type="dxa"/>
            <w:vAlign w:val="bottom"/>
            <w:shd w:val="clear" w:color="auto" w:fill="CCEEFF"/>
          </w:tcPr>
          <w:p>
            <w:pPr>
              <w:spacing w:after="0"/>
              <w:rPr>
                <w:sz w:val="19"/>
                <w:szCs w:val="19"/>
                <w:color w:val="auto"/>
              </w:rPr>
            </w:pP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Reflects the adjustments to cost of contract services sold including the amortization of the estimated fair value of intangibles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4620" w:type="dxa"/>
            <w:vAlign w:val="bottom"/>
            <w:gridSpan w:val="4"/>
          </w:tcPr>
          <w:p>
            <w:pPr>
              <w:ind w:left="2280"/>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66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00" w:type="dxa"/>
            <w:vAlign w:val="bottom"/>
            <w:shd w:val="clear" w:color="auto" w:fill="CCEEFF"/>
          </w:tcPr>
          <w:p>
            <w:pPr>
              <w:spacing w:after="0"/>
              <w:rPr>
                <w:sz w:val="18"/>
                <w:szCs w:val="18"/>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amortization of intangible assets</w:t>
            </w: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(9,366)</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2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8"/>
        <w:spacing w:after="0" w:line="282" w:lineRule="auto"/>
        <w:tabs>
          <w:tab w:leader="none" w:pos="6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selling, general and administrative expenses (“SG&amp;A”) including the amortization of the estimated fair value of intangibles and the estimated transaction costs expensed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426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698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138,571</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amortization of intangible assets</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(35,830)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BlueHalo’s historical depreciation of capitalized software assets</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(11,189)</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Estimated AeroVironment transaction expenses(i)</w:t>
            </w:r>
          </w:p>
        </w:tc>
        <w:tc>
          <w:tcPr>
            <w:tcW w:w="1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18,903</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1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30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transaction costs to be incurred by AeroVironment after April 30, 2025. These costs will not affect AeroVironment’s consolidated statement of income (loss) beyond twelve months after the acquisition date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historical interest expense associated with BlueHalo’s existing indebtedness which was extinguished at the Closing date of the Merger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89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BlueHalo’s historical interest expense, net of interest income</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74,159</w:t>
            </w:r>
          </w:p>
        </w:tc>
        <w:tc>
          <w:tcPr>
            <w:tcW w:w="100" w:type="dxa"/>
            <w:vAlign w:val="bottom"/>
            <w:shd w:val="clear" w:color="auto" w:fill="CCEEFF"/>
          </w:tcPr>
          <w:p>
            <w:pPr>
              <w:spacing w:after="0"/>
              <w:rPr>
                <w:sz w:val="18"/>
                <w:szCs w:val="18"/>
                <w:color w:val="auto"/>
              </w:rPr>
            </w:pPr>
          </w:p>
        </w:tc>
      </w:tr>
      <w:tr>
        <w:trPr>
          <w:trHeight w:val="425"/>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 To record the income tax impact of the pro forma adjustments (in thousands):</w:t>
            </w: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9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89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09"/>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adjustments to income (loss) before income taxes</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(105,036)</w:t>
            </w:r>
          </w:p>
        </w:tc>
        <w:tc>
          <w:tcPr>
            <w:tcW w:w="140" w:type="dxa"/>
            <w:vAlign w:val="bottom"/>
            <w:gridSpan w:val="2"/>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Less: BlueHalo’s historical interest expense (i)</w:t>
            </w:r>
          </w:p>
        </w:tc>
        <w:tc>
          <w:tcPr>
            <w:tcW w:w="48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(74,159)</w:t>
            </w:r>
          </w:p>
        </w:tc>
      </w:tr>
      <w:tr>
        <w:trPr>
          <w:trHeight w:val="230"/>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AeroVironment transaction expenses estimated to not be deductible for tax purposes (ii)</w:t>
            </w:r>
          </w:p>
        </w:tc>
        <w:tc>
          <w:tcPr>
            <w:tcW w:w="480" w:type="dxa"/>
            <w:vAlign w:val="bottom"/>
            <w:shd w:val="clear" w:color="auto" w:fill="CCEEFF"/>
          </w:tcPr>
          <w:p>
            <w:pPr>
              <w:spacing w:after="0"/>
              <w:rPr>
                <w:sz w:val="19"/>
                <w:szCs w:val="19"/>
                <w:color w:val="auto"/>
              </w:rPr>
            </w:pPr>
          </w:p>
        </w:tc>
        <w:tc>
          <w:tcPr>
            <w:tcW w:w="1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Historical and pro forma amounts to be tax affected</w:t>
            </w:r>
          </w:p>
        </w:tc>
        <w:tc>
          <w:tcPr>
            <w:tcW w:w="4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(175,110)</w:t>
            </w:r>
          </w:p>
        </w:tc>
        <w:tc>
          <w:tcPr>
            <w:tcW w:w="140" w:type="dxa"/>
            <w:vAlign w:val="bottom"/>
            <w:gridSpan w:val="2"/>
          </w:tcPr>
          <w:p>
            <w:pPr>
              <w:spacing w:after="0"/>
              <w:rPr>
                <w:sz w:val="18"/>
                <w:szCs w:val="18"/>
                <w:color w:val="auto"/>
              </w:rPr>
            </w:pPr>
          </w:p>
        </w:tc>
      </w:tr>
      <w:tr>
        <w:trPr>
          <w:trHeight w:val="230"/>
        </w:trPr>
        <w:tc>
          <w:tcPr>
            <w:tcW w:w="8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statutory income tax rate (iii)</w:t>
            </w:r>
          </w:p>
        </w:tc>
        <w:tc>
          <w:tcPr>
            <w:tcW w:w="48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merger transaction accounting adjustment</w:t>
            </w: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(42,026</w:t>
            </w:r>
          </w:p>
        </w:tc>
        <w:tc>
          <w:tcPr>
            <w:tcW w:w="1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58"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BlueHalo historically was unable to recognize a tax benefit when recognizing interest expense due to a limitation under Section 163(j) and associated valuation allowance against its Section 163(j) carryover tax attribute, as it was determined the realizability of such attribute was not at more-likely-than-not. Consequently, no adjustment has been made to tax effect the reversal of historical interest expense. AeroVironment is expected to recognize a tax benefit when recognizing interest expense as the realizability is deemed to be at more-likely-than-not, and therefore the prospective interest expense has been tax effected.</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$14.8 million of AeroVironment transaction expenses estimated to be deductible for tax purposes.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estimated statutory income tax rate in effect of 24% for the year ended April 30, 2025. The effective tax rate of the combined company could be significantly different (either higher or lower) depending on post-merger activities, including cash needs, the geographical mix of income and changes in tax law. Because the tax rates used for the pro forma financial information are estimated, the blended rate will likely vary from the actual effective rate in periods after completion of the Merger. This determination is preliminary and subject to change based upon the final determination of the fair value of the acquired assets and assumed liabilities.</w:t>
      </w:r>
    </w:p>
    <w:p>
      <w:pPr>
        <w:spacing w:after="0" w:line="183"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weighted average shares outstanding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3940" w:type="dxa"/>
            <w:vAlign w:val="bottom"/>
            <w:gridSpan w:val="4"/>
          </w:tcPr>
          <w:p>
            <w:pPr>
              <w:ind w:left="1600"/>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7300" w:type="dxa"/>
            <w:vAlign w:val="bottom"/>
          </w:tcPr>
          <w:p>
            <w:pPr>
              <w:spacing w:after="0"/>
              <w:rPr>
                <w:sz w:val="20"/>
                <w:szCs w:val="20"/>
                <w:color w:val="auto"/>
              </w:rPr>
            </w:pPr>
          </w:p>
        </w:tc>
        <w:tc>
          <w:tcPr>
            <w:tcW w:w="38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basic and dilutive weighted average shares:</w:t>
            </w:r>
          </w:p>
        </w:tc>
        <w:tc>
          <w:tcPr>
            <w:tcW w:w="16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Historical weighted average AeroVironment common stock shares outstanding</w:t>
            </w:r>
          </w:p>
        </w:tc>
        <w:tc>
          <w:tcPr>
            <w:tcW w:w="3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28,018,656</w:t>
            </w:r>
          </w:p>
        </w:tc>
        <w:tc>
          <w:tcPr>
            <w:tcW w:w="80" w:type="dxa"/>
            <w:vAlign w:val="bottom"/>
          </w:tcPr>
          <w:p>
            <w:pPr>
              <w:spacing w:after="0"/>
              <w:rPr>
                <w:sz w:val="18"/>
                <w:szCs w:val="18"/>
                <w:color w:val="auto"/>
              </w:rPr>
            </w:pPr>
          </w:p>
        </w:tc>
      </w:tr>
      <w:tr>
        <w:trPr>
          <w:trHeight w:val="23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to BlueHalo</w:t>
            </w:r>
          </w:p>
        </w:tc>
        <w:tc>
          <w:tcPr>
            <w:tcW w:w="3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17,425,849</w:t>
            </w:r>
          </w:p>
        </w:tc>
        <w:tc>
          <w:tcPr>
            <w:tcW w:w="80" w:type="dxa"/>
            <w:vAlign w:val="bottom"/>
            <w:shd w:val="clear" w:color="auto" w:fill="CCEEFF"/>
          </w:tcPr>
          <w:p>
            <w:pPr>
              <w:spacing w:after="0"/>
              <w:rPr>
                <w:sz w:val="19"/>
                <w:szCs w:val="19"/>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 basic and dilutive</w:t>
            </w:r>
          </w:p>
        </w:tc>
        <w:tc>
          <w:tcPr>
            <w:tcW w:w="1600" w:type="dxa"/>
            <w:vAlign w:val="bottom"/>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45,444,505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Potentially dilutive shares not included in the computation of diluted weighted-average common shares because their effect would have been anti-dilutive were 154,832 for the year ended April 30, 2025.</w:t>
      </w:r>
    </w:p>
    <w:p>
      <w:pPr>
        <w:spacing w:after="0" w:line="162" w:lineRule="exact"/>
        <w:rPr>
          <w:sz w:val="20"/>
          <w:szCs w:val="20"/>
          <w:color w:val="auto"/>
        </w:rPr>
      </w:pPr>
    </w:p>
    <w:p>
      <w:pPr>
        <w:ind w:left="340" w:right="2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included in the Financing Transactions Adjustment column in the accompanying unaudited pro forma condensed combined statement of income (loss) for the year ended April 30, 2025 are as follows:</w:t>
      </w:r>
    </w:p>
    <w:p>
      <w:pPr>
        <w:spacing w:after="0" w:line="162"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income (expense), net related to the financing and amortization of issuance costs related to the Financing Transactions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414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710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to the Financing Transactions (i)</w:t>
            </w:r>
          </w:p>
        </w:tc>
        <w:tc>
          <w:tcPr>
            <w:tcW w:w="1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(63,148)</w:t>
            </w:r>
          </w:p>
        </w:tc>
        <w:tc>
          <w:tcPr>
            <w:tcW w:w="10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 related to AeroVironment’s financing</w:t>
            </w: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(3,593)</w:t>
            </w: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financing transaction adjustment:</w:t>
            </w:r>
          </w:p>
        </w:tc>
        <w:tc>
          <w:tcPr>
            <w:tcW w:w="18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ind w:left="1300" w:hanging="320"/>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estimated interest rate of 6.9%. A 0.125% variance in the weighted–average variable interest rates would result in a $1.1 million change in income before income taxes annually.</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income tax impact of the pro forma adjustments utilizing an estimated statutory income tax rate in effect of 24% for the year ended April 30, 2025. The effective tax rate of the combined company could be significantly different (either higher or lower) depending on post-merger activities, including cash needs, the geographical mix of income and changes in tax law. Because the tax rates used for the pro forma financial information are estimated, the blended rate will likely vary from the actual effective rate in periods after completion of the Merger. This determination is preliminary and subject to change based upon the final determination of the fair value of the acquired assets and assumed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 – Adjustments to the Unaudited Pro Forma Combined Financial Information for the July 2025 Transactions</w:t>
      </w:r>
    </w:p>
    <w:p>
      <w:pPr>
        <w:spacing w:after="0" w:line="229" w:lineRule="exact"/>
        <w:rPr>
          <w:sz w:val="20"/>
          <w:szCs w:val="20"/>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included in the July 2025 Transaction Adjustments column in the accompanying unaudited pro forma condensed combined balance sheet as of April 30, 2025 are as follows:</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Reflects adjustment to cash and cash equivalents (in thousands):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proceeds from the Convertible Notes Offering, net of estimated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proceeds from the Common Stock Offering, net of estimated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the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the Revolver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July 2025 Transaction adjustments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640" w:hanging="63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583,700</w:t>
      </w:r>
    </w:p>
    <w:p>
      <w:pPr>
        <w:spacing w:after="0" w:line="2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722,450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(700,000)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(255,000)</w:t>
      </w:r>
    </w:p>
    <w:p>
      <w:pPr>
        <w:spacing w:after="0" w:line="31" w:lineRule="exact"/>
        <w:rPr>
          <w:sz w:val="20"/>
          <w:szCs w:val="20"/>
          <w:color w:val="auto"/>
        </w:rPr>
      </w:pPr>
    </w:p>
    <w:p>
      <w:pPr>
        <w:ind w:left="640" w:hanging="63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900" w:right="3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April 30, 2025, AeroVironment drew an additional $10.0 million on the Revolver for a total of $265.0 million and incurred approximately $0.4 million of interest on the Revolver and the Term Loan, which will be repaid using net proceeds from the July 2025 Transactions. As such, actual cash proceeds will be $10.4 million less than the pro forma adjustment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adjustment to current and long-term debt is comprised of the following items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7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Current portion of long-</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20"/>
                <w:szCs w:val="20"/>
                <w:color w:val="auto"/>
              </w:rPr>
            </w:pPr>
          </w:p>
        </w:tc>
        <w:tc>
          <w:tcPr>
            <w:tcW w:w="10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Convertible Notes Offering</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the Term Loan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(665,000)</w:t>
            </w:r>
          </w:p>
        </w:tc>
        <w:tc>
          <w:tcPr>
            <w:tcW w:w="24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the Revolver</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(255,000)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(255,000)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related to the Convertible Notes (i)</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(16,300)</w:t>
            </w:r>
          </w:p>
        </w:tc>
        <w:tc>
          <w:tcPr>
            <w:tcW w:w="24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(16,300)</w:t>
            </w:r>
          </w:p>
        </w:tc>
      </w:tr>
      <w:tr>
        <w:trPr>
          <w:trHeight w:val="23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unamortized deferred financing fees related to the Term Loan</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6,704</w:t>
            </w: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80" w:type="dxa"/>
            <w:vAlign w:val="bottom"/>
            <w:shd w:val="clear" w:color="auto" w:fill="CCEEFF"/>
          </w:tcPr>
          <w:p>
            <w:pPr>
              <w:spacing w:after="0"/>
              <w:rPr>
                <w:sz w:val="19"/>
                <w:szCs w:val="19"/>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July 2025 Transaction adjustment</w:t>
            </w: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(364,596</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320"/>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commitment fee, structuring fee, legal fees and other debt issuance costs.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net decrease in income taxes payable of $1.6 million related to the tax impact of the write-off unamortized deferred financing fees related to the Term Loan and an estimated net reduction of deferred income taxes of $3.9 million related to the tax impact of the Convertible Notes deferred financing fees.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Stockholders’ equity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r>
      <w:tr>
        <w:trPr>
          <w:trHeight w:val="238"/>
        </w:trPr>
        <w:tc>
          <w:tcPr>
            <w:tcW w:w="4460" w:type="dxa"/>
            <w:vAlign w:val="bottom"/>
          </w:tcPr>
          <w:p>
            <w:pPr>
              <w:spacing w:after="0"/>
              <w:rPr>
                <w:sz w:val="20"/>
                <w:szCs w:val="20"/>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Members’ Equity</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Offering, net of issuance costs</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on the Term Loan debt extinguishment</w:t>
            </w:r>
          </w:p>
        </w:tc>
        <w:tc>
          <w:tcPr>
            <w:tcW w:w="7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(6,704)</w:t>
            </w:r>
          </w:p>
        </w:tc>
        <w:tc>
          <w:tcPr>
            <w:tcW w:w="10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tax impact related to deferred financing fees and write-</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 of the Term Loan deferred financing fees</w:t>
            </w:r>
          </w:p>
        </w:tc>
        <w:tc>
          <w:tcPr>
            <w:tcW w:w="7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5,521</w:t>
            </w:r>
          </w:p>
        </w:tc>
        <w:tc>
          <w:tcPr>
            <w:tcW w:w="10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r>
      <w:tr>
        <w:trPr>
          <w:trHeight w:val="178"/>
        </w:trPr>
        <w:tc>
          <w:tcPr>
            <w:tcW w:w="4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pro forma July 2025 Transaction adjustment to</w:t>
            </w:r>
          </w:p>
        </w:tc>
        <w:tc>
          <w:tcPr>
            <w:tcW w:w="7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722,450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r>
      <w:tr>
        <w:trPr>
          <w:trHeight w:val="668"/>
        </w:trPr>
        <w:tc>
          <w:tcPr>
            <w:tcW w:w="446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5" w:name="page16"/>
    <w:bookmarkEnd w:id="15"/>
    <w:p>
      <w:pPr>
        <w:ind w:left="340" w:right="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included in the July 2025 Transaction Adjustments column in the accompanying unaudited pro forma condensed combined statement of income (loss) for the year ended April 30, 2025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Reflects adjustment to interest income (expense) relating to the repayment of indebtedness under the Term Loan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Year Ended April 30,</w:t>
            </w:r>
          </w:p>
        </w:tc>
      </w:tr>
      <w:tr>
        <w:trPr>
          <w:trHeight w:val="238"/>
        </w:trPr>
        <w:tc>
          <w:tcPr>
            <w:tcW w:w="8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Remove interest expense related to the Term Loan and Revolver Financing Transactions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the Convertible Notes Offering (i)</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(4,760)</w:t>
            </w:r>
          </w:p>
        </w:tc>
      </w:tr>
      <w:tr>
        <w:trPr>
          <w:trHeight w:val="229"/>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the Term Loan debt extinguishment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(6,704)</w:t>
            </w: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pro forma July 2025 Transaction adjustment to interest income (expense)</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left="1300" w:hanging="320"/>
        <w:spacing w:after="0" w:line="261"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assumed interest rate of 0.25% for $600.0 million of convertible senior notes. A 12.5 basis point variance in the interest rate for $600.0 million of convertible senior notes would result in a $0.7 million change in income before income taxes annually. Each variance of $100.0 million in principal amount of convertible senior notes sold in the Convertible Notes Offering would result in a $0.3 million change in income before income taxes annually.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income tax impact of the pro forma adjustments utilizing an estimated statutory income tax rate in effect of 24% for the year ended April 30, 2025. The effective tax rate of the combined company could be significantly different (either higher or lower) depending on post-merger activities, including cash needs, the geographical mix of income and changes in tax law. Because the tax rates used for the pro forma financial information are estimated, the blended rate will likely vary from the actual effective rate in periods after completion of the Merger. This determination is preliminary and subject to change based upon the final determination of the fair value of the acquired assets and assumed liabilities.</w:t>
      </w:r>
    </w:p>
    <w:p>
      <w:pPr>
        <w:sectPr>
          <w:pgSz w:w="11900" w:h="16838" w:orient="portrait"/>
          <w:cols w:equalWidth="0" w:num="1">
            <w:col w:w="11240"/>
          </w:cols>
          <w:pgMar w:left="320" w:top="90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pro forma basic and diluted weighted average shares outstanding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basic and dilutive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color w:val="auto"/>
        </w:rPr>
        <w:t>Pro forma weighted average shares - basic and dilutive, for the Transaction and Financing Adjustments Pro forma weighted average shares - basic and dilutive, further adjusted for the Common Stock Offering (i) Pro forma weighted average shares – basic and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Year Ended April 30,</w:t>
      </w:r>
    </w:p>
    <w:p>
      <w:pPr>
        <w:spacing w:after="0" w:line="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45,444,505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2,697,162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1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48,141,667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14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180" w:space="720"/>
            <w:col w:w="2340"/>
          </w:cols>
          <w:pgMar w:left="320" w:top="904" w:right="339" w:bottom="1440" w:gutter="0" w:footer="0" w:header="0"/>
          <w:type w:val="continuous"/>
        </w:sectPr>
      </w:pPr>
    </w:p>
    <w:p>
      <w:pPr>
        <w:spacing w:after="0" w:line="6" w:lineRule="exact"/>
        <w:rPr>
          <w:sz w:val="20"/>
          <w:szCs w:val="20"/>
          <w:color w:val="auto"/>
        </w:rPr>
      </w:pPr>
    </w:p>
    <w:p>
      <w:pPr>
        <w:ind w:left="1300" w:hanging="320"/>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assumed sale of $750.0 million of common stock in the Common Stock Offering at an assumed public offering price of $278.07 per share, the last reported sale price for AeroVironment’s common stock on June 27, 2025.</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Potentially dilutive shares not included in the computation of diluted weighted-average common shares because their effect would have been anti-dilutive were 154,832 for the year ended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2"/>
    </w:lvl>
  </w:abstractNum>
  <w:abstractNum w:abstractNumId="2">
    <w:nsid w:val="6763845E"/>
    <w:multiLevelType w:val="hybridMultilevel"/>
    <w:lvl w:ilvl="0">
      <w:lvlJc w:val="left"/>
      <w:lvlText w:val="(%1)"/>
      <w:numFmt w:val="lowerLetter"/>
      <w:start w:val="4"/>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upp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upperLetter"/>
      <w:start w:val="2"/>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1)"/>
      <w:numFmt w:val="lowerRoman"/>
      <w:start w:val="1"/>
    </w:lvl>
  </w:abstractNum>
  <w:abstractNum w:abstractNumId="12">
    <w:nsid w:val="836C40E"/>
    <w:multiLevelType w:val="hybridMultilevel"/>
    <w:lvl w:ilvl="0">
      <w:lvlJc w:val="left"/>
      <w:lvlText w:val="%1)"/>
      <w:numFmt w:val="lowerRoman"/>
      <w:start w:val="3"/>
    </w:lvl>
  </w:abstractNum>
  <w:abstractNum w:abstractNumId="13">
    <w:nsid w:val="2901D82"/>
    <w:multiLevelType w:val="hybridMultilevel"/>
    <w:lvl w:ilvl="0">
      <w:lvlJc w:val="left"/>
      <w:lvlText w:val="%1)"/>
      <w:numFmt w:val="upperLetter"/>
      <w:start w:val="1"/>
    </w:lvl>
  </w:abstractNum>
  <w:abstractNum w:abstractNumId="14">
    <w:nsid w:val="3A95F874"/>
    <w:multiLevelType w:val="hybridMultilevel"/>
    <w:lvl w:ilvl="0">
      <w:lvlJc w:val="left"/>
      <w:lvlText w:val="%1"/>
      <w:numFmt w:val="lowerLetter"/>
      <w:start w:val="1"/>
    </w:lvl>
    <w:lvl w:ilvl="1">
      <w:lvlJc w:val="left"/>
      <w:lvlText w:val="%2)"/>
      <w:numFmt w:val="lowerRoman"/>
      <w:start w:val="1"/>
    </w:lvl>
  </w:abstractNum>
  <w:abstractNum w:abstractNumId="15">
    <w:nsid w:val="8138641"/>
    <w:multiLevelType w:val="hybridMultilevel"/>
    <w:lvl w:ilvl="0">
      <w:lvlJc w:val="left"/>
      <w:lvlText w:val="(%1)"/>
      <w:numFmt w:val="lowerLetter"/>
      <w:start w:val="2"/>
    </w:lvl>
    <w:lvl w:ilvl="1">
      <w:lvlJc w:val="left"/>
      <w:lvlText w:val="%2"/>
      <w:numFmt w:val="lowerRoman"/>
      <w:start w:val="1"/>
    </w:lvl>
  </w:abstractNum>
  <w:abstractNum w:abstractNumId="16">
    <w:nsid w:val="1E7FF521"/>
    <w:multiLevelType w:val="hybridMultilevel"/>
    <w:lvl w:ilvl="0">
      <w:lvlJc w:val="left"/>
      <w:lvlText w:val="(%1)"/>
      <w:numFmt w:val="lowerLetter"/>
      <w:start w:val="3"/>
    </w:lvl>
  </w:abstractNum>
  <w:abstractNum w:abstractNumId="17">
    <w:nsid w:val="7C3DBD3D"/>
    <w:multiLevelType w:val="hybridMultilevel"/>
    <w:lvl w:ilvl="0">
      <w:lvlJc w:val="left"/>
      <w:lvlText w:val="(%1)"/>
      <w:numFmt w:val="lowerLetter"/>
      <w:start w:val="4"/>
    </w:lvl>
  </w:abstractNum>
  <w:abstractNum w:abstractNumId="18">
    <w:nsid w:val="737B8DDC"/>
    <w:multiLevelType w:val="hybridMultilevel"/>
    <w:lvl w:ilvl="0">
      <w:lvlJc w:val="left"/>
      <w:lvlText w:val="(%1)"/>
      <w:numFmt w:val="lowerLetter"/>
      <w:start w:val="6"/>
    </w:lvl>
  </w:abstractNum>
  <w:abstractNum w:abstractNumId="19">
    <w:nsid w:val="6CEAF087"/>
    <w:multiLevelType w:val="hybridMultilevel"/>
    <w:lvl w:ilvl="0">
      <w:lvlJc w:val="left"/>
      <w:lvlText w:val="(%1)"/>
      <w:numFmt w:val="lowerLetter"/>
      <w:start w:val="7"/>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1)"/>
      <w:numFmt w:val="upperLetter"/>
      <w:start w:val="2"/>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lowerLetter"/>
      <w:start w:val="2"/>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upperLetter"/>
      <w:start w:val="1"/>
    </w:lvl>
    <w:lvl w:ilvl="1">
      <w:lvlJc w:val="left"/>
      <w:lvlText w:val="(%2)"/>
      <w:numFmt w:val="lowerLetter"/>
      <w:start w:val="1"/>
    </w:lvl>
  </w:abstractNum>
  <w:abstractNum w:abstractNumId="26">
    <w:nsid w:val="440BADFC"/>
    <w:multiLevelType w:val="hybridMultilevel"/>
    <w:lvl w:ilvl="0">
      <w:lvlJc w:val="left"/>
      <w:lvlText w:val="(%1)"/>
      <w:numFmt w:val="lowerLetter"/>
      <w:start w:val="3"/>
    </w:lvl>
  </w:abstractNum>
  <w:abstractNum w:abstractNumId="27">
    <w:nsid w:val="5072367"/>
    <w:multiLevelType w:val="hybridMultilevel"/>
    <w:lvl w:ilvl="0">
      <w:lvlJc w:val="left"/>
      <w:lvlText w:val="%1"/>
      <w:numFmt w:val="lowerLetter"/>
      <w:start w:val="1"/>
    </w:lvl>
    <w:lvl w:ilvl="1">
      <w:lvlJc w:val="left"/>
      <w:lvlText w:val="%2)"/>
      <w:numFmt w:val="lowerRoman"/>
      <w:start w:val="1"/>
    </w:lvl>
  </w:abstractNum>
  <w:abstractNum w:abstractNumId="28">
    <w:nsid w:val="3804823E"/>
    <w:multiLevelType w:val="hybridMultilevel"/>
    <w:lvl w:ilvl="0">
      <w:lvlJc w:val="left"/>
      <w:lvlText w:val="(%1)"/>
      <w:numFmt w:val="lowerLetter"/>
      <w:start w:val="4"/>
    </w:lvl>
    <w:lvl w:ilvl="1">
      <w:lvlJc w:val="left"/>
      <w:lvlText w:val="%2"/>
      <w:numFmt w:val="lowerRoman"/>
      <w:start w:val="1"/>
    </w:lvl>
  </w:abstractNum>
  <w:abstractNum w:abstractNumId="29">
    <w:nsid w:val="77465F01"/>
    <w:multiLevelType w:val="hybridMultilevel"/>
    <w:lvl w:ilvl="0">
      <w:lvlJc w:val="left"/>
      <w:lvlText w:val="%1"/>
      <w:numFmt w:val="lowerLetter"/>
      <w:start w:val="1"/>
    </w:lvl>
    <w:lvl w:ilvl="1">
      <w:lvlJc w:val="left"/>
      <w:lvlText w:val="%2)"/>
      <w:numFmt w:val="lowerRoman"/>
      <w:start w:val="1"/>
    </w:lvl>
  </w:abstractNum>
  <w:abstractNum w:abstractNumId="30">
    <w:nsid w:val="7724C67E"/>
    <w:multiLevelType w:val="hybridMultilevel"/>
    <w:lvl w:ilvl="0">
      <w:lvlJc w:val="left"/>
      <w:lvlText w:val="(%1)"/>
      <w:numFmt w:val="lowerLetter"/>
      <w:start w:val="6"/>
    </w:lvl>
    <w:lvl w:ilvl="1">
      <w:lvlJc w:val="left"/>
      <w:lvlText w:val="%2"/>
      <w:numFmt w:val="lowerRoman"/>
      <w:start w:val="1"/>
    </w:lvl>
  </w:abstractNum>
  <w:abstractNum w:abstractNumId="31">
    <w:nsid w:val="5C482A97"/>
    <w:multiLevelType w:val="hybridMultilevel"/>
    <w:lvl w:ilvl="0">
      <w:lvlJc w:val="left"/>
      <w:lvlText w:val="%1)"/>
      <w:numFmt w:val="upperLetter"/>
      <w:start w:val="2"/>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lvl w:ilvl="1">
      <w:lvlJc w:val="left"/>
      <w:lvlText w:val="%2)"/>
      <w:numFmt w:val="lowerRoman"/>
      <w:start w:val="1"/>
    </w:lvl>
  </w:abstractNum>
  <w:abstractNum w:abstractNumId="34">
    <w:nsid w:val="51EAD36B"/>
    <w:multiLevelType w:val="hybridMultilevel"/>
    <w:lvl w:ilvl="0">
      <w:lvlJc w:val="left"/>
      <w:lvlText w:val="(%1)"/>
      <w:numFmt w:val="lowerLetter"/>
      <w:start w:val="2"/>
    </w:lvl>
    <w:lvl w:ilvl="1">
      <w:lvlJc w:val="left"/>
      <w:lvlText w:val="%2"/>
      <w:numFmt w:val="lowerRoman"/>
      <w:start w:val="1"/>
    </w:lvl>
  </w:abstractNum>
  <w:abstractNum w:abstractNumId="35">
    <w:nsid w:val="2D517796"/>
    <w:multiLevelType w:val="hybridMultilevel"/>
    <w:lvl w:ilvl="0">
      <w:lvlJc w:val="left"/>
      <w:lvlText w:val="%1)"/>
      <w:numFmt w:val="upperLetter"/>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lvl w:ilvl="1">
      <w:lvlJc w:val="left"/>
      <w:lvlText w:val="%2)"/>
      <w:numFmt w:val="lowerRoman"/>
      <w:start w:val="1"/>
    </w:lvl>
  </w:abstractNum>
  <w:abstractNum w:abstractNumId="39">
    <w:nsid w:val="70A64E2A"/>
    <w:multiLevelType w:val="hybridMultilevel"/>
    <w:lvl w:ilvl="0">
      <w:lvlJc w:val="left"/>
      <w:lvlText w:val="(%1)"/>
      <w:numFmt w:val="lowerLetter"/>
      <w:start w:val="3"/>
    </w:lvl>
    <w:lvl w:ilvl="1">
      <w:lvlJc w:val="left"/>
      <w:lvlText w:val="%2"/>
      <w:numFmt w:val="lowerRoman"/>
      <w:start w:val="1"/>
    </w:lvl>
  </w:abstractNum>
  <w:abstractNum w:abstractNumId="40">
    <w:nsid w:val="6A2342EC"/>
    <w:multiLevelType w:val="hybridMultilevel"/>
    <w:lvl w:ilvl="0">
      <w:lvlJc w:val="left"/>
      <w:lvlText w:val="%1)"/>
      <w:numFmt w:val="upperLetter"/>
      <w:start w:val="2"/>
    </w:lvl>
  </w:abstractNum>
  <w:abstractNum w:abstractNumId="41">
    <w:nsid w:val="2A487CB0"/>
    <w:multiLevelType w:val="hybridMultilevel"/>
    <w:lvl w:ilvl="0">
      <w:lvlJc w:val="left"/>
      <w:lvlText w:val="%1"/>
      <w:numFmt w:val="lowerLetter"/>
      <w:start w:val="1"/>
    </w:lvl>
    <w:lvl w:ilvl="1">
      <w:lvlJc w:val="left"/>
      <w:lvlText w:val="%2)"/>
      <w:numFmt w:val="lowerRoman"/>
      <w:start w:val="1"/>
    </w:lvl>
  </w:abstractNum>
  <w:abstractNum w:abstractNumId="42">
    <w:nsid w:val="1D4ED43B"/>
    <w:multiLevelType w:val="hybridMultilevel"/>
    <w:lvl w:ilvl="0">
      <w:lvlJc w:val="left"/>
      <w:lvlText w:val="(%1)"/>
      <w:numFmt w:val="lowerLetter"/>
      <w:start w:val="2"/>
    </w:lvl>
    <w:lvl w:ilvl="1">
      <w:lvlJc w:val="left"/>
      <w:lvlText w:val="%2"/>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2025-07-01T05:13:12Z</dcterms:created>
  <dcterms:modified xsi:type="dcterms:W3CDTF">2025-07-01T05:13:12Z</dcterms:modified>
</cp:coreProperties>
</file>