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197485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266065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142240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180975</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November 1, 2025</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38"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5" w:lineRule="exact"/>
        <w:rPr>
          <w:sz w:val="24"/>
          <w:szCs w:val="24"/>
          <w:color w:val="auto"/>
        </w:rPr>
      </w:pPr>
    </w:p>
    <w:p>
      <w:pPr>
        <w:ind w:left="3580"/>
        <w:spacing w:after="0"/>
        <w:tabs>
          <w:tab w:leader="none" w:pos="582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001-33261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161925</wp:posOffset>
            </wp:positionV>
            <wp:extent cx="15773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AEROVIRONMENT,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8" w:lineRule="exact"/>
        <w:rPr>
          <w:sz w:val="24"/>
          <w:szCs w:val="24"/>
          <w:color w:val="auto"/>
        </w:rPr>
      </w:pPr>
    </w:p>
    <w:tbl>
      <w:tblPr>
        <w:tblLayout w:type="fixed"/>
        <w:tblInd w:w="720" w:type="dxa"/>
        <w:tblCellMar>
          <w:top w:w="0" w:type="dxa"/>
          <w:left w:w="0" w:type="dxa"/>
          <w:bottom w:w="0" w:type="dxa"/>
          <w:right w:w="0" w:type="dxa"/>
        </w:tblCellMar>
      </w:tblPr>
      <w:tr>
        <w:trPr>
          <w:trHeight w:val="164"/>
        </w:trPr>
        <w:tc>
          <w:tcPr>
            <w:tcW w:w="4580" w:type="dxa"/>
            <w:vAlign w:val="bottom"/>
          </w:tcPr>
          <w:p>
            <w:pPr>
              <w:jc w:val="center"/>
              <w:ind w:right="108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24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95-2705790</w:t>
            </w:r>
          </w:p>
        </w:tc>
      </w:tr>
      <w:tr>
        <w:trPr>
          <w:trHeight w:val="188"/>
        </w:trPr>
        <w:tc>
          <w:tcPr>
            <w:tcW w:w="4580" w:type="dxa"/>
            <w:vAlign w:val="bottom"/>
          </w:tcPr>
          <w:p>
            <w:pPr>
              <w:jc w:val="center"/>
              <w:ind w:right="106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240" w:type="dxa"/>
            <w:vAlign w:val="bottom"/>
          </w:tcPr>
          <w:p>
            <w:pPr>
              <w:jc w:val="center"/>
              <w:ind w:left="108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82"/>
        </w:trPr>
        <w:tc>
          <w:tcPr>
            <w:tcW w:w="4580" w:type="dxa"/>
            <w:vAlign w:val="bottom"/>
          </w:tcPr>
          <w:p>
            <w:pPr>
              <w:jc w:val="center"/>
              <w:ind w:right="1068"/>
              <w:spacing w:after="0"/>
              <w:rPr>
                <w:sz w:val="20"/>
                <w:szCs w:val="20"/>
                <w:color w:val="auto"/>
              </w:rPr>
            </w:pPr>
            <w:r>
              <w:rPr>
                <w:rFonts w:ascii="Times New Roman" w:cs="Times New Roman" w:eastAsia="Times New Roman" w:hAnsi="Times New Roman"/>
                <w:sz w:val="14"/>
                <w:szCs w:val="14"/>
                <w:b w:val="1"/>
                <w:bCs w:val="1"/>
                <w:color w:val="auto"/>
              </w:rPr>
              <w:t>241 18</w:t>
            </w:r>
            <w:r>
              <w:rPr>
                <w:rFonts w:ascii="Times New Roman" w:cs="Times New Roman" w:eastAsia="Times New Roman" w:hAnsi="Times New Roman"/>
                <w:sz w:val="21"/>
                <w:szCs w:val="21"/>
                <w:b w:val="1"/>
                <w:bCs w:val="1"/>
                <w:color w:val="auto"/>
                <w:vertAlign w:val="superscript"/>
              </w:rPr>
              <w:t>th</w:t>
            </w:r>
            <w:r>
              <w:rPr>
                <w:rFonts w:ascii="Times New Roman" w:cs="Times New Roman" w:eastAsia="Times New Roman" w:hAnsi="Times New Roman"/>
                <w:sz w:val="14"/>
                <w:szCs w:val="14"/>
                <w:b w:val="1"/>
                <w:bCs w:val="1"/>
                <w:color w:val="auto"/>
              </w:rPr>
              <w:t xml:space="preserve"> Street South, Suite 650</w:t>
            </w:r>
          </w:p>
        </w:tc>
        <w:tc>
          <w:tcPr>
            <w:tcW w:w="3240" w:type="dxa"/>
            <w:vAlign w:val="bottom"/>
          </w:tcPr>
          <w:p>
            <w:pPr>
              <w:spacing w:after="0"/>
              <w:rPr>
                <w:sz w:val="24"/>
                <w:szCs w:val="24"/>
                <w:color w:val="auto"/>
              </w:rPr>
            </w:pPr>
          </w:p>
        </w:tc>
      </w:tr>
      <w:tr>
        <w:trPr>
          <w:trHeight w:val="164"/>
        </w:trPr>
        <w:tc>
          <w:tcPr>
            <w:tcW w:w="4580" w:type="dxa"/>
            <w:vAlign w:val="bottom"/>
          </w:tcPr>
          <w:p>
            <w:pPr>
              <w:jc w:val="center"/>
              <w:ind w:right="1068"/>
              <w:spacing w:after="0"/>
              <w:rPr>
                <w:sz w:val="20"/>
                <w:szCs w:val="20"/>
                <w:color w:val="auto"/>
              </w:rPr>
            </w:pPr>
            <w:r>
              <w:rPr>
                <w:rFonts w:ascii="Times New Roman" w:cs="Times New Roman" w:eastAsia="Times New Roman" w:hAnsi="Times New Roman"/>
                <w:sz w:val="14"/>
                <w:szCs w:val="14"/>
                <w:b w:val="1"/>
                <w:bCs w:val="1"/>
                <w:color w:val="auto"/>
              </w:rPr>
              <w:t>Arlington, Virginia</w:t>
            </w:r>
          </w:p>
        </w:tc>
        <w:tc>
          <w:tcPr>
            <w:tcW w:w="3240" w:type="dxa"/>
            <w:vAlign w:val="bottom"/>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22202</w:t>
            </w:r>
          </w:p>
        </w:tc>
      </w:tr>
      <w:tr>
        <w:trPr>
          <w:trHeight w:val="188"/>
        </w:trPr>
        <w:tc>
          <w:tcPr>
            <w:tcW w:w="4580" w:type="dxa"/>
            <w:vAlign w:val="bottom"/>
          </w:tcPr>
          <w:p>
            <w:pPr>
              <w:jc w:val="center"/>
              <w:ind w:right="106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240" w:type="dxa"/>
            <w:vAlign w:val="bottom"/>
          </w:tcPr>
          <w:p>
            <w:pPr>
              <w:jc w:val="center"/>
              <w:ind w:left="1088"/>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(805) 520-8350</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125095</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135"/>
        </w:trPr>
        <w:tc>
          <w:tcPr>
            <w:tcW w:w="34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Title of each class</w:t>
            </w:r>
          </w:p>
        </w:tc>
        <w:tc>
          <w:tcPr>
            <w:tcW w:w="2960" w:type="dxa"/>
            <w:vAlign w:val="bottom"/>
          </w:tcPr>
          <w:p>
            <w:pPr>
              <w:jc w:val="center"/>
              <w:ind w:left="242"/>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3560" w:type="dxa"/>
            <w:vAlign w:val="bottom"/>
          </w:tcPr>
          <w:p>
            <w:pPr>
              <w:jc w:val="center"/>
              <w:ind w:left="222"/>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160"/>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Common Stock, par value $0.0001 per share</w:t>
            </w:r>
          </w:p>
        </w:tc>
        <w:tc>
          <w:tcPr>
            <w:tcW w:w="120" w:type="dxa"/>
            <w:vAlign w:val="bottom"/>
          </w:tcPr>
          <w:p>
            <w:pPr>
              <w:spacing w:after="0"/>
              <w:rPr>
                <w:sz w:val="13"/>
                <w:szCs w:val="13"/>
                <w:color w:val="auto"/>
              </w:rPr>
            </w:pPr>
          </w:p>
        </w:tc>
        <w:tc>
          <w:tcPr>
            <w:tcW w:w="2960" w:type="dxa"/>
            <w:vAlign w:val="bottom"/>
            <w:tcBorders>
              <w:top w:val="single" w:sz="8" w:color="auto"/>
            </w:tcBorders>
          </w:tcPr>
          <w:p>
            <w:pPr>
              <w:jc w:val="center"/>
              <w:ind w:left="222"/>
              <w:spacing w:after="0"/>
              <w:rPr>
                <w:sz w:val="20"/>
                <w:szCs w:val="20"/>
                <w:color w:val="auto"/>
              </w:rPr>
            </w:pPr>
            <w:r>
              <w:rPr>
                <w:rFonts w:ascii="Times New Roman" w:cs="Times New Roman" w:eastAsia="Times New Roman" w:hAnsi="Times New Roman"/>
                <w:sz w:val="13"/>
                <w:szCs w:val="13"/>
                <w:b w:val="1"/>
                <w:bCs w:val="1"/>
                <w:color w:val="auto"/>
                <w:w w:val="85"/>
              </w:rPr>
              <w:t>AVAV</w:t>
            </w:r>
          </w:p>
        </w:tc>
        <w:tc>
          <w:tcPr>
            <w:tcW w:w="3560" w:type="dxa"/>
            <w:vAlign w:val="bottom"/>
            <w:tcBorders>
              <w:top w:val="single" w:sz="8" w:color="auto"/>
            </w:tcBorders>
          </w:tcPr>
          <w:p>
            <w:pPr>
              <w:jc w:val="center"/>
              <w:ind w:left="222"/>
              <w:spacing w:after="0"/>
              <w:rPr>
                <w:sz w:val="20"/>
                <w:szCs w:val="20"/>
                <w:color w:val="auto"/>
              </w:rPr>
            </w:pPr>
            <w:r>
              <w:rPr>
                <w:rFonts w:ascii="Times New Roman" w:cs="Times New Roman" w:eastAsia="Times New Roman" w:hAnsi="Times New Roman"/>
                <w:sz w:val="13"/>
                <w:szCs w:val="13"/>
                <w:b w:val="1"/>
                <w:bCs w:val="1"/>
                <w:color w:val="auto"/>
                <w:w w:val="97"/>
              </w:rPr>
              <w:t>The NASDAQ Stock Market LLC</w:t>
            </w:r>
          </w:p>
        </w:tc>
      </w:tr>
    </w:tbl>
    <w:p>
      <w:pPr>
        <w:spacing w:after="0" w:line="162" w:lineRule="exact"/>
        <w:rPr>
          <w:sz w:val="24"/>
          <w:szCs w:val="24"/>
          <w:color w:val="auto"/>
        </w:rPr>
      </w:pPr>
    </w:p>
    <w:p>
      <w:pPr>
        <w:jc w:val="both"/>
        <w:ind w:right="220" w:firstLine="324"/>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9" w:lineRule="exact"/>
        <w:rPr>
          <w:sz w:val="24"/>
          <w:szCs w:val="24"/>
          <w:color w:val="auto"/>
        </w:rPr>
      </w:pPr>
    </w:p>
    <w:p>
      <w:pPr>
        <w:ind w:right="40" w:firstLine="324"/>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1" w:lineRule="exact"/>
        <w:rPr>
          <w:sz w:val="24"/>
          <w:szCs w:val="24"/>
          <w:color w:val="auto"/>
        </w:rPr>
      </w:pPr>
    </w:p>
    <w:p>
      <w:pPr>
        <w:jc w:val="both"/>
        <w:ind w:right="200" w:firstLine="324"/>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1" w:right="999" w:bottom="1440" w:gutter="0" w:footer="0" w:header="0"/>
        </w:sectPr>
      </w:pPr>
    </w:p>
    <w:p>
      <w:pPr>
        <w:ind w:left="170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105" w:lineRule="exact"/>
        <w:rPr>
          <w:sz w:val="24"/>
          <w:szCs w:val="24"/>
          <w:color w:val="auto"/>
        </w:rPr>
      </w:pPr>
    </w:p>
    <w:p>
      <w:pPr>
        <w:sectPr>
          <w:pgSz w:w="11900" w:h="16838" w:orient="portrait"/>
          <w:cols w:equalWidth="0" w:num="2">
            <w:col w:w="6200" w:space="720"/>
            <w:col w:w="3000"/>
          </w:cols>
          <w:pgMar w:left="980" w:top="661" w:right="999" w:bottom="1440" w:gutter="0" w:footer="0" w:header="0"/>
          <w:type w:val="continuous"/>
        </w:sectPr>
      </w:pPr>
    </w:p>
    <w:p>
      <w:pPr>
        <w:ind w:left="174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163" w:lineRule="exact"/>
        <w:rPr>
          <w:sz w:val="24"/>
          <w:szCs w:val="24"/>
          <w:color w:val="auto"/>
        </w:rPr>
      </w:pPr>
    </w:p>
    <w:p>
      <w:pPr>
        <w:sectPr>
          <w:pgSz w:w="11900" w:h="16838" w:orient="portrait"/>
          <w:cols w:equalWidth="0" w:num="2">
            <w:col w:w="5900" w:space="720"/>
            <w:col w:w="3300"/>
          </w:cols>
          <w:pgMar w:left="980" w:top="661" w:right="999" w:bottom="1440" w:gutter="0" w:footer="0" w:header="0"/>
          <w:type w:val="continuous"/>
        </w:sectPr>
      </w:pPr>
    </w:p>
    <w:p>
      <w:pPr>
        <w:ind w:left="66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9920"/>
          </w:cols>
          <w:pgMar w:left="980" w:top="661" w:right="999" w:bottom="1440" w:gutter="0" w:footer="0" w:header="0"/>
          <w:type w:val="continuous"/>
        </w:sectPr>
      </w:pPr>
    </w:p>
    <w:p>
      <w:pPr>
        <w:spacing w:after="0" w:line="248" w:lineRule="exact"/>
        <w:rPr>
          <w:sz w:val="24"/>
          <w:szCs w:val="24"/>
          <w:color w:val="auto"/>
        </w:rPr>
      </w:pPr>
    </w:p>
    <w:p>
      <w:pPr>
        <w:ind w:right="140" w:firstLine="324"/>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3" w:lineRule="exact"/>
        <w:rPr>
          <w:sz w:val="24"/>
          <w:szCs w:val="24"/>
          <w:color w:val="auto"/>
        </w:rPr>
      </w:pPr>
    </w:p>
    <w:p>
      <w:pPr>
        <w:ind w:left="340" w:right="2160"/>
        <w:spacing w:after="0" w:line="26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December 3, 2025, the number of shares outstanding of the registrant’s common stock, $0.0001 par value, was 49,925,878.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426720</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-1270</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40640</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gridSpan w:val="11"/>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9"/>
              </w:rPr>
              <w:t>AeroVironment, Inc.</w:t>
            </w:r>
          </w:p>
        </w:tc>
        <w:tc>
          <w:tcPr>
            <w:tcW w:w="34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gridSpan w:val="11"/>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340" w:type="dxa"/>
            <w:vAlign w:val="bottom"/>
          </w:tcPr>
          <w:p>
            <w:pPr>
              <w:spacing w:after="0"/>
              <w:rPr>
                <w:sz w:val="24"/>
                <w:szCs w:val="24"/>
                <w:color w:val="auto"/>
              </w:rPr>
            </w:pPr>
          </w:p>
        </w:tc>
      </w:tr>
      <w:tr>
        <w:trPr>
          <w:trHeight w:val="391"/>
        </w:trPr>
        <w:tc>
          <w:tcPr>
            <w:tcW w:w="858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Item 1.  Financial Statements :</w:t>
            </w:r>
          </w:p>
        </w:tc>
        <w:tc>
          <w:tcPr>
            <w:tcW w:w="34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7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November 1, 2025 (Unaudited) and April 30, 2025</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58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and six months ended November 1, 2025</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(Unaudited) and October 26, 2024 (Unaudited)</w:t>
            </w: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7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Statements of Comprehensive (Loss) Income for the three and six months</w:t>
            </w:r>
          </w:p>
        </w:tc>
        <w:tc>
          <w:tcPr>
            <w:tcW w:w="340" w:type="dxa"/>
            <w:vAlign w:val="bottom"/>
          </w:tcPr>
          <w:p>
            <w:pPr>
              <w:spacing w:after="0"/>
              <w:rPr>
                <w:sz w:val="20"/>
                <w:szCs w:val="20"/>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96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ended November 1, 2025 (Unaudited) and October 26, 2024 (Unaudited)</w:t>
            </w:r>
          </w:p>
        </w:tc>
        <w:tc>
          <w:tcPr>
            <w:tcW w:w="60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7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Statements of Stockholders’ Equity for the three and six months ended</w:t>
            </w:r>
          </w:p>
        </w:tc>
        <w:tc>
          <w:tcPr>
            <w:tcW w:w="340" w:type="dxa"/>
            <w:vAlign w:val="bottom"/>
          </w:tcPr>
          <w:p>
            <w:pPr>
              <w:spacing w:after="0"/>
              <w:rPr>
                <w:sz w:val="20"/>
                <w:szCs w:val="20"/>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78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November 1, 2025 (Unaudited) and October 26, 2024 (Unaudited)</w:t>
            </w:r>
          </w:p>
        </w:tc>
        <w:tc>
          <w:tcPr>
            <w:tcW w:w="1960" w:type="dxa"/>
            <w:vAlign w:val="bottom"/>
            <w:tcBorders>
              <w:top w:val="single" w:sz="8" w:color="0000EE"/>
            </w:tcBorders>
            <w:gridSpan w:val="3"/>
          </w:tcPr>
          <w:p>
            <w:pPr>
              <w:spacing w:after="0"/>
              <w:rPr>
                <w:sz w:val="17"/>
                <w:szCs w:val="17"/>
                <w:color w:val="auto"/>
              </w:rPr>
            </w:pPr>
          </w:p>
        </w:tc>
        <w:tc>
          <w:tcPr>
            <w:tcW w:w="820" w:type="dxa"/>
            <w:vAlign w:val="bottom"/>
            <w:gridSpan w:val="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37"/>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7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for the six months ended November 1, 2025</w:t>
            </w:r>
          </w:p>
        </w:tc>
        <w:tc>
          <w:tcPr>
            <w:tcW w:w="340" w:type="dxa"/>
            <w:vAlign w:val="bottom"/>
          </w:tcPr>
          <w:p>
            <w:pPr>
              <w:spacing w:after="0"/>
              <w:rPr>
                <w:sz w:val="20"/>
                <w:szCs w:val="20"/>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74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(Unaudited) and October 26, 2024 (Unaudited)</w:t>
            </w:r>
          </w:p>
        </w:tc>
        <w:tc>
          <w:tcPr>
            <w:tcW w:w="820" w:type="dxa"/>
            <w:vAlign w:val="bottom"/>
            <w:gridSpan w:val="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9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6"/>
        </w:trPr>
        <w:tc>
          <w:tcPr>
            <w:tcW w:w="858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gridSpan w:val="4"/>
            <w:shd w:val="clear" w:color="auto" w:fill="0000EE"/>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858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580" w:type="dxa"/>
            <w:vAlign w:val="bottom"/>
            <w:tcBorders>
              <w:left w:val="single" w:sz="8" w:color="0000EE"/>
            </w:tcBorders>
            <w:gridSpan w:val="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858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580" w:type="dxa"/>
            <w:vAlign w:val="bottom"/>
            <w:gridSpan w:val="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53"/>
        </w:trPr>
        <w:tc>
          <w:tcPr>
            <w:tcW w:w="27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5800" w:type="dxa"/>
            <w:vAlign w:val="bottom"/>
            <w:gridSpan w:val="12"/>
          </w:tcPr>
          <w:p>
            <w:pPr>
              <w:spacing w:after="0"/>
              <w:rPr>
                <w:sz w:val="24"/>
                <w:szCs w:val="24"/>
                <w:color w:val="auto"/>
              </w:rPr>
            </w:pPr>
          </w:p>
        </w:tc>
        <w:tc>
          <w:tcPr>
            <w:tcW w:w="340" w:type="dxa"/>
            <w:vAlign w:val="bottom"/>
          </w:tcPr>
          <w:p>
            <w:pPr>
              <w:spacing w:after="0"/>
              <w:rPr>
                <w:sz w:val="24"/>
                <w:szCs w:val="24"/>
                <w:color w:val="auto"/>
              </w:rPr>
            </w:pPr>
          </w:p>
        </w:tc>
      </w:tr>
      <w:tr>
        <w:trPr>
          <w:trHeight w:val="453"/>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6580" w:type="dxa"/>
            <w:vAlign w:val="bottom"/>
            <w:gridSpan w:val="15"/>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6"/>
        </w:trPr>
        <w:tc>
          <w:tcPr>
            <w:tcW w:w="858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Item 1A.Risk Factors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580" w:type="dxa"/>
            <w:vAlign w:val="bottom"/>
            <w:gridSpan w:val="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858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580" w:type="dxa"/>
            <w:vAlign w:val="bottom"/>
            <w:gridSpan w:val="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7"/>
        </w:trPr>
        <w:tc>
          <w:tcPr>
            <w:tcW w:w="858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5600" w:type="dxa"/>
            <w:vAlign w:val="bottom"/>
            <w:gridSpan w:val="1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6"/>
        </w:trPr>
        <w:tc>
          <w:tcPr>
            <w:tcW w:w="858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Item 4.  Mine Safety Disclosures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7"/>
        </w:trPr>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3"/>
          </w:tcPr>
          <w:p>
            <w:pPr>
              <w:spacing w:after="0"/>
              <w:rPr>
                <w:sz w:val="20"/>
                <w:szCs w:val="20"/>
                <w:color w:val="auto"/>
              </w:rPr>
            </w:pPr>
          </w:p>
        </w:tc>
        <w:tc>
          <w:tcPr>
            <w:tcW w:w="6160" w:type="dxa"/>
            <w:vAlign w:val="bottom"/>
            <w:gridSpan w:val="13"/>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6"/>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7320" w:type="dxa"/>
            <w:vAlign w:val="bottom"/>
            <w:gridSpan w:val="18"/>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7"/>
        </w:trPr>
        <w:tc>
          <w:tcPr>
            <w:tcW w:w="858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14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73"/>
        </w:trPr>
        <w:tc>
          <w:tcPr>
            <w:tcW w:w="67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r>
      <w:tr>
        <w:trPr>
          <w:trHeight w:val="19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359,434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40,862</w:t>
            </w:r>
          </w:p>
        </w:tc>
        <w:tc>
          <w:tcPr>
            <w:tcW w:w="120" w:type="dxa"/>
            <w:vAlign w:val="bottom"/>
            <w:shd w:val="clear" w:color="auto" w:fill="CCEEFF"/>
          </w:tcPr>
          <w:p>
            <w:pPr>
              <w:spacing w:after="0"/>
              <w:rPr>
                <w:sz w:val="17"/>
                <w:szCs w:val="17"/>
                <w:color w:val="auto"/>
              </w:rPr>
            </w:pPr>
          </w:p>
        </w:tc>
      </w:tr>
      <w:tr>
        <w:trPr>
          <w:trHeight w:val="203"/>
        </w:trPr>
        <w:tc>
          <w:tcPr>
            <w:tcW w:w="6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investments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229,046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$2,601 at November 1, 2025 and $203</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6"/>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at April 30, 2025</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232,342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101,967</w:t>
            </w:r>
          </w:p>
        </w:tc>
        <w:tc>
          <w:tcPr>
            <w:tcW w:w="120" w:type="dxa"/>
            <w:vAlign w:val="bottom"/>
            <w:shd w:val="clear" w:color="auto" w:fill="CCEEFF"/>
          </w:tcPr>
          <w:p>
            <w:pPr>
              <w:spacing w:after="0"/>
              <w:rPr>
                <w:sz w:val="18"/>
                <w:szCs w:val="18"/>
                <w:color w:val="auto"/>
              </w:rPr>
            </w:pPr>
          </w:p>
        </w:tc>
      </w:tr>
      <w:tr>
        <w:trPr>
          <w:trHeight w:val="203"/>
        </w:trPr>
        <w:tc>
          <w:tcPr>
            <w:tcW w:w="6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Unbilled receivables and retentions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513,486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290,009</w:t>
            </w:r>
          </w:p>
        </w:tc>
        <w:tc>
          <w:tcPr>
            <w:tcW w:w="120" w:type="dxa"/>
            <w:vAlign w:val="bottom"/>
          </w:tcPr>
          <w:p>
            <w:pPr>
              <w:spacing w:after="0"/>
              <w:rPr>
                <w:sz w:val="17"/>
                <w:szCs w:val="17"/>
                <w:color w:val="auto"/>
              </w:rPr>
            </w:pPr>
          </w:p>
        </w:tc>
      </w:tr>
      <w:tr>
        <w:trPr>
          <w:trHeight w:val="203"/>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 net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259,213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144,090</w:t>
            </w:r>
          </w:p>
        </w:tc>
        <w:tc>
          <w:tcPr>
            <w:tcW w:w="120" w:type="dxa"/>
            <w:vAlign w:val="bottom"/>
            <w:shd w:val="clear" w:color="auto" w:fill="CCEEFF"/>
          </w:tcPr>
          <w:p>
            <w:pPr>
              <w:spacing w:after="0"/>
              <w:rPr>
                <w:sz w:val="17"/>
                <w:szCs w:val="17"/>
                <w:color w:val="auto"/>
              </w:rPr>
            </w:pPr>
          </w:p>
        </w:tc>
      </w:tr>
      <w:tr>
        <w:trPr>
          <w:trHeight w:val="203"/>
        </w:trPr>
        <w:tc>
          <w:tcPr>
            <w:tcW w:w="6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 receivable</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26,446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20" w:type="dxa"/>
            <w:vAlign w:val="bottom"/>
          </w:tcPr>
          <w:p>
            <w:pPr>
              <w:spacing w:after="0"/>
              <w:rPr>
                <w:sz w:val="17"/>
                <w:szCs w:val="17"/>
                <w:color w:val="auto"/>
              </w:rPr>
            </w:pPr>
          </w:p>
        </w:tc>
      </w:tr>
      <w:tr>
        <w:trPr>
          <w:trHeight w:val="203"/>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46,490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28,966</w:t>
            </w:r>
          </w:p>
        </w:tc>
        <w:tc>
          <w:tcPr>
            <w:tcW w:w="120" w:type="dxa"/>
            <w:vAlign w:val="bottom"/>
            <w:shd w:val="clear" w:color="auto" w:fill="CCEEFF"/>
          </w:tcPr>
          <w:p>
            <w:pPr>
              <w:spacing w:after="0"/>
              <w:rPr>
                <w:sz w:val="17"/>
                <w:szCs w:val="17"/>
                <w:color w:val="auto"/>
              </w:rPr>
            </w:pPr>
          </w:p>
        </w:tc>
      </w:tr>
      <w:tr>
        <w:trPr>
          <w:trHeight w:val="196"/>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1,666,457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606,516</w:t>
            </w:r>
          </w:p>
        </w:tc>
        <w:tc>
          <w:tcPr>
            <w:tcW w:w="120" w:type="dxa"/>
            <w:vAlign w:val="bottom"/>
          </w:tcPr>
          <w:p>
            <w:pPr>
              <w:spacing w:after="0"/>
              <w:rPr>
                <w:sz w:val="17"/>
                <w:szCs w:val="17"/>
                <w:color w:val="auto"/>
              </w:rPr>
            </w:pPr>
          </w:p>
        </w:tc>
      </w:tr>
      <w:tr>
        <w:trPr>
          <w:trHeight w:val="20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investments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80,970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31,627</w:t>
            </w:r>
          </w:p>
        </w:tc>
        <w:tc>
          <w:tcPr>
            <w:tcW w:w="120" w:type="dxa"/>
            <w:vAlign w:val="bottom"/>
            <w:shd w:val="clear" w:color="auto" w:fill="CCEEFF"/>
          </w:tcPr>
          <w:p>
            <w:pPr>
              <w:spacing w:after="0"/>
              <w:rPr>
                <w:sz w:val="17"/>
                <w:szCs w:val="17"/>
                <w:color w:val="auto"/>
              </w:rPr>
            </w:pPr>
          </w:p>
        </w:tc>
      </w:tr>
      <w:tr>
        <w:trPr>
          <w:trHeight w:val="203"/>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155,383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50,704</w:t>
            </w:r>
          </w:p>
        </w:tc>
        <w:tc>
          <w:tcPr>
            <w:tcW w:w="120" w:type="dxa"/>
            <w:vAlign w:val="bottom"/>
          </w:tcPr>
          <w:p>
            <w:pPr>
              <w:spacing w:after="0"/>
              <w:rPr>
                <w:sz w:val="17"/>
                <w:szCs w:val="17"/>
                <w:color w:val="auto"/>
              </w:rPr>
            </w:pPr>
          </w:p>
        </w:tc>
      </w:tr>
      <w:tr>
        <w:trPr>
          <w:trHeight w:val="20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94,291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31,879</w:t>
            </w:r>
          </w:p>
        </w:tc>
        <w:tc>
          <w:tcPr>
            <w:tcW w:w="120" w:type="dxa"/>
            <w:vAlign w:val="bottom"/>
            <w:shd w:val="clear" w:color="auto" w:fill="CCEEFF"/>
          </w:tcPr>
          <w:p>
            <w:pPr>
              <w:spacing w:after="0"/>
              <w:rPr>
                <w:sz w:val="17"/>
                <w:szCs w:val="17"/>
                <w:color w:val="auto"/>
              </w:rPr>
            </w:pPr>
          </w:p>
        </w:tc>
      </w:tr>
      <w:tr>
        <w:trPr>
          <w:trHeight w:val="203"/>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1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61,460</w:t>
            </w:r>
          </w:p>
        </w:tc>
        <w:tc>
          <w:tcPr>
            <w:tcW w:w="120" w:type="dxa"/>
            <w:vAlign w:val="bottom"/>
          </w:tcPr>
          <w:p>
            <w:pPr>
              <w:spacing w:after="0"/>
              <w:rPr>
                <w:sz w:val="17"/>
                <w:szCs w:val="17"/>
                <w:color w:val="auto"/>
              </w:rPr>
            </w:pPr>
          </w:p>
        </w:tc>
      </w:tr>
      <w:tr>
        <w:trPr>
          <w:trHeight w:val="20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Intangibles, net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971,787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48,711</w:t>
            </w:r>
          </w:p>
        </w:tc>
        <w:tc>
          <w:tcPr>
            <w:tcW w:w="120" w:type="dxa"/>
            <w:vAlign w:val="bottom"/>
            <w:shd w:val="clear" w:color="auto" w:fill="CCEEFF"/>
          </w:tcPr>
          <w:p>
            <w:pPr>
              <w:spacing w:after="0"/>
              <w:rPr>
                <w:sz w:val="17"/>
                <w:szCs w:val="17"/>
                <w:color w:val="auto"/>
              </w:rPr>
            </w:pPr>
          </w:p>
        </w:tc>
      </w:tr>
      <w:tr>
        <w:trPr>
          <w:trHeight w:val="203"/>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2,623,669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256,781</w:t>
            </w:r>
          </w:p>
        </w:tc>
        <w:tc>
          <w:tcPr>
            <w:tcW w:w="120" w:type="dxa"/>
            <w:vAlign w:val="bottom"/>
          </w:tcPr>
          <w:p>
            <w:pPr>
              <w:spacing w:after="0"/>
              <w:rPr>
                <w:sz w:val="17"/>
                <w:szCs w:val="17"/>
                <w:color w:val="auto"/>
              </w:rPr>
            </w:pPr>
          </w:p>
        </w:tc>
      </w:tr>
      <w:tr>
        <w:trPr>
          <w:trHeight w:val="20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45,909</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32,889</w:t>
            </w:r>
          </w:p>
        </w:tc>
        <w:tc>
          <w:tcPr>
            <w:tcW w:w="120" w:type="dxa"/>
            <w:vAlign w:val="bottom"/>
            <w:shd w:val="clear" w:color="auto" w:fill="CCEEFF"/>
          </w:tcPr>
          <w:p>
            <w:pPr>
              <w:spacing w:after="0"/>
              <w:rPr>
                <w:sz w:val="17"/>
                <w:szCs w:val="17"/>
                <w:color w:val="auto"/>
              </w:rPr>
            </w:pPr>
          </w:p>
        </w:tc>
      </w:tr>
      <w:tr>
        <w:trPr>
          <w:trHeight w:val="236"/>
        </w:trPr>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5,638,466</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1,120,567</w:t>
            </w:r>
          </w:p>
        </w:tc>
        <w:tc>
          <w:tcPr>
            <w:tcW w:w="120" w:type="dxa"/>
            <w:vAlign w:val="bottom"/>
            <w:tcBorders>
              <w:bottom w:val="single" w:sz="8" w:color="CCEEFF"/>
            </w:tcBorders>
          </w:tcPr>
          <w:p>
            <w:pPr>
              <w:spacing w:after="0"/>
              <w:rPr>
                <w:sz w:val="20"/>
                <w:szCs w:val="20"/>
                <w:color w:val="auto"/>
              </w:rPr>
            </w:pPr>
          </w:p>
        </w:tc>
      </w:tr>
      <w:tr>
        <w:trPr>
          <w:trHeight w:val="183"/>
        </w:trPr>
        <w:tc>
          <w:tcPr>
            <w:tcW w:w="67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119,531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72,462</w:t>
            </w:r>
          </w:p>
        </w:tc>
        <w:tc>
          <w:tcPr>
            <w:tcW w:w="120" w:type="dxa"/>
            <w:vAlign w:val="bottom"/>
            <w:shd w:val="clear" w:color="auto" w:fill="CCEEFF"/>
          </w:tcPr>
          <w:p>
            <w:pPr>
              <w:spacing w:after="0"/>
              <w:rPr>
                <w:sz w:val="17"/>
                <w:szCs w:val="17"/>
                <w:color w:val="auto"/>
              </w:rPr>
            </w:pPr>
          </w:p>
        </w:tc>
      </w:tr>
      <w:tr>
        <w:trPr>
          <w:trHeight w:val="203"/>
        </w:trPr>
        <w:tc>
          <w:tcPr>
            <w:tcW w:w="6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Wages and related accruals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79,294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44,253</w:t>
            </w:r>
          </w:p>
        </w:tc>
        <w:tc>
          <w:tcPr>
            <w:tcW w:w="120" w:type="dxa"/>
            <w:vAlign w:val="bottom"/>
          </w:tcPr>
          <w:p>
            <w:pPr>
              <w:spacing w:after="0"/>
              <w:rPr>
                <w:sz w:val="17"/>
                <w:szCs w:val="17"/>
                <w:color w:val="auto"/>
              </w:rPr>
            </w:pPr>
          </w:p>
        </w:tc>
      </w:tr>
      <w:tr>
        <w:trPr>
          <w:trHeight w:val="203"/>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Customer advances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71,167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15,952</w:t>
            </w:r>
          </w:p>
        </w:tc>
        <w:tc>
          <w:tcPr>
            <w:tcW w:w="120" w:type="dxa"/>
            <w:vAlign w:val="bottom"/>
            <w:shd w:val="clear" w:color="auto" w:fill="CCEEFF"/>
          </w:tcPr>
          <w:p>
            <w:pPr>
              <w:spacing w:after="0"/>
              <w:rPr>
                <w:sz w:val="17"/>
                <w:szCs w:val="17"/>
                <w:color w:val="auto"/>
              </w:rPr>
            </w:pPr>
          </w:p>
        </w:tc>
      </w:tr>
      <w:tr>
        <w:trPr>
          <w:trHeight w:val="203"/>
        </w:trPr>
        <w:tc>
          <w:tcPr>
            <w:tcW w:w="6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10,479</w:t>
            </w:r>
          </w:p>
        </w:tc>
        <w:tc>
          <w:tcPr>
            <w:tcW w:w="120" w:type="dxa"/>
            <w:vAlign w:val="bottom"/>
          </w:tcPr>
          <w:p>
            <w:pPr>
              <w:spacing w:after="0"/>
              <w:rPr>
                <w:sz w:val="17"/>
                <w:szCs w:val="17"/>
                <w:color w:val="auto"/>
              </w:rPr>
            </w:pPr>
          </w:p>
        </w:tc>
      </w:tr>
      <w:tr>
        <w:trPr>
          <w:trHeight w:val="203"/>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20" w:type="dxa"/>
            <w:vAlign w:val="bottom"/>
            <w:shd w:val="clear" w:color="auto" w:fill="CCEEFF"/>
          </w:tcPr>
          <w:p>
            <w:pPr>
              <w:spacing w:after="0"/>
              <w:rPr>
                <w:sz w:val="17"/>
                <w:szCs w:val="17"/>
                <w:color w:val="auto"/>
              </w:rPr>
            </w:pPr>
          </w:p>
        </w:tc>
      </w:tr>
      <w:tr>
        <w:trPr>
          <w:trHeight w:val="203"/>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42,991</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28,659</w:t>
            </w:r>
          </w:p>
        </w:tc>
        <w:tc>
          <w:tcPr>
            <w:tcW w:w="120" w:type="dxa"/>
            <w:vAlign w:val="bottom"/>
            <w:tcBorders>
              <w:bottom w:val="single" w:sz="8" w:color="CCEEFF"/>
            </w:tcBorders>
          </w:tcPr>
          <w:p>
            <w:pPr>
              <w:spacing w:after="0"/>
              <w:rPr>
                <w:sz w:val="17"/>
                <w:szCs w:val="17"/>
                <w:color w:val="auto"/>
              </w:rPr>
            </w:pPr>
          </w:p>
        </w:tc>
      </w:tr>
      <w:tr>
        <w:trPr>
          <w:trHeight w:val="19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328,027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172,161</w:t>
            </w:r>
          </w:p>
        </w:tc>
        <w:tc>
          <w:tcPr>
            <w:tcW w:w="120" w:type="dxa"/>
            <w:vAlign w:val="bottom"/>
            <w:shd w:val="clear" w:color="auto" w:fill="CCEEFF"/>
          </w:tcPr>
          <w:p>
            <w:pPr>
              <w:spacing w:after="0"/>
              <w:rPr>
                <w:sz w:val="17"/>
                <w:szCs w:val="17"/>
                <w:color w:val="auto"/>
              </w:rPr>
            </w:pPr>
          </w:p>
        </w:tc>
      </w:tr>
      <w:tr>
        <w:trPr>
          <w:trHeight w:val="203"/>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726,793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20" w:type="dxa"/>
            <w:vAlign w:val="bottom"/>
          </w:tcPr>
          <w:p>
            <w:pPr>
              <w:spacing w:after="0"/>
              <w:rPr>
                <w:sz w:val="17"/>
                <w:szCs w:val="17"/>
                <w:color w:val="auto"/>
              </w:rPr>
            </w:pPr>
          </w:p>
        </w:tc>
      </w:tr>
      <w:tr>
        <w:trPr>
          <w:trHeight w:val="20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84,313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23,812</w:t>
            </w:r>
          </w:p>
        </w:tc>
        <w:tc>
          <w:tcPr>
            <w:tcW w:w="120" w:type="dxa"/>
            <w:vAlign w:val="bottom"/>
            <w:shd w:val="clear" w:color="auto" w:fill="CCEEFF"/>
          </w:tcPr>
          <w:p>
            <w:pPr>
              <w:spacing w:after="0"/>
              <w:rPr>
                <w:sz w:val="17"/>
                <w:szCs w:val="17"/>
                <w:color w:val="auto"/>
              </w:rPr>
            </w:pPr>
          </w:p>
        </w:tc>
      </w:tr>
      <w:tr>
        <w:trPr>
          <w:trHeight w:val="203"/>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tcPr>
          <w:p>
            <w:pPr>
              <w:spacing w:after="0"/>
              <w:rPr>
                <w:sz w:val="17"/>
                <w:szCs w:val="17"/>
                <w:color w:val="auto"/>
              </w:rPr>
            </w:pPr>
          </w:p>
        </w:tc>
      </w:tr>
      <w:tr>
        <w:trPr>
          <w:trHeight w:val="20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Liability for uncertain tax positions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6,061</w:t>
            </w:r>
          </w:p>
        </w:tc>
        <w:tc>
          <w:tcPr>
            <w:tcW w:w="120" w:type="dxa"/>
            <w:vAlign w:val="bottom"/>
            <w:shd w:val="clear" w:color="auto" w:fill="CCEEFF"/>
          </w:tcPr>
          <w:p>
            <w:pPr>
              <w:spacing w:after="0"/>
              <w:rPr>
                <w:sz w:val="17"/>
                <w:szCs w:val="17"/>
                <w:color w:val="auto"/>
              </w:rPr>
            </w:pPr>
          </w:p>
        </w:tc>
      </w:tr>
      <w:tr>
        <w:trPr>
          <w:trHeight w:val="203"/>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73,188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Preferred stock, $0.0001 par value:</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89"/>
        </w:trPr>
        <w:tc>
          <w:tcPr>
            <w:tcW w:w="6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Authorized shares—10,000,000; none issued or outstanding at November 1, 2025 and April</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3"/>
        </w:trPr>
        <w:tc>
          <w:tcPr>
            <w:tcW w:w="6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30,2025</w:t>
            </w: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 $0.0001 par value:</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Authorized shares—100,000,000</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9"/>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Issued and outstanding shares—49,927,306 shares at November 1, 2025 and 28,267,517 shares</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6"/>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at April 30, 2025</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r>
      <w:tr>
        <w:trPr>
          <w:trHeight w:val="203"/>
        </w:trPr>
        <w:tc>
          <w:tcPr>
            <w:tcW w:w="6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4,234,464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618,711</w:t>
            </w:r>
          </w:p>
        </w:tc>
        <w:tc>
          <w:tcPr>
            <w:tcW w:w="120" w:type="dxa"/>
            <w:vAlign w:val="bottom"/>
          </w:tcPr>
          <w:p>
            <w:pPr>
              <w:spacing w:after="0"/>
              <w:rPr>
                <w:sz w:val="17"/>
                <w:szCs w:val="17"/>
                <w:color w:val="auto"/>
              </w:rPr>
            </w:pPr>
          </w:p>
        </w:tc>
      </w:tr>
      <w:tr>
        <w:trPr>
          <w:trHeight w:val="203"/>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(6,222)</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(6,514)</w:t>
            </w:r>
          </w:p>
        </w:tc>
      </w:tr>
      <w:tr>
        <w:trPr>
          <w:trHeight w:val="203"/>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189,833</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274,306</w:t>
            </w:r>
          </w:p>
        </w:tc>
        <w:tc>
          <w:tcPr>
            <w:tcW w:w="120" w:type="dxa"/>
            <w:vAlign w:val="bottom"/>
            <w:tcBorders>
              <w:bottom w:val="single" w:sz="8" w:color="CCEEFF"/>
            </w:tcBorders>
          </w:tcPr>
          <w:p>
            <w:pPr>
              <w:spacing w:after="0"/>
              <w:rPr>
                <w:sz w:val="17"/>
                <w:szCs w:val="17"/>
                <w:color w:val="auto"/>
              </w:rPr>
            </w:pPr>
          </w:p>
        </w:tc>
      </w:tr>
      <w:tr>
        <w:trPr>
          <w:trHeight w:val="19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4,418,081</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886,507</w:t>
            </w:r>
          </w:p>
        </w:tc>
        <w:tc>
          <w:tcPr>
            <w:tcW w:w="120" w:type="dxa"/>
            <w:vAlign w:val="bottom"/>
            <w:shd w:val="clear" w:color="auto" w:fill="CCEEFF"/>
          </w:tcPr>
          <w:p>
            <w:pPr>
              <w:spacing w:after="0"/>
              <w:rPr>
                <w:sz w:val="17"/>
                <w:szCs w:val="17"/>
                <w:color w:val="auto"/>
              </w:rPr>
            </w:pPr>
          </w:p>
        </w:tc>
      </w:tr>
      <w:tr>
        <w:trPr>
          <w:trHeight w:val="196"/>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5,638,466</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1,120,567</w:t>
            </w:r>
          </w:p>
        </w:tc>
        <w:tc>
          <w:tcPr>
            <w:tcW w:w="120" w:type="dxa"/>
            <w:vAlign w:val="bottom"/>
          </w:tcPr>
          <w:p>
            <w:pPr>
              <w:spacing w:after="0"/>
              <w:rPr>
                <w:sz w:val="17"/>
                <w:szCs w:val="17"/>
                <w:color w:val="auto"/>
              </w:rPr>
            </w:pPr>
          </w:p>
        </w:tc>
      </w:tr>
      <w:tr>
        <w:trPr>
          <w:trHeight w:val="20"/>
        </w:trPr>
        <w:tc>
          <w:tcPr>
            <w:tcW w:w="6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39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20" w:type="dxa"/>
            <w:vAlign w:val="bottom"/>
            <w:tcBorders>
              <w:top w:val="single" w:sz="8" w:color="auto"/>
            </w:tcBorders>
            <w:gridSpan w:val="3"/>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October 26,</w:t>
            </w:r>
          </w:p>
        </w:tc>
        <w:tc>
          <w:tcPr>
            <w:tcW w:w="20" w:type="dxa"/>
            <w:vAlign w:val="bottom"/>
          </w:tcPr>
          <w:p>
            <w:pPr>
              <w:spacing w:after="0"/>
              <w:rPr>
                <w:sz w:val="10"/>
                <w:szCs w:val="10"/>
                <w:color w:val="auto"/>
              </w:rPr>
            </w:pPr>
          </w:p>
        </w:tc>
        <w:tc>
          <w:tcPr>
            <w:tcW w:w="960" w:type="dxa"/>
            <w:vAlign w:val="bottom"/>
            <w:tcBorders>
              <w:top w:val="single" w:sz="8" w:color="auto"/>
            </w:tcBorders>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October 26,</w:t>
            </w:r>
          </w:p>
        </w:tc>
        <w:tc>
          <w:tcPr>
            <w:tcW w:w="140" w:type="dxa"/>
            <w:vAlign w:val="bottom"/>
          </w:tcPr>
          <w:p>
            <w:pPr>
              <w:spacing w:after="0"/>
              <w:rPr>
                <w:sz w:val="10"/>
                <w:szCs w:val="10"/>
                <w:color w:val="auto"/>
              </w:rPr>
            </w:pPr>
          </w:p>
        </w:tc>
      </w:tr>
      <w:tr>
        <w:trPr>
          <w:trHeight w:val="173"/>
        </w:trPr>
        <w:tc>
          <w:tcPr>
            <w:tcW w:w="396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r>
      <w:tr>
        <w:trPr>
          <w:trHeight w:val="19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3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sales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325,037</w:t>
            </w:r>
          </w:p>
        </w:tc>
        <w:tc>
          <w:tcPr>
            <w:tcW w:w="2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151,231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638,570</w:t>
            </w: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310,735</w:t>
            </w:r>
          </w:p>
        </w:tc>
        <w:tc>
          <w:tcPr>
            <w:tcW w:w="140" w:type="dxa"/>
            <w:vAlign w:val="bottom"/>
          </w:tcPr>
          <w:p>
            <w:pPr>
              <w:spacing w:after="0"/>
              <w:rPr>
                <w:sz w:val="17"/>
                <w:szCs w:val="17"/>
                <w:color w:val="auto"/>
              </w:rPr>
            </w:pPr>
          </w:p>
        </w:tc>
      </w:tr>
      <w:tr>
        <w:trPr>
          <w:trHeight w:val="203"/>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services</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147,471</w:t>
            </w:r>
          </w:p>
        </w:tc>
        <w:tc>
          <w:tcPr>
            <w:tcW w:w="2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37,227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288,614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67,206</w:t>
            </w:r>
          </w:p>
        </w:tc>
        <w:tc>
          <w:tcPr>
            <w:tcW w:w="140" w:type="dxa"/>
            <w:vAlign w:val="bottom"/>
            <w:shd w:val="clear" w:color="auto" w:fill="CCEEFF"/>
          </w:tcPr>
          <w:p>
            <w:pPr>
              <w:spacing w:after="0"/>
              <w:rPr>
                <w:sz w:val="17"/>
                <w:szCs w:val="17"/>
                <w:color w:val="auto"/>
              </w:rPr>
            </w:pPr>
          </w:p>
        </w:tc>
      </w:tr>
      <w:tr>
        <w:trPr>
          <w:trHeight w:val="196"/>
        </w:trPr>
        <w:tc>
          <w:tcPr>
            <w:tcW w:w="3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472,508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188,458</w:t>
            </w: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927,184</w:t>
            </w: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377,941</w:t>
            </w:r>
          </w:p>
        </w:tc>
        <w:tc>
          <w:tcPr>
            <w:tcW w:w="140" w:type="dxa"/>
            <w:vAlign w:val="bottom"/>
          </w:tcPr>
          <w:p>
            <w:pPr>
              <w:spacing w:after="0"/>
              <w:rPr>
                <w:sz w:val="17"/>
                <w:szCs w:val="17"/>
                <w:color w:val="auto"/>
              </w:rPr>
            </w:pPr>
          </w:p>
        </w:tc>
      </w:tr>
      <w:tr>
        <w:trPr>
          <w:trHeight w:val="20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3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sales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241,397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87,052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472,084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172,571</w:t>
            </w:r>
          </w:p>
        </w:tc>
        <w:tc>
          <w:tcPr>
            <w:tcW w:w="140" w:type="dxa"/>
            <w:vAlign w:val="bottom"/>
          </w:tcPr>
          <w:p>
            <w:pPr>
              <w:spacing w:after="0"/>
              <w:rPr>
                <w:sz w:val="17"/>
                <w:szCs w:val="17"/>
                <w:color w:val="auto"/>
              </w:rPr>
            </w:pPr>
          </w:p>
        </w:tc>
      </w:tr>
      <w:tr>
        <w:trPr>
          <w:trHeight w:val="203"/>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services</w:t>
            </w:r>
          </w:p>
        </w:tc>
        <w:tc>
          <w:tcPr>
            <w:tcW w:w="10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127,006</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27,768</w:t>
            </w: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255,877</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50,265</w:t>
            </w:r>
          </w:p>
        </w:tc>
        <w:tc>
          <w:tcPr>
            <w:tcW w:w="140" w:type="dxa"/>
            <w:vAlign w:val="bottom"/>
            <w:shd w:val="clear" w:color="auto" w:fill="CCEEFF"/>
          </w:tcPr>
          <w:p>
            <w:pPr>
              <w:spacing w:after="0"/>
              <w:rPr>
                <w:sz w:val="17"/>
                <w:szCs w:val="17"/>
                <w:color w:val="auto"/>
              </w:rPr>
            </w:pPr>
          </w:p>
        </w:tc>
      </w:tr>
      <w:tr>
        <w:trPr>
          <w:trHeight w:val="196"/>
        </w:trPr>
        <w:tc>
          <w:tcPr>
            <w:tcW w:w="3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368,403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114,820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727,961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222,836</w:t>
            </w:r>
          </w:p>
        </w:tc>
        <w:tc>
          <w:tcPr>
            <w:tcW w:w="140" w:type="dxa"/>
            <w:vAlign w:val="bottom"/>
          </w:tcPr>
          <w:p>
            <w:pPr>
              <w:spacing w:after="0"/>
              <w:rPr>
                <w:sz w:val="17"/>
                <w:szCs w:val="17"/>
                <w:color w:val="auto"/>
              </w:rPr>
            </w:pPr>
          </w:p>
        </w:tc>
      </w:tr>
      <w:tr>
        <w:trPr>
          <w:trHeight w:val="20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3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sales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83,640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64,179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166,486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138,164</w:t>
            </w:r>
          </w:p>
        </w:tc>
        <w:tc>
          <w:tcPr>
            <w:tcW w:w="140" w:type="dxa"/>
            <w:vAlign w:val="bottom"/>
          </w:tcPr>
          <w:p>
            <w:pPr>
              <w:spacing w:after="0"/>
              <w:rPr>
                <w:sz w:val="17"/>
                <w:szCs w:val="17"/>
                <w:color w:val="auto"/>
              </w:rPr>
            </w:pPr>
          </w:p>
        </w:tc>
      </w:tr>
      <w:tr>
        <w:trPr>
          <w:trHeight w:val="203"/>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services</w:t>
            </w:r>
          </w:p>
        </w:tc>
        <w:tc>
          <w:tcPr>
            <w:tcW w:w="10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20,465</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9,459</w:t>
            </w: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32,737</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16,941</w:t>
            </w:r>
          </w:p>
        </w:tc>
        <w:tc>
          <w:tcPr>
            <w:tcW w:w="140" w:type="dxa"/>
            <w:vAlign w:val="bottom"/>
            <w:shd w:val="clear" w:color="auto" w:fill="CCEEFF"/>
          </w:tcPr>
          <w:p>
            <w:pPr>
              <w:spacing w:after="0"/>
              <w:rPr>
                <w:sz w:val="17"/>
                <w:szCs w:val="17"/>
                <w:color w:val="auto"/>
              </w:rPr>
            </w:pPr>
          </w:p>
        </w:tc>
      </w:tr>
      <w:tr>
        <w:trPr>
          <w:trHeight w:val="196"/>
        </w:trPr>
        <w:tc>
          <w:tcPr>
            <w:tcW w:w="396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104,105</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73,638</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199,223</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155,105</w:t>
            </w:r>
          </w:p>
        </w:tc>
        <w:tc>
          <w:tcPr>
            <w:tcW w:w="140" w:type="dxa"/>
            <w:vAlign w:val="bottom"/>
            <w:tcBorders>
              <w:bottom w:val="single" w:sz="8" w:color="CCEEFF"/>
            </w:tcBorders>
          </w:tcPr>
          <w:p>
            <w:pPr>
              <w:spacing w:after="0"/>
              <w:rPr>
                <w:sz w:val="17"/>
                <w:szCs w:val="17"/>
                <w:color w:val="auto"/>
              </w:rPr>
            </w:pPr>
          </w:p>
        </w:tc>
      </w:tr>
      <w:tr>
        <w:trPr>
          <w:trHeight w:val="19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98,336</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37,916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229,612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71,711</w:t>
            </w:r>
          </w:p>
        </w:tc>
        <w:tc>
          <w:tcPr>
            <w:tcW w:w="140" w:type="dxa"/>
            <w:vAlign w:val="bottom"/>
            <w:shd w:val="clear" w:color="auto" w:fill="CCEEFF"/>
          </w:tcPr>
          <w:p>
            <w:pPr>
              <w:spacing w:after="0"/>
              <w:rPr>
                <w:sz w:val="17"/>
                <w:szCs w:val="17"/>
                <w:color w:val="auto"/>
              </w:rPr>
            </w:pPr>
          </w:p>
        </w:tc>
      </w:tr>
      <w:tr>
        <w:trPr>
          <w:trHeight w:val="203"/>
        </w:trPr>
        <w:tc>
          <w:tcPr>
            <w:tcW w:w="3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35,993</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28,716</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69,107</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53,329</w:t>
            </w:r>
          </w:p>
        </w:tc>
        <w:tc>
          <w:tcPr>
            <w:tcW w:w="140" w:type="dxa"/>
            <w:vAlign w:val="bottom"/>
            <w:tcBorders>
              <w:bottom w:val="single" w:sz="8" w:color="CCEEFF"/>
            </w:tcBorders>
          </w:tcPr>
          <w:p>
            <w:pPr>
              <w:spacing w:after="0"/>
              <w:rPr>
                <w:sz w:val="17"/>
                <w:szCs w:val="17"/>
                <w:color w:val="auto"/>
              </w:rPr>
            </w:pPr>
          </w:p>
        </w:tc>
      </w:tr>
      <w:tr>
        <w:trPr>
          <w:trHeight w:val="19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(30,224)</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(99,496)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30,065</w:t>
            </w:r>
          </w:p>
        </w:tc>
        <w:tc>
          <w:tcPr>
            <w:tcW w:w="140" w:type="dxa"/>
            <w:vAlign w:val="bottom"/>
            <w:shd w:val="clear" w:color="auto" w:fill="CCEEFF"/>
          </w:tcPr>
          <w:p>
            <w:pPr>
              <w:spacing w:after="0"/>
              <w:rPr>
                <w:sz w:val="17"/>
                <w:szCs w:val="17"/>
                <w:color w:val="auto"/>
              </w:rPr>
            </w:pPr>
          </w:p>
        </w:tc>
      </w:tr>
      <w:tr>
        <w:trPr>
          <w:trHeight w:val="203"/>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(loss):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2"/>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4,669</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(12,746)</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(929)</w:t>
            </w:r>
          </w:p>
        </w:tc>
      </w:tr>
      <w:tr>
        <w:trPr>
          <w:trHeight w:val="203"/>
        </w:trPr>
        <w:tc>
          <w:tcPr>
            <w:tcW w:w="3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(218)</w:t>
            </w:r>
          </w:p>
        </w:tc>
      </w:tr>
      <w:tr>
        <w:trPr>
          <w:trHeight w:val="196"/>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1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(20,604)</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6,332</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(104,930)</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28,918</w:t>
            </w:r>
          </w:p>
        </w:tc>
        <w:tc>
          <w:tcPr>
            <w:tcW w:w="140" w:type="dxa"/>
            <w:vAlign w:val="bottom"/>
            <w:tcBorders>
              <w:top w:val="single" w:sz="8" w:color="CCEEFF"/>
            </w:tcBorders>
            <w:shd w:val="clear" w:color="auto" w:fill="CCEEFF"/>
          </w:tcPr>
          <w:p>
            <w:pPr>
              <w:spacing w:after="0"/>
              <w:rPr>
                <w:sz w:val="17"/>
                <w:szCs w:val="17"/>
                <w:color w:val="auto"/>
              </w:rPr>
            </w:pPr>
          </w:p>
        </w:tc>
      </w:tr>
      <w:tr>
        <w:trPr>
          <w:trHeight w:val="203"/>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(Benefit from) provision for income taxes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(2,305)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(17,474)</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w:t>
            </w:r>
          </w:p>
        </w:tc>
        <w:tc>
          <w:tcPr>
            <w:tcW w:w="140" w:type="dxa"/>
            <w:vAlign w:val="bottom"/>
          </w:tcPr>
          <w:p>
            <w:pPr>
              <w:spacing w:after="0"/>
              <w:rPr>
                <w:sz w:val="17"/>
                <w:szCs w:val="17"/>
                <w:color w:val="auto"/>
              </w:rPr>
            </w:pPr>
          </w:p>
        </w:tc>
      </w:tr>
      <w:tr>
        <w:trPr>
          <w:trHeight w:val="20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method investment income, net of tax</w:t>
            </w:r>
          </w:p>
        </w:tc>
        <w:tc>
          <w:tcPr>
            <w:tcW w:w="10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140" w:type="dxa"/>
            <w:vAlign w:val="bottom"/>
            <w:shd w:val="clear" w:color="auto" w:fill="CCEEFF"/>
          </w:tcPr>
          <w:p>
            <w:pPr>
              <w:spacing w:after="0"/>
              <w:rPr>
                <w:sz w:val="17"/>
                <w:szCs w:val="17"/>
                <w:color w:val="auto"/>
              </w:rPr>
            </w:pPr>
          </w:p>
        </w:tc>
      </w:tr>
      <w:tr>
        <w:trPr>
          <w:trHeight w:val="236"/>
        </w:trPr>
        <w:tc>
          <w:tcPr>
            <w:tcW w:w="3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10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(17,103)</w:t>
            </w: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7,543</w:t>
            </w: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(84,473)</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28,709</w:t>
            </w:r>
          </w:p>
        </w:tc>
        <w:tc>
          <w:tcPr>
            <w:tcW w:w="140" w:type="dxa"/>
            <w:vAlign w:val="bottom"/>
            <w:tcBorders>
              <w:bottom w:val="single" w:sz="8" w:color="CCEEFF"/>
            </w:tcBorders>
          </w:tcPr>
          <w:p>
            <w:pPr>
              <w:spacing w:after="0"/>
              <w:rPr>
                <w:sz w:val="20"/>
                <w:szCs w:val="20"/>
                <w:color w:val="auto"/>
              </w:rPr>
            </w:pPr>
          </w:p>
        </w:tc>
      </w:tr>
      <w:tr>
        <w:trPr>
          <w:trHeight w:val="183"/>
        </w:trPr>
        <w:tc>
          <w:tcPr>
            <w:tcW w:w="39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Net (loss) income per share</w:t>
            </w: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03"/>
        </w:trPr>
        <w:tc>
          <w:tcPr>
            <w:tcW w:w="39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(0.34)</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40" w:type="dxa"/>
            <w:vAlign w:val="bottom"/>
          </w:tcPr>
          <w:p>
            <w:pPr>
              <w:spacing w:after="0"/>
              <w:rPr>
                <w:sz w:val="17"/>
                <w:szCs w:val="17"/>
                <w:color w:val="auto"/>
              </w:rPr>
            </w:pPr>
          </w:p>
        </w:tc>
      </w:tr>
      <w:tr>
        <w:trPr>
          <w:trHeight w:val="203"/>
        </w:trPr>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(0.34)</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40" w:type="dxa"/>
            <w:vAlign w:val="bottom"/>
            <w:shd w:val="clear" w:color="auto" w:fill="CCEEFF"/>
          </w:tcPr>
          <w:p>
            <w:pPr>
              <w:spacing w:after="0"/>
              <w:rPr>
                <w:sz w:val="17"/>
                <w:szCs w:val="17"/>
                <w:color w:val="auto"/>
              </w:rPr>
            </w:pPr>
          </w:p>
        </w:tc>
      </w:tr>
      <w:tr>
        <w:trPr>
          <w:trHeight w:val="203"/>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shares outstanding:</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49,723,280</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28,009,963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48,279,447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27,985,425</w:t>
            </w:r>
          </w:p>
        </w:tc>
        <w:tc>
          <w:tcPr>
            <w:tcW w:w="140" w:type="dxa"/>
            <w:vAlign w:val="bottom"/>
            <w:shd w:val="clear" w:color="auto" w:fill="CCEEFF"/>
          </w:tcPr>
          <w:p>
            <w:pPr>
              <w:spacing w:after="0"/>
              <w:rPr>
                <w:sz w:val="17"/>
                <w:szCs w:val="17"/>
                <w:color w:val="auto"/>
              </w:rPr>
            </w:pPr>
          </w:p>
        </w:tc>
      </w:tr>
      <w:tr>
        <w:trPr>
          <w:trHeight w:val="210"/>
        </w:trPr>
        <w:tc>
          <w:tcPr>
            <w:tcW w:w="39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49,723,280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28,145,590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48,279,447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28,139,942</w:t>
            </w:r>
          </w:p>
        </w:tc>
        <w:tc>
          <w:tcPr>
            <w:tcW w:w="140" w:type="dxa"/>
            <w:vAlign w:val="bottom"/>
          </w:tcPr>
          <w:p>
            <w:pPr>
              <w:spacing w:after="0"/>
              <w:rPr>
                <w:sz w:val="18"/>
                <w:szCs w:val="18"/>
                <w:color w:val="auto"/>
              </w:rPr>
            </w:pPr>
          </w:p>
        </w:tc>
      </w:tr>
    </w:tbl>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4"/>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5000" w:type="dxa"/>
            <w:vAlign w:val="bottom"/>
          </w:tcPr>
          <w:p>
            <w:pPr>
              <w:spacing w:after="0"/>
              <w:rPr>
                <w:sz w:val="10"/>
                <w:szCs w:val="10"/>
                <w:color w:val="auto"/>
              </w:rPr>
            </w:pPr>
          </w:p>
        </w:tc>
        <w:tc>
          <w:tcPr>
            <w:tcW w:w="82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October 26,</w:t>
            </w:r>
          </w:p>
        </w:tc>
        <w:tc>
          <w:tcPr>
            <w:tcW w:w="160" w:type="dxa"/>
            <w:vAlign w:val="bottom"/>
          </w:tcPr>
          <w:p>
            <w:pPr>
              <w:spacing w:after="0"/>
              <w:rPr>
                <w:sz w:val="10"/>
                <w:szCs w:val="10"/>
                <w:color w:val="auto"/>
              </w:rPr>
            </w:pPr>
          </w:p>
        </w:tc>
        <w:tc>
          <w:tcPr>
            <w:tcW w:w="84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October 26,</w:t>
            </w:r>
          </w:p>
        </w:tc>
        <w:tc>
          <w:tcPr>
            <w:tcW w:w="100" w:type="dxa"/>
            <w:vAlign w:val="bottom"/>
          </w:tcPr>
          <w:p>
            <w:pPr>
              <w:spacing w:after="0"/>
              <w:rPr>
                <w:sz w:val="10"/>
                <w:szCs w:val="10"/>
                <w:color w:val="auto"/>
              </w:rPr>
            </w:pPr>
          </w:p>
        </w:tc>
      </w:tr>
      <w:tr>
        <w:trPr>
          <w:trHeight w:val="173"/>
        </w:trPr>
        <w:tc>
          <w:tcPr>
            <w:tcW w:w="50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r>
      <w:tr>
        <w:trPr>
          <w:trHeight w:val="21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(84,473)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28,709</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0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Unrealized loss on available-for-sale investments, net of</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 expense of $0 for the three and six months ended</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November 1, 2025 and October 26, 2024, respectively</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Change in foreign currency translation adjustments</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bottom w:val="single" w:sz="8" w:color="CCEEFF"/>
            </w:tcBorders>
          </w:tcPr>
          <w:p>
            <w:pPr>
              <w:spacing w:after="0"/>
              <w:rPr>
                <w:sz w:val="18"/>
                <w:szCs w:val="18"/>
                <w:color w:val="auto"/>
              </w:rPr>
            </w:pPr>
          </w:p>
        </w:tc>
      </w:tr>
      <w:tr>
        <w:trPr>
          <w:trHeight w:val="209"/>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 income</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(17,450)</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7,371</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(84,181)</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three months ended November 1, 2025 and October 26, 2024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880" w:type="dxa"/>
            <w:vAlign w:val="bottom"/>
          </w:tcPr>
          <w:p>
            <w:pPr>
              <w:spacing w:after="0"/>
              <w:rPr>
                <w:sz w:val="13"/>
                <w:szCs w:val="13"/>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3"/>
                <w:szCs w:val="13"/>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3"/>
                <w:szCs w:val="13"/>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880" w:type="dxa"/>
            <w:vAlign w:val="bottom"/>
          </w:tcPr>
          <w:p>
            <w:pPr>
              <w:spacing w:after="0"/>
              <w:rPr>
                <w:sz w:val="11"/>
                <w:szCs w:val="11"/>
                <w:color w:val="auto"/>
              </w:rPr>
            </w:pPr>
          </w:p>
        </w:tc>
        <w:tc>
          <w:tcPr>
            <w:tcW w:w="740" w:type="dxa"/>
            <w:vAlign w:val="bottom"/>
          </w:tcPr>
          <w:p>
            <w:pPr>
              <w:jc w:val="right"/>
              <w:ind w:right="13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1"/>
                <w:szCs w:val="11"/>
                <w:color w:val="auto"/>
              </w:rPr>
            </w:pPr>
          </w:p>
        </w:tc>
        <w:tc>
          <w:tcPr>
            <w:tcW w:w="5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30"/>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1"/>
                <w:szCs w:val="11"/>
                <w:color w:val="auto"/>
              </w:rPr>
            </w:pPr>
          </w:p>
        </w:tc>
        <w:tc>
          <w:tcPr>
            <w:tcW w:w="640" w:type="dxa"/>
            <w:vAlign w:val="bottom"/>
          </w:tcPr>
          <w:p>
            <w:pPr>
              <w:jc w:val="right"/>
              <w:ind w:right="10"/>
              <w:spacing w:after="0" w:line="129"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ind w:right="249"/>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2"/>
        </w:trPr>
        <w:tc>
          <w:tcPr>
            <w:tcW w:w="38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August 2, 2025</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49,932,300</w:t>
            </w:r>
          </w:p>
        </w:tc>
        <w:tc>
          <w:tcPr>
            <w:tcW w:w="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31"/>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4,226,012</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$ 206,936</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(5,875)</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4,427,079</w:t>
            </w:r>
          </w:p>
        </w:tc>
        <w:tc>
          <w:tcPr>
            <w:tcW w:w="0" w:type="dxa"/>
            <w:vAlign w:val="bottom"/>
          </w:tcPr>
          <w:p>
            <w:pPr>
              <w:spacing w:after="0"/>
              <w:rPr>
                <w:sz w:val="1"/>
                <w:szCs w:val="1"/>
                <w:color w:val="auto"/>
              </w:rPr>
            </w:pPr>
          </w:p>
        </w:tc>
      </w:tr>
      <w:tr>
        <w:trPr>
          <w:trHeight w:val="149"/>
        </w:trPr>
        <w:tc>
          <w:tcPr>
            <w:tcW w:w="38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(17,103)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(17,103)</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Unrealized loss on investments</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148"/>
        </w:trPr>
        <w:tc>
          <w:tcPr>
            <w:tcW w:w="38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2,457</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 forfeited</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(7,147)</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880" w:type="dxa"/>
            <w:vAlign w:val="bottom"/>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Tax withholding payment related to net share settlement of</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171"/>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awards</w:t>
            </w:r>
          </w:p>
        </w:tc>
        <w:tc>
          <w:tcPr>
            <w:tcW w:w="7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8,566</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8,566</w:t>
            </w:r>
          </w:p>
        </w:tc>
        <w:tc>
          <w:tcPr>
            <w:tcW w:w="0" w:type="dxa"/>
            <w:vAlign w:val="bottom"/>
          </w:tcPr>
          <w:p>
            <w:pPr>
              <w:spacing w:after="0"/>
              <w:rPr>
                <w:sz w:val="1"/>
                <w:szCs w:val="1"/>
                <w:color w:val="auto"/>
              </w:rPr>
            </w:pPr>
          </w:p>
        </w:tc>
      </w:tr>
      <w:tr>
        <w:trPr>
          <w:trHeight w:val="142"/>
        </w:trPr>
        <w:tc>
          <w:tcPr>
            <w:tcW w:w="38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November 1, 2025</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49,927,306</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31"/>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4,234,464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$ 189,833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(6,222)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4,418,081</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3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880" w:type="dxa"/>
            <w:vAlign w:val="bottom"/>
          </w:tcPr>
          <w:p>
            <w:pPr>
              <w:spacing w:after="0"/>
              <w:rPr>
                <w:sz w:val="13"/>
                <w:szCs w:val="13"/>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3"/>
                <w:szCs w:val="13"/>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3"/>
                <w:szCs w:val="13"/>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880" w:type="dxa"/>
            <w:vAlign w:val="bottom"/>
          </w:tcPr>
          <w:p>
            <w:pPr>
              <w:spacing w:after="0"/>
              <w:rPr>
                <w:sz w:val="11"/>
                <w:szCs w:val="11"/>
                <w:color w:val="auto"/>
              </w:rPr>
            </w:pPr>
          </w:p>
        </w:tc>
        <w:tc>
          <w:tcPr>
            <w:tcW w:w="740" w:type="dxa"/>
            <w:vAlign w:val="bottom"/>
          </w:tcPr>
          <w:p>
            <w:pPr>
              <w:jc w:val="right"/>
              <w:ind w:right="13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1"/>
                <w:szCs w:val="11"/>
                <w:color w:val="auto"/>
              </w:rPr>
            </w:pPr>
          </w:p>
        </w:tc>
        <w:tc>
          <w:tcPr>
            <w:tcW w:w="5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30"/>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1"/>
                <w:szCs w:val="11"/>
                <w:color w:val="auto"/>
              </w:rPr>
            </w:pPr>
          </w:p>
        </w:tc>
        <w:tc>
          <w:tcPr>
            <w:tcW w:w="640" w:type="dxa"/>
            <w:vAlign w:val="bottom"/>
          </w:tcPr>
          <w:p>
            <w:pPr>
              <w:jc w:val="right"/>
              <w:ind w:right="10"/>
              <w:spacing w:after="0" w:line="129"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ind w:right="249"/>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2"/>
        </w:trPr>
        <w:tc>
          <w:tcPr>
            <w:tcW w:w="38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July 27, 2024</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28,206,480</w:t>
            </w:r>
          </w:p>
        </w:tc>
        <w:tc>
          <w:tcPr>
            <w:tcW w:w="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31"/>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598,735</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$ 251,853</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(5,054)</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845,538</w:t>
            </w:r>
          </w:p>
        </w:tc>
        <w:tc>
          <w:tcPr>
            <w:tcW w:w="0" w:type="dxa"/>
            <w:vAlign w:val="bottom"/>
          </w:tcPr>
          <w:p>
            <w:pPr>
              <w:spacing w:after="0"/>
              <w:rPr>
                <w:sz w:val="1"/>
                <w:szCs w:val="1"/>
                <w:color w:val="auto"/>
              </w:rPr>
            </w:pPr>
          </w:p>
        </w:tc>
      </w:tr>
      <w:tr>
        <w:trPr>
          <w:trHeight w:val="148"/>
        </w:trPr>
        <w:tc>
          <w:tcPr>
            <w:tcW w:w="38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7,543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7,543</w:t>
            </w:r>
          </w:p>
        </w:tc>
        <w:tc>
          <w:tcPr>
            <w:tcW w:w="0" w:type="dxa"/>
            <w:vAlign w:val="bottom"/>
          </w:tcPr>
          <w:p>
            <w:pPr>
              <w:spacing w:after="0"/>
              <w:rPr>
                <w:sz w:val="1"/>
                <w:szCs w:val="1"/>
                <w:color w:val="auto"/>
              </w:rPr>
            </w:pPr>
          </w:p>
        </w:tc>
      </w:tr>
      <w:tr>
        <w:trPr>
          <w:trHeight w:val="149"/>
        </w:trPr>
        <w:tc>
          <w:tcPr>
            <w:tcW w:w="38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148"/>
        </w:trPr>
        <w:tc>
          <w:tcPr>
            <w:tcW w:w="38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2,261</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 forfeited</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(2,969)</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88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Tax withholding payment related to net share settlement of</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71"/>
        </w:trPr>
        <w:tc>
          <w:tcPr>
            <w:tcW w:w="3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equity awards</w:t>
            </w: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5,602</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5,602</w:t>
            </w:r>
          </w:p>
        </w:tc>
        <w:tc>
          <w:tcPr>
            <w:tcW w:w="0" w:type="dxa"/>
            <w:vAlign w:val="bottom"/>
          </w:tcPr>
          <w:p>
            <w:pPr>
              <w:spacing w:after="0"/>
              <w:rPr>
                <w:sz w:val="1"/>
                <w:szCs w:val="1"/>
                <w:color w:val="auto"/>
              </w:rPr>
            </w:pPr>
          </w:p>
        </w:tc>
      </w:tr>
      <w:tr>
        <w:trPr>
          <w:trHeight w:val="142"/>
        </w:trPr>
        <w:tc>
          <w:tcPr>
            <w:tcW w:w="38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October 26, 2024</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28,205,237</w:t>
            </w:r>
          </w:p>
        </w:tc>
        <w:tc>
          <w:tcPr>
            <w:tcW w:w="12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604,225</w:t>
            </w:r>
          </w:p>
        </w:tc>
        <w:tc>
          <w:tcPr>
            <w:tcW w:w="1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$ 259,396</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(5,228)</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858,397</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six months ended November 1, 2025 and October 26, 2024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center"/>
              <w:ind w:right="129"/>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860" w:type="dxa"/>
            <w:vAlign w:val="bottom"/>
          </w:tcPr>
          <w:p>
            <w:pPr>
              <w:spacing w:after="0"/>
              <w:rPr>
                <w:sz w:val="13"/>
                <w:szCs w:val="13"/>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w w:val="92"/>
              </w:rPr>
              <w:t>Retained</w:t>
            </w:r>
          </w:p>
        </w:tc>
        <w:tc>
          <w:tcPr>
            <w:tcW w:w="120" w:type="dxa"/>
            <w:vAlign w:val="bottom"/>
          </w:tcPr>
          <w:p>
            <w:pPr>
              <w:spacing w:after="0"/>
              <w:rPr>
                <w:sz w:val="13"/>
                <w:szCs w:val="13"/>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860" w:type="dxa"/>
            <w:vAlign w:val="bottom"/>
          </w:tcPr>
          <w:p>
            <w:pPr>
              <w:spacing w:after="0"/>
              <w:rPr>
                <w:sz w:val="11"/>
                <w:szCs w:val="11"/>
                <w:color w:val="auto"/>
              </w:rPr>
            </w:pPr>
          </w:p>
        </w:tc>
        <w:tc>
          <w:tcPr>
            <w:tcW w:w="740" w:type="dxa"/>
            <w:vAlign w:val="bottom"/>
          </w:tcPr>
          <w:p>
            <w:pPr>
              <w:jc w:val="right"/>
              <w:ind w:right="109"/>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1"/>
                <w:szCs w:val="11"/>
                <w:color w:val="auto"/>
              </w:rPr>
            </w:pPr>
          </w:p>
        </w:tc>
        <w:tc>
          <w:tcPr>
            <w:tcW w:w="5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10"/>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29"/>
              <w:spacing w:after="0" w:line="129" w:lineRule="exact"/>
              <w:rPr>
                <w:sz w:val="20"/>
                <w:szCs w:val="20"/>
                <w:color w:val="auto"/>
              </w:rPr>
            </w:pPr>
            <w:r>
              <w:rPr>
                <w:rFonts w:ascii="Times New Roman" w:cs="Times New Roman" w:eastAsia="Times New Roman" w:hAnsi="Times New Roman"/>
                <w:sz w:val="13"/>
                <w:szCs w:val="13"/>
                <w:b w:val="1"/>
                <w:bCs w:val="1"/>
                <w:color w:val="auto"/>
                <w:w w:val="90"/>
              </w:rPr>
              <w:t>Earnings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center"/>
              <w:ind w:right="109"/>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2"/>
        </w:trPr>
        <w:tc>
          <w:tcPr>
            <w:tcW w:w="38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April 30, 2025</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28,267,517</w:t>
            </w: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618,711</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274,306</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34"/>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(6,514)</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886,507</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(84,473)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(84,473)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Unrealized loss on investments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Employee stock purchase plan contributions</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18,555</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2,467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2,467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175,482</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 forfeited</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(9,737)</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86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Tax withholding payment related to net share settlement of</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(7,820)</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(10,900)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equity awards</w:t>
            </w: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860" w:type="dxa"/>
            <w:vAlign w:val="bottom"/>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Issuance of common stock for business acquisition, net of</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17,425,849</w:t>
            </w: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2,637,345</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2,637,347</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issuance costs</w:t>
            </w: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Shares issued, net of issuance costs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4,057,460</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966,846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966,846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19,995</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19,995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November 1, 2025</w:t>
            </w: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49,927,306</w:t>
            </w:r>
          </w:p>
        </w:tc>
        <w:tc>
          <w:tcPr>
            <w:tcW w:w="140" w:type="dxa"/>
            <w:vAlign w:val="bottom"/>
          </w:tcPr>
          <w:p>
            <w:pPr>
              <w:spacing w:after="0"/>
              <w:rPr>
                <w:sz w:val="12"/>
                <w:szCs w:val="12"/>
                <w:color w:val="auto"/>
              </w:rPr>
            </w:pPr>
          </w:p>
        </w:tc>
        <w:tc>
          <w:tcPr>
            <w:tcW w:w="2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4,234,464</w:t>
            </w: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189,833</w:t>
            </w:r>
          </w:p>
        </w:tc>
        <w:tc>
          <w:tcPr>
            <w:tcW w:w="120" w:type="dxa"/>
            <w:vAlign w:val="bottom"/>
          </w:tcPr>
          <w:p>
            <w:pPr>
              <w:spacing w:after="0"/>
              <w:rPr>
                <w:sz w:val="12"/>
                <w:szCs w:val="12"/>
                <w:color w:val="auto"/>
              </w:rPr>
            </w:pPr>
          </w:p>
        </w:tc>
        <w:tc>
          <w:tcPr>
            <w:tcW w:w="180" w:type="dxa"/>
            <w:vAlign w:val="bottom"/>
            <w:tcBorders>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(6,222)</w:t>
            </w:r>
          </w:p>
        </w:tc>
        <w:tc>
          <w:tcPr>
            <w:tcW w:w="120" w:type="dxa"/>
            <w:vAlign w:val="bottom"/>
          </w:tcPr>
          <w:p>
            <w:pPr>
              <w:spacing w:after="0"/>
              <w:rPr>
                <w:sz w:val="12"/>
                <w:szCs w:val="12"/>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4,418,081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3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center"/>
              <w:ind w:right="129"/>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860" w:type="dxa"/>
            <w:vAlign w:val="bottom"/>
          </w:tcPr>
          <w:p>
            <w:pPr>
              <w:spacing w:after="0"/>
              <w:rPr>
                <w:sz w:val="17"/>
                <w:szCs w:val="17"/>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w w:val="92"/>
              </w:rPr>
              <w:t>Retained</w:t>
            </w:r>
          </w:p>
        </w:tc>
        <w:tc>
          <w:tcPr>
            <w:tcW w:w="120" w:type="dxa"/>
            <w:vAlign w:val="bottom"/>
          </w:tcPr>
          <w:p>
            <w:pPr>
              <w:spacing w:after="0"/>
              <w:rPr>
                <w:sz w:val="17"/>
                <w:szCs w:val="17"/>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6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w w:val="90"/>
              </w:rPr>
              <w:t>Earnings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rPr>
              <w:t>Loss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April 30, 2024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28,134,438</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597,646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230,687</w:t>
            </w:r>
          </w:p>
        </w:tc>
        <w:tc>
          <w:tcPr>
            <w:tcW w:w="3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(5,592)</w:t>
            </w:r>
          </w:p>
        </w:tc>
        <w:tc>
          <w:tcPr>
            <w:tcW w:w="28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822,745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 options exercised</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16,164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Restricted stock awards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71,783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Restricted stock awards forfeited</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860" w:type="dxa"/>
            <w:vAlign w:val="bottom"/>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Tax withholding payment related to net share settlement of</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(11,985)</w:t>
            </w: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(4,064)</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(4,064)</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awards</w:t>
            </w: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10,137</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10,137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October 26, 2024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28,205,237</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604,225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259,396</w:t>
            </w:r>
          </w:p>
        </w:tc>
        <w:tc>
          <w:tcPr>
            <w:tcW w:w="3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(5,228)</w:t>
            </w:r>
          </w:p>
        </w:tc>
        <w:tc>
          <w:tcPr>
            <w:tcW w:w="28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858,397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AeroVironment,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 (Unaudited)</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5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6"/>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17"/>
        </w:trPr>
        <w:tc>
          <w:tcPr>
            <w:tcW w:w="5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168"/>
              <w:spacing w:after="0" w:line="118" w:lineRule="exact"/>
              <w:rPr>
                <w:sz w:val="20"/>
                <w:szCs w:val="20"/>
                <w:color w:val="auto"/>
              </w:rPr>
            </w:pPr>
            <w:r>
              <w:rPr>
                <w:rFonts w:ascii="Times New Roman" w:cs="Times New Roman" w:eastAsia="Times New Roman" w:hAnsi="Times New Roman"/>
                <w:sz w:val="13"/>
                <w:szCs w:val="13"/>
                <w:b w:val="1"/>
                <w:bCs w:val="1"/>
                <w:color w:val="auto"/>
              </w:rPr>
              <w:t>October 26,</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income</w:t>
            </w:r>
          </w:p>
        </w:tc>
        <w:tc>
          <w:tcPr>
            <w:tcW w:w="32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(84,473)</w:t>
            </w:r>
          </w:p>
        </w:tc>
        <w:tc>
          <w:tcPr>
            <w:tcW w:w="2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28,709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income to cash (used in) provided by operating activities: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148,327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17,854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Gain from equity method investments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(2,983)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(1,055)</w:t>
            </w:r>
          </w:p>
        </w:tc>
        <w:tc>
          <w:tcPr>
            <w:tcW w:w="0" w:type="dxa"/>
            <w:vAlign w:val="bottom"/>
          </w:tcPr>
          <w:p>
            <w:pPr>
              <w:spacing w:after="0"/>
              <w:rPr>
                <w:sz w:val="1"/>
                <w:szCs w:val="1"/>
                <w:color w:val="auto"/>
              </w:rPr>
            </w:pPr>
          </w:p>
        </w:tc>
      </w:tr>
      <w:tr>
        <w:trPr>
          <w:trHeight w:val="148"/>
        </w:trPr>
        <w:tc>
          <w:tcPr>
            <w:tcW w:w="59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Amortization of debt issuance costs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9,054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1,047</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Provision for credit losses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49"/>
        </w:trPr>
        <w:tc>
          <w:tcPr>
            <w:tcW w:w="59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Reserve for inventory excess and obsolescence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2,679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non-cash expense, net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2,089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1,194</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12,655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4,980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Loss on foreign currency transactions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Unrealized (gain) loss on available-for-sale equity securities, net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(8,858)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267</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19,995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10,137</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Loss on disposal of property and equipment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Amortization of debt securities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9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 net of acquisitions: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(51,519)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(3,500)</w:t>
            </w:r>
          </w:p>
        </w:tc>
        <w:tc>
          <w:tcPr>
            <w:tcW w:w="0" w:type="dxa"/>
            <w:vAlign w:val="bottom"/>
          </w:tcPr>
          <w:p>
            <w:pPr>
              <w:spacing w:after="0"/>
              <w:rPr>
                <w:sz w:val="1"/>
                <w:szCs w:val="1"/>
                <w:color w:val="auto"/>
              </w:rPr>
            </w:pPr>
          </w:p>
        </w:tc>
      </w:tr>
      <w:tr>
        <w:trPr>
          <w:trHeight w:val="148"/>
        </w:trPr>
        <w:tc>
          <w:tcPr>
            <w:tcW w:w="598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Unbilled receivables and retentions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(124,147)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(4,684)</w:t>
            </w:r>
          </w:p>
        </w:tc>
        <w:tc>
          <w:tcPr>
            <w:tcW w:w="0" w:type="dxa"/>
            <w:vAlign w:val="bottom"/>
          </w:tcPr>
          <w:p>
            <w:pPr>
              <w:spacing w:after="0"/>
              <w:rPr>
                <w:sz w:val="1"/>
                <w:szCs w:val="1"/>
                <w:color w:val="auto"/>
              </w:rPr>
            </w:pPr>
          </w:p>
        </w:tc>
      </w:tr>
      <w:tr>
        <w:trPr>
          <w:trHeight w:val="149"/>
        </w:trPr>
        <w:tc>
          <w:tcPr>
            <w:tcW w:w="598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(49,360)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7,485</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Income taxes receivable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(22,230)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(9,636)</w:t>
            </w: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(12,747)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(2,247)</w:t>
            </w:r>
          </w:p>
        </w:tc>
        <w:tc>
          <w:tcPr>
            <w:tcW w:w="0" w:type="dxa"/>
            <w:vAlign w:val="bottom"/>
          </w:tcPr>
          <w:p>
            <w:pPr>
              <w:spacing w:after="0"/>
              <w:rPr>
                <w:sz w:val="1"/>
                <w:szCs w:val="1"/>
                <w:color w:val="auto"/>
              </w:rPr>
            </w:pPr>
          </w:p>
        </w:tc>
      </w:tr>
      <w:tr>
        <w:trPr>
          <w:trHeight w:val="148"/>
        </w:trPr>
        <w:tc>
          <w:tcPr>
            <w:tcW w:w="598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(7,772)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(7,624)</w:t>
            </w: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(2,106)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(20,416)</w:t>
            </w:r>
          </w:p>
        </w:tc>
        <w:tc>
          <w:tcPr>
            <w:tcW w:w="0" w:type="dxa"/>
            <w:vAlign w:val="bottom"/>
          </w:tcPr>
          <w:p>
            <w:pPr>
              <w:spacing w:after="0"/>
              <w:rPr>
                <w:sz w:val="1"/>
                <w:szCs w:val="1"/>
                <w:color w:val="auto"/>
              </w:rPr>
            </w:pPr>
          </w:p>
        </w:tc>
      </w:tr>
      <w:tr>
        <w:trPr>
          <w:trHeight w:val="142"/>
        </w:trPr>
        <w:tc>
          <w:tcPr>
            <w:tcW w:w="59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(168,810)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24,709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Acquisition of property and equipment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(33,537)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(10,447)</w:t>
            </w:r>
          </w:p>
        </w:tc>
        <w:tc>
          <w:tcPr>
            <w:tcW w:w="0" w:type="dxa"/>
            <w:vAlign w:val="bottom"/>
          </w:tcPr>
          <w:p>
            <w:pPr>
              <w:spacing w:after="0"/>
              <w:rPr>
                <w:sz w:val="1"/>
                <w:szCs w:val="1"/>
                <w:color w:val="auto"/>
              </w:rPr>
            </w:pPr>
          </w:p>
        </w:tc>
      </w:tr>
      <w:tr>
        <w:trPr>
          <w:trHeight w:val="149"/>
        </w:trPr>
        <w:tc>
          <w:tcPr>
            <w:tcW w:w="5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Contributions in equity method investments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(2,123)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(1,183)</w:t>
            </w:r>
          </w:p>
        </w:tc>
        <w:tc>
          <w:tcPr>
            <w:tcW w:w="0" w:type="dxa"/>
            <w:vAlign w:val="bottom"/>
          </w:tcPr>
          <w:p>
            <w:pPr>
              <w:spacing w:after="0"/>
              <w:rPr>
                <w:sz w:val="1"/>
                <w:szCs w:val="1"/>
                <w:color w:val="auto"/>
              </w:rPr>
            </w:pPr>
          </w:p>
        </w:tc>
      </w:tr>
      <w:tr>
        <w:trPr>
          <w:trHeight w:val="148"/>
        </w:trPr>
        <w:tc>
          <w:tcPr>
            <w:tcW w:w="5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available-for-sale investments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(264,215)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Acquisition of capitalized software to be sold</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(13,266)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Business acquisitions, net of cash acquired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(844,580)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59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(1,157,721)</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(11,630)</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Principal payments of term loan</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(700,000)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(28,000)</w:t>
            </w:r>
          </w:p>
        </w:tc>
        <w:tc>
          <w:tcPr>
            <w:tcW w:w="0" w:type="dxa"/>
            <w:vAlign w:val="bottom"/>
          </w:tcPr>
          <w:p>
            <w:pPr>
              <w:spacing w:after="0"/>
              <w:rPr>
                <w:sz w:val="1"/>
                <w:szCs w:val="1"/>
                <w:color w:val="auto"/>
              </w:rPr>
            </w:pPr>
          </w:p>
        </w:tc>
      </w:tr>
      <w:tr>
        <w:trPr>
          <w:trHeight w:val="149"/>
        </w:trPr>
        <w:tc>
          <w:tcPr>
            <w:tcW w:w="5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long-term debt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693,202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Principal payments of revolver</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(265,000)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revolver, net of creditor costs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233,939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shares issued, net of underwriter costs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968,515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convertible debt, net of underwriter costs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726,944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 of debt issuance costs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(2,445)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(900)</w:t>
            </w:r>
          </w:p>
        </w:tc>
        <w:tc>
          <w:tcPr>
            <w:tcW w:w="0" w:type="dxa"/>
            <w:vAlign w:val="bottom"/>
          </w:tcPr>
          <w:p>
            <w:pPr>
              <w:spacing w:after="0"/>
              <w:rPr>
                <w:sz w:val="1"/>
                <w:szCs w:val="1"/>
                <w:color w:val="auto"/>
              </w:rPr>
            </w:pPr>
          </w:p>
        </w:tc>
      </w:tr>
      <w:tr>
        <w:trPr>
          <w:trHeight w:val="149"/>
        </w:trPr>
        <w:tc>
          <w:tcPr>
            <w:tcW w:w="5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 of equity issuance costs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(1,388)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Tax withholding payment related to net settlement of equity awards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(10,900)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(4,064)</w:t>
            </w:r>
          </w:p>
        </w:tc>
        <w:tc>
          <w:tcPr>
            <w:tcW w:w="0" w:type="dxa"/>
            <w:vAlign w:val="bottom"/>
          </w:tcPr>
          <w:p>
            <w:pPr>
              <w:spacing w:after="0"/>
              <w:rPr>
                <w:sz w:val="1"/>
                <w:szCs w:val="1"/>
                <w:color w:val="auto"/>
              </w:rPr>
            </w:pPr>
          </w:p>
        </w:tc>
      </w:tr>
      <w:tr>
        <w:trPr>
          <w:trHeight w:val="149"/>
        </w:trPr>
        <w:tc>
          <w:tcPr>
            <w:tcW w:w="5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Employee stock purchase plan contributions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2,467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506</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2"/>
        </w:trPr>
        <w:tc>
          <w:tcPr>
            <w:tcW w:w="59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1,645,325</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(17,471)</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Effects of currency translation on cash and cash equivalents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318,572</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(4,341)</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40,862</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73,301</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359,434</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68,960</w:t>
            </w:r>
          </w:p>
        </w:tc>
        <w:tc>
          <w:tcPr>
            <w:tcW w:w="1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9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paid, net during the period for:</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32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3,192</w:t>
            </w:r>
          </w:p>
        </w:tc>
        <w:tc>
          <w:tcPr>
            <w:tcW w:w="80" w:type="dxa"/>
            <w:vAlign w:val="bottom"/>
          </w:tcPr>
          <w:p>
            <w:pPr>
              <w:spacing w:after="0"/>
              <w:rPr>
                <w:sz w:val="12"/>
                <w:szCs w:val="12"/>
                <w:color w:val="auto"/>
              </w:rPr>
            </w:pPr>
          </w:p>
        </w:tc>
        <w:tc>
          <w:tcPr>
            <w:tcW w:w="24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14,444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320" w:type="dxa"/>
            <w:vAlign w:val="bottom"/>
            <w:gridSpan w:val="2"/>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12,216</w:t>
            </w:r>
          </w:p>
        </w:tc>
        <w:tc>
          <w:tcPr>
            <w:tcW w:w="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777</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Non-cash activities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for business acquisition</w:t>
            </w:r>
          </w:p>
        </w:tc>
        <w:tc>
          <w:tcPr>
            <w:tcW w:w="320" w:type="dxa"/>
            <w:vAlign w:val="bottom"/>
            <w:gridSpan w:val="2"/>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2,640,365</w:t>
            </w:r>
          </w:p>
        </w:tc>
        <w:tc>
          <w:tcPr>
            <w:tcW w:w="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59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Unrealized loss on available-for-sale investments, net of deferred tax expense of $0 for the three and</w:t>
            </w:r>
          </w:p>
        </w:tc>
        <w:tc>
          <w:tcPr>
            <w:tcW w:w="320" w:type="dxa"/>
            <w:vAlign w:val="bottom"/>
            <w:gridSpan w:val="2"/>
            <w:vMerge w:val="restart"/>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980" w:type="dxa"/>
            <w:vAlign w:val="bottom"/>
          </w:tcPr>
          <w:p>
            <w:pPr>
              <w:spacing w:after="0"/>
              <w:rPr>
                <w:sz w:val="20"/>
                <w:szCs w:val="20"/>
                <w:color w:val="auto"/>
              </w:rPr>
            </w:pPr>
            <w:r>
              <w:rPr>
                <w:rFonts w:ascii="Times New Roman" w:cs="Times New Roman" w:eastAsia="Times New Roman" w:hAnsi="Times New Roman"/>
                <w:sz w:val="14"/>
                <w:szCs w:val="14"/>
                <w:color w:val="auto"/>
              </w:rPr>
              <w:t>six months ended November 1, 2025 and October 26, 2024, respectively</w:t>
            </w:r>
          </w:p>
        </w:tc>
        <w:tc>
          <w:tcPr>
            <w:tcW w:w="3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Change in foreign currency translation adjustments</w:t>
            </w:r>
          </w:p>
        </w:tc>
        <w:tc>
          <w:tcPr>
            <w:tcW w:w="320" w:type="dxa"/>
            <w:vAlign w:val="bottom"/>
            <w:gridSpan w:val="2"/>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476</w:t>
            </w:r>
          </w:p>
        </w:tc>
        <w:tc>
          <w:tcPr>
            <w:tcW w:w="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364</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598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Acquisitions of property and equipment included in accounts payable</w:t>
            </w:r>
          </w:p>
        </w:tc>
        <w:tc>
          <w:tcPr>
            <w:tcW w:w="320" w:type="dxa"/>
            <w:vAlign w:val="bottom"/>
            <w:gridSpan w:val="2"/>
          </w:tcPr>
          <w:p>
            <w:pPr>
              <w:jc w:val="right"/>
              <w:ind w:right="23"/>
              <w:spacing w:after="0" w:line="150"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5,625</w:t>
            </w:r>
          </w:p>
        </w:tc>
        <w:tc>
          <w:tcPr>
            <w:tcW w:w="80" w:type="dxa"/>
            <w:vAlign w:val="bottom"/>
          </w:tcPr>
          <w:p>
            <w:pPr>
              <w:spacing w:after="0"/>
              <w:rPr>
                <w:sz w:val="13"/>
                <w:szCs w:val="13"/>
                <w:color w:val="auto"/>
              </w:rPr>
            </w:pPr>
          </w:p>
        </w:tc>
        <w:tc>
          <w:tcPr>
            <w:tcW w:w="240" w:type="dxa"/>
            <w:vAlign w:val="bottom"/>
            <w:gridSpan w:val="2"/>
          </w:tcPr>
          <w:p>
            <w:pPr>
              <w:jc w:val="right"/>
              <w:ind w:right="8"/>
              <w:spacing w:after="0" w:line="150"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964</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 Organization and Significant Accounting Policies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8"/>
          <w:szCs w:val="18"/>
          <w:color w:val="auto"/>
        </w:rPr>
        <w:t>AeroVironment, Inc. (“AeroVironment”, “AV” or “the Company”), a Delaware corporation, is a defense technology provider delivering integrated capabilities across air, land, sea, space, and cyber. AV develops and deploys autonomous systems, precision strike systems, counter-UAS technologies, space-based platforms, directed energy systems, and cyber and electronic warfare capabilities. AV operates a national manufacturing footprint to deliver proven systems and capabilities whose markets offer the potential for significant long-term growth. In addition, the Company believes that some of the innovative potential products, services and technologies in its research and development (“R&amp;D”) pipeline will emerge as new growth platforms in the future, creating additional market opportunities.</w:t>
      </w:r>
    </w:p>
    <w:p>
      <w:pPr>
        <w:spacing w:after="0" w:line="189" w:lineRule="exact"/>
        <w:rPr>
          <w:sz w:val="20"/>
          <w:szCs w:val="20"/>
          <w:color w:val="auto"/>
        </w:rPr>
      </w:pPr>
    </w:p>
    <w:p>
      <w:pPr>
        <w:ind w:left="40" w:right="159"/>
        <w:spacing w:after="0" w:line="261" w:lineRule="auto"/>
        <w:rPr>
          <w:sz w:val="20"/>
          <w:szCs w:val="20"/>
          <w:color w:val="auto"/>
        </w:rPr>
      </w:pPr>
      <w:r>
        <w:rPr>
          <w:rFonts w:ascii="Times New Roman" w:cs="Times New Roman" w:eastAsia="Times New Roman" w:hAnsi="Times New Roman"/>
          <w:sz w:val="18"/>
          <w:szCs w:val="18"/>
          <w:color w:val="auto"/>
        </w:rPr>
        <w:t>Effective May 1, 2025, the Company reorganized its segments. In connection with the Company’s acquisition of BlueHalo Financing Topco, LLC (“BlueHalo”), the reorganization was implemented to drive additional operational improvements, foster synergies and provide leaders with greater autonomy over their product lines. The Company’s reportable segments are as follows:</w:t>
      </w:r>
    </w:p>
    <w:p>
      <w:pPr>
        <w:spacing w:after="0" w:line="178"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8"/>
          <w:szCs w:val="18"/>
          <w:i w:val="1"/>
          <w:iCs w:val="1"/>
          <w:color w:val="auto"/>
        </w:rPr>
        <w:t>Autonomous Systems (“AxS”)</w:t>
      </w:r>
      <w:r>
        <w:rPr>
          <w:rFonts w:ascii="Times New Roman" w:cs="Times New Roman" w:eastAsia="Times New Roman" w:hAnsi="Times New Roman"/>
          <w:sz w:val="18"/>
          <w:szCs w:val="18"/>
          <w:color w:val="auto"/>
        </w:rPr>
        <w:t>— The AxS segment focuses on the design, development, production, delivery, and support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intelligent, multi-domain robotic systems, including uncrewed aircraft systems (“UAS”), uncrewed underwater vehicles and ground robot systems. The segment includes the Company’s former Uncrewed Systems, Loitering Munitions Systems, and MacCready Works segments as well as Radio Frequency (“RF”) and Kinetic Counter-UAS (“C-UAS”), Electronic Warfare Systems (“EW”) and Unmanned Maritime products and services from the BlueHalo acquisition. It primarily serves organizations within or supplying the U.S. Department of Defense (“DoD”), other federal agencies, and international allied governments. This segment encompasses the Company’s core autonomous platforms, such as drones and robotic systems, tailored for mission-critical applications across air, land and sea domains.</w:t>
      </w:r>
    </w:p>
    <w:p>
      <w:pPr>
        <w:spacing w:after="0" w:line="185" w:lineRule="exact"/>
        <w:rPr>
          <w:sz w:val="20"/>
          <w:szCs w:val="20"/>
          <w:color w:val="auto"/>
        </w:rPr>
      </w:pPr>
    </w:p>
    <w:p>
      <w:pPr>
        <w:ind w:left="40" w:right="179"/>
        <w:spacing w:after="0" w:line="258" w:lineRule="auto"/>
        <w:rPr>
          <w:sz w:val="20"/>
          <w:szCs w:val="20"/>
          <w:color w:val="auto"/>
        </w:rPr>
      </w:pPr>
      <w:r>
        <w:rPr>
          <w:rFonts w:ascii="Times New Roman" w:cs="Times New Roman" w:eastAsia="Times New Roman" w:hAnsi="Times New Roman"/>
          <w:sz w:val="18"/>
          <w:szCs w:val="18"/>
          <w:i w:val="1"/>
          <w:iCs w:val="1"/>
          <w:color w:val="auto"/>
        </w:rPr>
        <w:t>Space, Cyber, and Directed Energy (“SCDE”)</w:t>
      </w:r>
      <w:r>
        <w:rPr>
          <w:rFonts w:ascii="Times New Roman" w:cs="Times New Roman" w:eastAsia="Times New Roman" w:hAnsi="Times New Roman"/>
          <w:sz w:val="18"/>
          <w:szCs w:val="18"/>
          <w:color w:val="auto"/>
        </w:rPr>
        <w:t>— The SCDE segment focuses on advanced technologies in the space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domain providing space-based and ground-based platforms, cyber capabilities, and directed energy systems. This segment positions the Company in high-growth areas of next-generation defense technology, addressing emerging threats and mission requirements in space, cyber warfare, and directed energy applications (e.g., high-energy lasers). It also primarily serves organizations within or supplying the U.S. DoD, other federal agencies, and international allied governments.</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40" w:right="7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(“U.S. GAAP”) for interim financial information and with the instructions of Form 10-Q and Article 10 of Regulation S-X. Accordingly, they do not include all of the information and footnotes required by U.S. GAAP for complete financial statements. In the opinion of management, all adjustments, consisting only of normal recurring adjustments necessary for a fair presentation with respect to the interim financial statements have been included. The results of operations for the three and six months ended November 1, 2025 are not necessarily indicative of the results for the full year ending April 30, 2026. For further information, refer to the consolidated financial statements and footnotes thereto for the year ended April 30, 2025, included in the Company’s Annual Report on Form 10-K.</w:t>
      </w:r>
    </w:p>
    <w:p>
      <w:pPr>
        <w:spacing w:after="0" w:line="188" w:lineRule="exact"/>
        <w:rPr>
          <w:sz w:val="20"/>
          <w:szCs w:val="20"/>
          <w:color w:val="auto"/>
        </w:rPr>
      </w:pPr>
    </w:p>
    <w:p>
      <w:pPr>
        <w:ind w:left="40" w:right="479"/>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including estimates of anticipated contract costs and revenue utilized in the revenue recognition process,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that affect the reported amounts in the unaudited condensed consolidated financial statements and accompanying notes.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Actual results could differ from those estimates.</w:t>
      </w:r>
    </w:p>
    <w:p>
      <w:pPr>
        <w:spacing w:after="0" w:line="207" w:lineRule="exact"/>
        <w:rPr>
          <w:sz w:val="20"/>
          <w:szCs w:val="20"/>
          <w:color w:val="auto"/>
        </w:rPr>
      </w:pPr>
    </w:p>
    <w:p>
      <w:pPr>
        <w:ind w:left="40" w:right="239"/>
        <w:spacing w:after="0" w:line="282"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include the assets, liabilities and operating results of wholly-owned subsidiaries. All intercompany accounts and transactions have been eliminated.</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 Acquisitions</w:t>
      </w:r>
    </w:p>
    <w:p>
      <w:pPr>
        <w:spacing w:after="0" w:line="229" w:lineRule="exact"/>
        <w:rPr>
          <w:sz w:val="20"/>
          <w:szCs w:val="20"/>
          <w:color w:val="auto"/>
        </w:rPr>
      </w:pPr>
    </w:p>
    <w:p>
      <w:pPr>
        <w:ind w:left="40" w:right="119"/>
        <w:spacing w:after="0" w:line="258" w:lineRule="auto"/>
        <w:rPr>
          <w:sz w:val="20"/>
          <w:szCs w:val="20"/>
          <w:color w:val="auto"/>
        </w:rPr>
      </w:pPr>
      <w:r>
        <w:rPr>
          <w:rFonts w:ascii="Times New Roman" w:cs="Times New Roman" w:eastAsia="Times New Roman" w:hAnsi="Times New Roman"/>
          <w:sz w:val="18"/>
          <w:szCs w:val="18"/>
          <w:color w:val="auto"/>
        </w:rPr>
        <w:t>On May 1, 2025, the Company closed its acquisition of BlueHalo, a Delaware limited liability company, pursuant to the Agreement and Plan of Merger, dated as of November 18, 2024 (the “Merger Agreement”) by and among AV, Archangel Merger Sub LLC, a Delaware limited liability company (“Merger Sub”), BlueHalo, and BlueHalo Holdings Parent, LLC, a Delaware limited liability company and sole member of BlueHalo (“Seller”). Refer to Note 17—Business Acquisitions for further details.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Company did not adopt any accounting standards during the three and six months ended November 1, 2025.</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jc w:val="both"/>
        <w:ind w:left="40" w:right="139"/>
        <w:spacing w:after="0" w:line="266" w:lineRule="auto"/>
        <w:rPr>
          <w:sz w:val="20"/>
          <w:szCs w:val="20"/>
          <w:color w:val="auto"/>
        </w:rPr>
      </w:pPr>
      <w:r>
        <w:rPr>
          <w:rFonts w:ascii="Times New Roman" w:cs="Times New Roman" w:eastAsia="Times New Roman" w:hAnsi="Times New Roman"/>
          <w:sz w:val="18"/>
          <w:szCs w:val="18"/>
          <w:color w:val="auto"/>
        </w:rPr>
        <w:t>Certain prior year amounts have been reclassified to conform to the current year presentation. Specifically, the Company’s revenue disclosure of revenue by segment and the segment disclosures for prior periods have been recast to conform to the new segments and new measure of segment profitability.</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8"/>
          <w:szCs w:val="18"/>
          <w:color w:val="auto"/>
        </w:rPr>
        <w:t xml:space="preserve">The Company’s revenue is generated pursuant to written contractual arrangements to design, develop, manufacture and/or modify complex products and to provide related engineering, technical and other services according to the specifications of its customers. These contracts may be firm fixed price (“FFP”), cost plus fixed fee, cost plus award fee, and cost plus incentive fee (collectively “Cost Plus”), or time and materials (“T&amp;M”). The Company considers all such contracts to be within the scope of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229" w:lineRule="exact"/>
        <w:rPr>
          <w:sz w:val="20"/>
          <w:szCs w:val="20"/>
          <w:color w:val="auto"/>
        </w:rPr>
      </w:pPr>
    </w:p>
    <w:p>
      <w:pPr>
        <w:ind w:left="40" w:right="139"/>
        <w:spacing w:after="0" w:line="261" w:lineRule="auto"/>
        <w:rPr>
          <w:sz w:val="20"/>
          <w:szCs w:val="20"/>
          <w:color w:val="auto"/>
        </w:rPr>
      </w:pPr>
      <w:r>
        <w:rPr>
          <w:rFonts w:ascii="Times New Roman" w:cs="Times New Roman" w:eastAsia="Times New Roman" w:hAnsi="Times New Roman"/>
          <w:sz w:val="18"/>
          <w:szCs w:val="18"/>
          <w:color w:val="auto"/>
        </w:rPr>
        <w:t>On November 1, 2025, the Company had approximately $1,092,479,000 of remaining performance obligations under fully funded contracts with its customers, which the Company also refers to as funded backlog. The Company currently expects to recognize approximately 68% of the remaining performance obligations as revenue in fiscal 2026 and the remaining 32% in fiscal 2027 or beyond.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Revenue by Category</w:t>
      </w:r>
    </w:p>
    <w:p>
      <w:pPr>
        <w:spacing w:after="0" w:line="229" w:lineRule="exact"/>
        <w:rPr>
          <w:sz w:val="20"/>
          <w:szCs w:val="20"/>
          <w:color w:val="auto"/>
        </w:rPr>
      </w:pPr>
    </w:p>
    <w:p>
      <w:pPr>
        <w:ind w:left="40" w:right="56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revenue disaggregated by segment, contract type, customer category and geographic location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80" w:type="dxa"/>
            <w:vAlign w:val="bottom"/>
            <w:gridSpan w:val="8"/>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gridSpan w:val="7"/>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4"/>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segment</w:t>
            </w:r>
          </w:p>
        </w:tc>
        <w:tc>
          <w:tcPr>
            <w:tcW w:w="94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8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Borders>
              <w:top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8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280" w:type="dxa"/>
            <w:vAlign w:val="bottom"/>
            <w:tcBorders>
              <w:bottom w:val="single" w:sz="8" w:color="CCEEFF"/>
            </w:tcBorders>
            <w:vMerge w:val="continue"/>
          </w:tcPr>
          <w:p>
            <w:pPr>
              <w:spacing w:after="0"/>
              <w:rPr>
                <w:sz w:val="15"/>
                <w:szCs w:val="15"/>
                <w:color w:val="auto"/>
              </w:rPr>
            </w:pPr>
          </w:p>
        </w:tc>
        <w:tc>
          <w:tcPr>
            <w:tcW w:w="800" w:type="dxa"/>
            <w:vAlign w:val="bottom"/>
            <w:tcBorders>
              <w:bottom w:val="single" w:sz="8" w:color="auto"/>
            </w:tcBorders>
            <w:gridSpan w:val="3"/>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gridSpan w:val="3"/>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gridSpan w:val="3"/>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3"/>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AxS</w:t>
            </w:r>
          </w:p>
        </w:tc>
        <w:tc>
          <w:tcPr>
            <w:tcW w:w="80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97"/>
              </w:rPr>
              <w:t>$ 301,573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$ 188,458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$ 586,898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$ 377,941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SCDE</w:t>
            </w:r>
          </w:p>
        </w:tc>
        <w:tc>
          <w:tcPr>
            <w:tcW w:w="80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170,935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340,286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80" w:type="dxa"/>
            <w:vAlign w:val="bottom"/>
            <w:tcBorders>
              <w:top w:val="single" w:sz="8" w:color="CCEEFF"/>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472,508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927,184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gridSpan w:val="8"/>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4"/>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contract type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0" w:type="dxa"/>
            <w:vAlign w:val="bottom"/>
          </w:tcPr>
          <w:p>
            <w:pPr>
              <w:spacing w:after="0"/>
              <w:rPr>
                <w:sz w:val="1"/>
                <w:szCs w:val="1"/>
                <w:color w:val="auto"/>
              </w:rPr>
            </w:pPr>
          </w:p>
        </w:tc>
      </w:tr>
      <w:tr>
        <w:trPr>
          <w:trHeight w:val="174"/>
        </w:trPr>
        <w:tc>
          <w:tcPr>
            <w:tcW w:w="5280" w:type="dxa"/>
            <w:vAlign w:val="bottom"/>
            <w:vMerge w:val="continue"/>
          </w:tcPr>
          <w:p>
            <w:pPr>
              <w:spacing w:after="0"/>
              <w:rPr>
                <w:sz w:val="15"/>
                <w:szCs w:val="15"/>
                <w:color w:val="auto"/>
              </w:rPr>
            </w:pPr>
          </w:p>
        </w:tc>
        <w:tc>
          <w:tcPr>
            <w:tcW w:w="800" w:type="dxa"/>
            <w:vAlign w:val="bottom"/>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3"/>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3"/>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FFP</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$ 301,508</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$ 168,752</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$ 600,485</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$ 340,620</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Cost Plus</w:t>
            </w:r>
          </w:p>
        </w:tc>
        <w:tc>
          <w:tcPr>
            <w:tcW w:w="9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131,350</w:t>
            </w:r>
          </w:p>
        </w:tc>
        <w:tc>
          <w:tcPr>
            <w:tcW w:w="40" w:type="dxa"/>
            <w:vAlign w:val="bottom"/>
          </w:tcPr>
          <w:p>
            <w:pPr>
              <w:spacing w:after="0"/>
              <w:rPr>
                <w:sz w:val="18"/>
                <w:szCs w:val="18"/>
                <w:color w:val="auto"/>
              </w:rPr>
            </w:pPr>
          </w:p>
        </w:tc>
        <w:tc>
          <w:tcPr>
            <w:tcW w:w="9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18,810</w:t>
            </w:r>
          </w:p>
        </w:tc>
        <w:tc>
          <w:tcPr>
            <w:tcW w:w="40" w:type="dxa"/>
            <w:vAlign w:val="bottom"/>
          </w:tcPr>
          <w:p>
            <w:pPr>
              <w:spacing w:after="0"/>
              <w:rPr>
                <w:sz w:val="18"/>
                <w:szCs w:val="18"/>
                <w:color w:val="auto"/>
              </w:rPr>
            </w:pPr>
          </w:p>
        </w:tc>
        <w:tc>
          <w:tcPr>
            <w:tcW w:w="9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250,278</w:t>
            </w:r>
          </w:p>
        </w:tc>
        <w:tc>
          <w:tcPr>
            <w:tcW w:w="40" w:type="dxa"/>
            <w:vAlign w:val="bottom"/>
          </w:tcPr>
          <w:p>
            <w:pPr>
              <w:spacing w:after="0"/>
              <w:rPr>
                <w:sz w:val="18"/>
                <w:szCs w:val="18"/>
                <w:color w:val="auto"/>
              </w:rPr>
            </w:pPr>
          </w:p>
        </w:tc>
        <w:tc>
          <w:tcPr>
            <w:tcW w:w="9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35,041</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T&amp;M</w:t>
            </w:r>
          </w:p>
        </w:tc>
        <w:tc>
          <w:tcPr>
            <w:tcW w:w="9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39,650</w:t>
            </w:r>
          </w:p>
        </w:tc>
        <w:tc>
          <w:tcPr>
            <w:tcW w:w="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896</w:t>
            </w:r>
          </w:p>
        </w:tc>
        <w:tc>
          <w:tcPr>
            <w:tcW w:w="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76,421</w:t>
            </w:r>
          </w:p>
        </w:tc>
        <w:tc>
          <w:tcPr>
            <w:tcW w:w="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2,280</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gridSpan w:val="2"/>
          </w:tcPr>
          <w:p>
            <w:pPr>
              <w:spacing w:after="0"/>
              <w:rPr>
                <w:sz w:val="18"/>
                <w:szCs w:val="18"/>
                <w:color w:val="auto"/>
              </w:rPr>
            </w:pPr>
          </w:p>
        </w:tc>
        <w:tc>
          <w:tcPr>
            <w:tcW w:w="80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$ 472,508</w:t>
            </w:r>
          </w:p>
        </w:tc>
        <w:tc>
          <w:tcPr>
            <w:tcW w:w="4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7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$ 188,458</w:t>
            </w:r>
          </w:p>
        </w:tc>
        <w:tc>
          <w:tcPr>
            <w:tcW w:w="4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7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$ 927,184</w:t>
            </w:r>
          </w:p>
        </w:tc>
        <w:tc>
          <w:tcPr>
            <w:tcW w:w="4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80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$ 377,941</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140"/>
        <w:spacing w:after="0" w:line="258" w:lineRule="auto"/>
        <w:rPr>
          <w:sz w:val="20"/>
          <w:szCs w:val="20"/>
          <w:color w:val="auto"/>
        </w:rPr>
      </w:pPr>
      <w:r>
        <w:rPr>
          <w:rFonts w:ascii="Times New Roman" w:cs="Times New Roman" w:eastAsia="Times New Roman" w:hAnsi="Times New Roman"/>
          <w:sz w:val="18"/>
          <w:szCs w:val="18"/>
          <w:color w:val="auto"/>
        </w:rPr>
        <w:t>Each of these contract types presents advantages and disadvantages. Typically, the Company assumes more risk with FFP contracts. However, these types of contracts generally offer additional profits when the Company completes the work for less than originally estimated. Cost Plus contracts generally subject the Company to lower risk. Accordingly, the associated base fees are usually lower than fees on FFP contracts. Under T&amp;M contracts, the Company’s profit may vary if actual labor hour rates vary significantly from the negotiated rates.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5"/>
                <w:szCs w:val="15"/>
                <w:color w:val="auto"/>
              </w:rPr>
            </w:pPr>
          </w:p>
        </w:tc>
        <w:tc>
          <w:tcPr>
            <w:tcW w:w="1760" w:type="dxa"/>
            <w:vAlign w:val="bottom"/>
            <w:gridSpan w:val="7"/>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4"/>
        </w:trPr>
        <w:tc>
          <w:tcPr>
            <w:tcW w:w="4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customer category</w:t>
            </w:r>
          </w:p>
        </w:tc>
        <w:tc>
          <w:tcPr>
            <w:tcW w:w="980" w:type="dxa"/>
            <w:vAlign w:val="bottom"/>
          </w:tcPr>
          <w:p>
            <w:pPr>
              <w:spacing w:after="0"/>
              <w:rPr>
                <w:sz w:val="15"/>
                <w:szCs w:val="15"/>
                <w:color w:val="auto"/>
              </w:rPr>
            </w:pPr>
          </w:p>
        </w:tc>
        <w:tc>
          <w:tcPr>
            <w:tcW w:w="920" w:type="dxa"/>
            <w:vAlign w:val="bottom"/>
            <w:tcBorders>
              <w:top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1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300" w:type="dxa"/>
            <w:vAlign w:val="bottom"/>
            <w:vMerge w:val="continue"/>
          </w:tcPr>
          <w:p>
            <w:pPr>
              <w:spacing w:after="0"/>
              <w:rPr>
                <w:sz w:val="15"/>
                <w:szCs w:val="15"/>
                <w:color w:val="auto"/>
              </w:rPr>
            </w:pPr>
          </w:p>
        </w:tc>
        <w:tc>
          <w:tcPr>
            <w:tcW w:w="1780" w:type="dxa"/>
            <w:vAlign w:val="bottom"/>
            <w:gridSpan w:val="3"/>
          </w:tcPr>
          <w:p>
            <w:pPr>
              <w:jc w:val="center"/>
              <w:ind w:left="8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860" w:type="dxa"/>
            <w:vAlign w:val="bottom"/>
            <w:gridSpan w:val="2"/>
          </w:tcPr>
          <w:p>
            <w:pPr>
              <w:jc w:val="center"/>
              <w:ind w:left="2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5"/>
                <w:szCs w:val="15"/>
                <w:color w:val="auto"/>
              </w:rPr>
            </w:pPr>
          </w:p>
        </w:tc>
        <w:tc>
          <w:tcPr>
            <w:tcW w:w="860" w:type="dxa"/>
            <w:vAlign w:val="bottom"/>
            <w:gridSpan w:val="3"/>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w:t>
            </w:r>
          </w:p>
        </w:tc>
        <w:tc>
          <w:tcPr>
            <w:tcW w:w="9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97"/>
              </w:rPr>
              <w:t>$ 397,586</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$ 140,715</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$ 792,906</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$ 289,315</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Non-U.S. government</w:t>
            </w:r>
          </w:p>
        </w:tc>
        <w:tc>
          <w:tcPr>
            <w:tcW w:w="178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74,922</w:t>
            </w:r>
          </w:p>
        </w:tc>
        <w:tc>
          <w:tcPr>
            <w:tcW w:w="1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47,743</w:t>
            </w:r>
          </w:p>
        </w:tc>
        <w:tc>
          <w:tcPr>
            <w:tcW w:w="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134,278</w:t>
            </w:r>
          </w:p>
        </w:tc>
        <w:tc>
          <w:tcPr>
            <w:tcW w:w="20" w:type="dxa"/>
            <w:vAlign w:val="bottom"/>
          </w:tcPr>
          <w:p>
            <w:pPr>
              <w:spacing w:after="0"/>
              <w:rPr>
                <w:sz w:val="18"/>
                <w:szCs w:val="18"/>
                <w:color w:val="auto"/>
              </w:rPr>
            </w:pP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88,626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97"/>
              </w:rPr>
              <w:t>$ 472,508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$ 188,458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$ 927,184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$ 377,941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24"/>
                <w:szCs w:val="24"/>
                <w:color w:val="auto"/>
              </w:rPr>
            </w:pPr>
          </w:p>
        </w:tc>
        <w:tc>
          <w:tcPr>
            <w:tcW w:w="1760" w:type="dxa"/>
            <w:vAlign w:val="bottom"/>
            <w:gridSpan w:val="7"/>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43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gridSpan w:val="3"/>
            <w:shd w:val="clear" w:color="auto" w:fill="CCEEFF"/>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gridSpan w:val="2"/>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October 26,</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gridSpan w:val="2"/>
            <w:shd w:val="clear" w:color="auto" w:fill="CCEEFF"/>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1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gridSpan w:val="2"/>
            <w:shd w:val="clear" w:color="auto" w:fill="CCEEFF"/>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October 26,</w:t>
            </w:r>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 by geographic location</w:t>
            </w:r>
          </w:p>
        </w:tc>
        <w:tc>
          <w:tcPr>
            <w:tcW w:w="1780" w:type="dxa"/>
            <w:vAlign w:val="bottom"/>
            <w:gridSpan w:val="3"/>
          </w:tcPr>
          <w:p>
            <w:pPr>
              <w:jc w:val="center"/>
              <w:ind w:left="8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8"/>
                <w:szCs w:val="18"/>
                <w:color w:val="auto"/>
              </w:rPr>
            </w:pPr>
          </w:p>
        </w:tc>
        <w:tc>
          <w:tcPr>
            <w:tcW w:w="860" w:type="dxa"/>
            <w:vAlign w:val="bottom"/>
            <w:gridSpan w:val="2"/>
          </w:tcPr>
          <w:p>
            <w:pPr>
              <w:jc w:val="center"/>
              <w:ind w:left="2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8"/>
                <w:szCs w:val="18"/>
                <w:color w:val="auto"/>
              </w:rPr>
            </w:pPr>
          </w:p>
        </w:tc>
        <w:tc>
          <w:tcPr>
            <w:tcW w:w="860" w:type="dxa"/>
            <w:vAlign w:val="bottom"/>
            <w:gridSpan w:val="3"/>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9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97"/>
              </w:rPr>
              <w:t>$ 360,703</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86,958</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$ 707,738</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$ 153,956</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78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111,805</w:t>
            </w:r>
          </w:p>
        </w:tc>
        <w:tc>
          <w:tcPr>
            <w:tcW w:w="1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101,500</w:t>
            </w:r>
          </w:p>
        </w:tc>
        <w:tc>
          <w:tcPr>
            <w:tcW w:w="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219,446</w:t>
            </w:r>
          </w:p>
        </w:tc>
        <w:tc>
          <w:tcPr>
            <w:tcW w:w="20" w:type="dxa"/>
            <w:vAlign w:val="bottom"/>
          </w:tcPr>
          <w:p>
            <w:pPr>
              <w:spacing w:after="0"/>
              <w:rPr>
                <w:sz w:val="18"/>
                <w:szCs w:val="18"/>
                <w:color w:val="auto"/>
              </w:rPr>
            </w:pP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223,985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97"/>
              </w:rPr>
              <w:t>$ 472,508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$ 188,458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$ 927,184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$ 377,941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bottom w:val="single" w:sz="8" w:color="auto"/>
            </w:tcBorders>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24"/>
                <w:szCs w:val="24"/>
                <w:color w:val="auto"/>
              </w:rPr>
            </w:pPr>
          </w:p>
        </w:tc>
        <w:tc>
          <w:tcPr>
            <w:tcW w:w="1660" w:type="dxa"/>
            <w:vAlign w:val="bottom"/>
            <w:tcBorders>
              <w:bottom w:val="single" w:sz="8" w:color="auto"/>
            </w:tcBorders>
            <w:gridSpan w:val="5"/>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percentage by recognition method</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October 26,</w:t>
            </w: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14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0" w:type="dxa"/>
            <w:vAlign w:val="bottom"/>
          </w:tcPr>
          <w:p>
            <w:pPr>
              <w:spacing w:after="0"/>
              <w:rPr>
                <w:sz w:val="1"/>
                <w:szCs w:val="1"/>
                <w:color w:val="auto"/>
              </w:rPr>
            </w:pPr>
          </w:p>
        </w:tc>
      </w:tr>
      <w:tr>
        <w:trPr>
          <w:trHeight w:val="213"/>
        </w:trPr>
        <w:tc>
          <w:tcPr>
            <w:tcW w:w="4300" w:type="dxa"/>
            <w:vAlign w:val="bottom"/>
            <w:vMerge w:val="continue"/>
          </w:tcPr>
          <w:p>
            <w:pPr>
              <w:spacing w:after="0"/>
              <w:rPr>
                <w:sz w:val="18"/>
                <w:szCs w:val="18"/>
                <w:color w:val="auto"/>
              </w:rPr>
            </w:pPr>
          </w:p>
        </w:tc>
        <w:tc>
          <w:tcPr>
            <w:tcW w:w="1780" w:type="dxa"/>
            <w:vAlign w:val="bottom"/>
            <w:gridSpan w:val="3"/>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8"/>
                <w:szCs w:val="18"/>
                <w:color w:val="auto"/>
              </w:rPr>
            </w:pPr>
          </w:p>
        </w:tc>
        <w:tc>
          <w:tcPr>
            <w:tcW w:w="820" w:type="dxa"/>
            <w:vAlign w:val="bottom"/>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8"/>
                <w:szCs w:val="18"/>
                <w:color w:val="auto"/>
              </w:rPr>
            </w:pPr>
          </w:p>
        </w:tc>
        <w:tc>
          <w:tcPr>
            <w:tcW w:w="860" w:type="dxa"/>
            <w:vAlign w:val="bottom"/>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1100" w:type="dxa"/>
            <w:vAlign w:val="bottom"/>
            <w:tcBorders>
              <w:top w:val="single" w:sz="8" w:color="CCEEFF"/>
            </w:tcBorders>
            <w:gridSpan w:val="2"/>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19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ind w:left="40" w:right="200"/>
        <w:spacing w:after="0" w:line="261" w:lineRule="auto"/>
        <w:rPr>
          <w:sz w:val="20"/>
          <w:szCs w:val="20"/>
          <w:color w:val="auto"/>
        </w:rPr>
      </w:pPr>
      <w:r>
        <w:rPr>
          <w:rFonts w:ascii="Times New Roman" w:cs="Times New Roman" w:eastAsia="Times New Roman" w:hAnsi="Times New Roman"/>
          <w:sz w:val="18"/>
          <w:szCs w:val="18"/>
          <w:color w:val="auto"/>
        </w:rPr>
        <w:t>Changes in the contract asset and liability balances during the three and six month periods ended November 1, 2025 were not materially impacted by factors other than billings, cash collections, and timing of revenue recognition. For the Company’s contracts, there are no significant gaps between the receipt of payment and the transfer of the associated goods and services to the customer for material amounts of consideration.</w:t>
      </w:r>
    </w:p>
    <w:p>
      <w:pPr>
        <w:sectPr>
          <w:pgSz w:w="11900" w:h="16838" w:orient="portrait"/>
          <w:cols w:equalWidth="0" w:num="1">
            <w:col w:w="9060"/>
          </w:cols>
          <w:pgMar w:left="144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60"/>
          </w:cols>
          <w:pgMar w:left="1440" w:top="513" w:right="1399" w:bottom="1440" w:gutter="0" w:footer="0" w:header="0"/>
          <w:type w:val="continuous"/>
        </w:sectPr>
      </w:pPr>
    </w:p>
    <w:bookmarkStart w:id="11" w:name="page12"/>
    <w:bookmarkEnd w:id="1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spacing w:after="0" w:line="261" w:lineRule="auto"/>
        <w:rPr>
          <w:sz w:val="20"/>
          <w:szCs w:val="20"/>
          <w:color w:val="auto"/>
        </w:rPr>
      </w:pPr>
      <w:r>
        <w:rPr>
          <w:rFonts w:ascii="Times New Roman" w:cs="Times New Roman" w:eastAsia="Times New Roman" w:hAnsi="Times New Roman"/>
          <w:sz w:val="18"/>
          <w:szCs w:val="18"/>
          <w:color w:val="auto"/>
        </w:rPr>
        <w:t>Revenue recognized for the three and six month periods ended November 1, 2025 that was included in customer advances balances as of April 30, 2025 was $305,000 and $11,663,000, respectively. Revenue recognized for the three and six month periods ended October 26, 2024 that was included in customer advances balances as of April 30, 2024 was $2,475,000 and $7,961,000, respectively.</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16" w:lineRule="exact"/>
        <w:rPr>
          <w:sz w:val="20"/>
          <w:szCs w:val="20"/>
          <w:color w:val="auto"/>
        </w:rPr>
      </w:pPr>
    </w:p>
    <w:p>
      <w:pPr>
        <w:ind w:left="40" w:right="239"/>
        <w:spacing w:after="0" w:line="255" w:lineRule="auto"/>
        <w:rPr>
          <w:sz w:val="20"/>
          <w:szCs w:val="20"/>
          <w:color w:val="auto"/>
        </w:rPr>
      </w:pPr>
      <w:r>
        <w:rPr>
          <w:rFonts w:ascii="Times New Roman" w:cs="Times New Roman" w:eastAsia="Times New Roman" w:hAnsi="Times New Roman"/>
          <w:sz w:val="18"/>
          <w:szCs w:val="18"/>
          <w:color w:val="auto"/>
        </w:rPr>
        <w:t>The Company’s investments are accounted for as available-for-sale and are reported at fair value. Unrealized gains and losses for debt securities are excluded from earnings and reported as a separate component of stockholders’ equity, net of deferred income taxes for available-for-sale investments. Gains and losses realized on the disposition of investment securities are determined on the specific identification basis and credited or charged to income. Investments in equity securities and warrants are measured at fair value with net unrealized gains and losses from changes in the fair value recognized in other income (expense), net. Management determines the appropriate classification of securities at the time of purchase and reevaluates such designation as of each balance sheet date.</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Fair Values of Financial Instruments</w:t>
      </w:r>
    </w:p>
    <w:p>
      <w:pPr>
        <w:spacing w:after="0" w:line="216" w:lineRule="exact"/>
        <w:rPr>
          <w:sz w:val="20"/>
          <w:szCs w:val="20"/>
          <w:color w:val="auto"/>
        </w:rPr>
      </w:pPr>
    </w:p>
    <w:p>
      <w:pPr>
        <w:ind w:left="40" w:right="359"/>
        <w:spacing w:after="0" w:line="282" w:lineRule="auto"/>
        <w:rPr>
          <w:sz w:val="20"/>
          <w:szCs w:val="20"/>
          <w:color w:val="auto"/>
        </w:rPr>
      </w:pPr>
      <w:r>
        <w:rPr>
          <w:rFonts w:ascii="Times New Roman" w:cs="Times New Roman" w:eastAsia="Times New Roman" w:hAnsi="Times New Roman"/>
          <w:sz w:val="18"/>
          <w:szCs w:val="18"/>
          <w:color w:val="auto"/>
        </w:rPr>
        <w:t>Fair values of cash and cash equivalents, accounts receivable, unbilled receivables and retentions, and accounts payable approximate cost due to the short period of time to maturity.</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Government Contracts</w:t>
      </w:r>
    </w:p>
    <w:p>
      <w:pPr>
        <w:spacing w:after="0" w:line="216" w:lineRule="exact"/>
        <w:rPr>
          <w:sz w:val="20"/>
          <w:szCs w:val="20"/>
          <w:color w:val="auto"/>
        </w:rPr>
      </w:pPr>
    </w:p>
    <w:p>
      <w:pPr>
        <w:ind w:left="40" w:right="79"/>
        <w:spacing w:after="0" w:line="258" w:lineRule="auto"/>
        <w:rPr>
          <w:sz w:val="20"/>
          <w:szCs w:val="20"/>
          <w:color w:val="auto"/>
        </w:rPr>
      </w:pPr>
      <w:r>
        <w:rPr>
          <w:rFonts w:ascii="Times New Roman" w:cs="Times New Roman" w:eastAsia="Times New Roman" w:hAnsi="Times New Roman"/>
          <w:sz w:val="18"/>
          <w:szCs w:val="18"/>
          <w:color w:val="auto"/>
        </w:rPr>
        <w:t>Payments to the Company on government Cost Plus or T&amp;M contracts are based on provisional, or estimated indirect rates, which are subject to an annual audit by the Defense Contract Audit Agency (“DCAA”). The cost audits result in the negotiation and determination of the final indirect cost rates that the Company may use for the period(s) audited. The final rates, if different from the provisional rates, may create an additional receivable or liability for the Company for Cost Plus and T&amp;M contracts.</w:t>
      </w:r>
    </w:p>
    <w:p>
      <w:pPr>
        <w:spacing w:after="0" w:line="183" w:lineRule="exact"/>
        <w:rPr>
          <w:sz w:val="20"/>
          <w:szCs w:val="20"/>
          <w:color w:val="auto"/>
        </w:rPr>
      </w:pPr>
    </w:p>
    <w:p>
      <w:pPr>
        <w:ind w:left="40" w:right="159"/>
        <w:spacing w:after="0" w:line="254" w:lineRule="auto"/>
        <w:rPr>
          <w:sz w:val="20"/>
          <w:szCs w:val="20"/>
          <w:color w:val="auto"/>
        </w:rPr>
      </w:pPr>
      <w:r>
        <w:rPr>
          <w:rFonts w:ascii="Times New Roman" w:cs="Times New Roman" w:eastAsia="Times New Roman" w:hAnsi="Times New Roman"/>
          <w:sz w:val="18"/>
          <w:szCs w:val="18"/>
          <w:color w:val="auto"/>
        </w:rPr>
        <w:t>For example, during the course of its audits, the DCAA may question the Company’s incurred costs, and if the DCAA believes the Company has accounted for such costs in a manner inconsistent with the requirements under Federal Acquisition Regulations, the DCAA auditor may recommend to the Company’s administrative contracting officer to disallow such costs. Historically, the Company has not experienced material disallowed costs as a result of government audits. However, the Company can provide no assurance that the DCAA or other government audits will not result in material disallowances for incurred costs in the future. The Company’s revenue recognition policy calls for revenue recognized on all cost reimbursable government contracts to be recorded at estimated full year rates unless collectability is not reasonably assured. At November 1, 2025 and April 30, 2025, the Company had no reserve for incurred cost claim audits.</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(Loss) Earnings Per Share</w:t>
      </w:r>
    </w:p>
    <w:p>
      <w:pPr>
        <w:spacing w:after="0" w:line="229" w:lineRule="exact"/>
        <w:rPr>
          <w:sz w:val="20"/>
          <w:szCs w:val="20"/>
          <w:color w:val="auto"/>
        </w:rPr>
      </w:pPr>
    </w:p>
    <w:p>
      <w:pPr>
        <w:ind w:left="40" w:right="199"/>
        <w:spacing w:after="0" w:line="282" w:lineRule="auto"/>
        <w:rPr>
          <w:sz w:val="20"/>
          <w:szCs w:val="20"/>
          <w:color w:val="auto"/>
        </w:rPr>
      </w:pPr>
      <w:r>
        <w:rPr>
          <w:rFonts w:ascii="Times New Roman" w:cs="Times New Roman" w:eastAsia="Times New Roman" w:hAnsi="Times New Roman"/>
          <w:sz w:val="18"/>
          <w:szCs w:val="18"/>
          <w:color w:val="auto"/>
        </w:rPr>
        <w:t>Basic (loss) earnings per share is computed using the weighted-average number of common shares outstanding, excluding shares of unvested restricted stock.</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reconciliation of basic to diluted shares is as follows (in thousands except share data):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Net (loss) income</w:t>
      </w:r>
    </w:p>
    <w:p>
      <w:pPr>
        <w:spacing w:after="0" w:line="36" w:lineRule="exact"/>
        <w:rPr>
          <w:sz w:val="20"/>
          <w:szCs w:val="20"/>
          <w:color w:val="auto"/>
        </w:rPr>
      </w:pPr>
    </w:p>
    <w:p>
      <w:pPr>
        <w:ind w:left="260" w:right="80" w:hanging="215"/>
        <w:spacing w:after="0" w:line="258" w:lineRule="auto"/>
        <w:rPr>
          <w:sz w:val="20"/>
          <w:szCs w:val="20"/>
          <w:color w:val="auto"/>
        </w:rPr>
      </w:pPr>
      <w:r>
        <w:rPr>
          <w:rFonts w:ascii="Times New Roman" w:cs="Times New Roman" w:eastAsia="Times New Roman" w:hAnsi="Times New Roman"/>
          <w:sz w:val="18"/>
          <w:szCs w:val="18"/>
          <w:color w:val="auto"/>
        </w:rPr>
        <w:t>Denominator for basic (loss) earnings per share: Weighted average common shares Dilutive effect of employee stock options, restricted stock and restricted stock units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Denominator for diluted (loss) earnings per share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November 1, 2025</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October 26, 2024</w:t>
            </w: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1, 2025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26, 2024</w:t>
            </w:r>
          </w:p>
        </w:tc>
      </w:tr>
      <w:tr>
        <w:trPr>
          <w:trHeight w:val="209"/>
        </w:trPr>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(17,103)</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7,543</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(84,473)</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28,709</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13"/>
        </w:trPr>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49,723,280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28,009,963</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48,279,447</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27,985,425</w:t>
            </w:r>
          </w:p>
        </w:tc>
      </w:tr>
      <w:tr>
        <w:trPr>
          <w:trHeight w:val="432"/>
        </w:trPr>
        <w:tc>
          <w:tcPr>
            <w:tcW w:w="16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135,627</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154,517</w:t>
            </w:r>
          </w:p>
        </w:tc>
      </w:tr>
      <w:tr>
        <w:trPr>
          <w:trHeight w:val="210"/>
        </w:trPr>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49,723,280</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28,145,590</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48,279,447</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28,139,942</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-2520950</wp:posOffset>
            </wp:positionH>
            <wp:positionV relativeFrom="paragraph">
              <wp:posOffset>-736600</wp:posOffset>
            </wp:positionV>
            <wp:extent cx="565785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54305"/>
                    </a:xfrm>
                    <a:prstGeom prst="rect">
                      <a:avLst/>
                    </a:prstGeom>
                    <a:noFill/>
                  </pic:spPr>
                </pic:pic>
              </a:graphicData>
            </a:graphic>
          </wp:anchor>
        </w:drawing>
        <w:drawing>
          <wp:anchor simplePos="0" relativeHeight="251657728" behindDoc="1" locked="0" layoutInCell="0" allowOverlap="1">
            <wp:simplePos x="0" y="0"/>
            <wp:positionH relativeFrom="column">
              <wp:posOffset>-2520950</wp:posOffset>
            </wp:positionH>
            <wp:positionV relativeFrom="paragraph">
              <wp:posOffset>-445135</wp:posOffset>
            </wp:positionV>
            <wp:extent cx="5657850"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00" w:space="420"/>
            <w:col w:w="4999"/>
          </w:cols>
          <w:pgMar w:left="1440" w:top="513" w:right="1440"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59"/>
        <w:spacing w:after="0" w:line="255" w:lineRule="auto"/>
        <w:rPr>
          <w:sz w:val="20"/>
          <w:szCs w:val="20"/>
          <w:color w:val="auto"/>
        </w:rPr>
      </w:pPr>
      <w:r>
        <w:rPr>
          <w:rFonts w:ascii="Times New Roman" w:cs="Times New Roman" w:eastAsia="Times New Roman" w:hAnsi="Times New Roman"/>
          <w:sz w:val="18"/>
          <w:szCs w:val="18"/>
          <w:color w:val="auto"/>
        </w:rPr>
        <w:t>Due to the net loss for the three and six months ended November 1, 2025, no shares reserved for issuance upon exercise of stock options or shares of unvested restricted stock were included in the computation of diluted loss per share as their inclusion would have been anti-dilutive. Potentially dilutive shares not included in the computation of diluted weighted-average common shares because their effect would have been anti-dilutive were 318,440 and 336,009 for the three and six months ended November 1, 2025, respectively. Potentially dilutive shares not included in the computation of diluted weighted-average common shares because their effect would have been anti-dilutive were 83 and 180 for the three and six months ended October 26, 2024, respectively.</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7" w:lineRule="exact"/>
        <w:rPr>
          <w:sz w:val="20"/>
          <w:szCs w:val="20"/>
          <w:color w:val="auto"/>
        </w:rPr>
      </w:pPr>
    </w:p>
    <w:p>
      <w:pPr>
        <w:ind w:left="40" w:right="139"/>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Income Tax Disclosures </w:t>
      </w:r>
      <w:r>
        <w:rPr>
          <w:rFonts w:ascii="Times New Roman" w:cs="Times New Roman" w:eastAsia="Times New Roman" w:hAnsi="Times New Roman"/>
          <w:sz w:val="18"/>
          <w:szCs w:val="18"/>
          <w:color w:val="auto"/>
        </w:rPr>
        <w:t>(“ASU 2023-09”). ASU 2023-09 requires updates to the rate reconciliation,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taxes paid and other disclosures. The new standard is effective for fiscal years beginning after December 15, 2024 and interim periods within fiscal years beginning after December 15, 2025, with early adoption permitted. ASU 2023-09 is adopted retrospectively. The Company is evaluating the potential impact of this adoption on its consolidated financial statements.</w:t>
      </w:r>
    </w:p>
    <w:p>
      <w:pPr>
        <w:spacing w:after="0" w:line="182" w:lineRule="exact"/>
        <w:rPr>
          <w:sz w:val="20"/>
          <w:szCs w:val="20"/>
          <w:color w:val="auto"/>
        </w:rPr>
      </w:pPr>
    </w:p>
    <w:p>
      <w:pPr>
        <w:ind w:left="40" w:right="199"/>
        <w:spacing w:after="0" w:line="272"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Income Statement—Reporting Comprehensive Income— Expense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Disaggregation Disclosures (Subtopic 220-40): Disaggregation of Income Statement Expenses </w:t>
      </w:r>
      <w:r>
        <w:rPr>
          <w:rFonts w:ascii="Times New Roman" w:cs="Times New Roman" w:eastAsia="Times New Roman" w:hAnsi="Times New Roman"/>
          <w:sz w:val="17"/>
          <w:szCs w:val="17"/>
          <w:color w:val="auto"/>
        </w:rPr>
        <w:t>(“ASU 2024-03”). ASU</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2024-03 requires disclosure in the notes to financial statements of specified information about certain costs and expenses included in each expense caption on the face of the income statement at interim and annual reporting periods. The new standard is effective for fiscal years beginning after December 15, 2026, and interim periods within fiscal years beginning after December 15, 2027, and should be applied either prospectively to financial statements issued for reporting periods after the effective date of this ASU or retrospectively to any or all prior periods presented in the financial statements. The Company is evaluating the potential impact of this adoption on its consolidated financial statements.</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 Investments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Investments consist of the following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20" w:type="dxa"/>
            <w:vAlign w:val="bottom"/>
          </w:tcPr>
          <w:p>
            <w:pPr>
              <w:spacing w:after="0"/>
              <w:rPr>
                <w:sz w:val="13"/>
                <w:szCs w:val="13"/>
                <w:color w:val="auto"/>
              </w:rPr>
            </w:pPr>
          </w:p>
        </w:tc>
        <w:tc>
          <w:tcPr>
            <w:tcW w:w="9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73"/>
        </w:trPr>
        <w:tc>
          <w:tcPr>
            <w:tcW w:w="56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82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Short-term investments:</w:t>
            </w:r>
          </w:p>
        </w:tc>
        <w:tc>
          <w:tcPr>
            <w:tcW w:w="1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160,928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securities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68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229,046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8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securities and warrants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10,055</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long-term available-for-sale securities investments</w:t>
            </w:r>
          </w:p>
        </w:tc>
        <w:tc>
          <w:tcPr>
            <w:tcW w:w="1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45,283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Investments in limited partnership funds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35,687</w:t>
            </w: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30,423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equity method investments</w:t>
            </w:r>
          </w:p>
        </w:tc>
        <w:tc>
          <w:tcPr>
            <w:tcW w:w="1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80,970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31,627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Available-For-Sale Securities</w:t>
      </w:r>
    </w:p>
    <w:p>
      <w:pPr>
        <w:spacing w:after="0" w:line="229" w:lineRule="exact"/>
        <w:rPr>
          <w:sz w:val="20"/>
          <w:szCs w:val="20"/>
          <w:color w:val="auto"/>
        </w:rPr>
      </w:pPr>
    </w:p>
    <w:p>
      <w:pPr>
        <w:ind w:left="40" w:right="439"/>
        <w:spacing w:after="0" w:line="312" w:lineRule="auto"/>
        <w:rPr>
          <w:sz w:val="20"/>
          <w:szCs w:val="20"/>
          <w:color w:val="auto"/>
        </w:rPr>
      </w:pPr>
      <w:r>
        <w:rPr>
          <w:rFonts w:ascii="Times New Roman" w:cs="Times New Roman" w:eastAsia="Times New Roman" w:hAnsi="Times New Roman"/>
          <w:sz w:val="17"/>
          <w:szCs w:val="17"/>
          <w:color w:val="auto"/>
        </w:rPr>
        <w:t>As of November 1, 2025, the balance of available-for-sale securities consisted of U.S. government securities and high-grade corporate bonds. Interest earned from these investments is recorded in interest income (expense), net. Realized</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spacing w:after="0" w:line="282" w:lineRule="auto"/>
        <w:rPr>
          <w:sz w:val="20"/>
          <w:szCs w:val="20"/>
          <w:color w:val="auto"/>
        </w:rPr>
      </w:pPr>
      <w:r>
        <w:rPr>
          <w:rFonts w:ascii="Times New Roman" w:cs="Times New Roman" w:eastAsia="Times New Roman" w:hAnsi="Times New Roman"/>
          <w:sz w:val="18"/>
          <w:szCs w:val="18"/>
          <w:color w:val="auto"/>
        </w:rPr>
        <w:t>gains on sales of these investments on the basis of specific identification are recorded in interest income (expense), net. As of April 30, 2025, the company held no available-for-sale securities.</w:t>
      </w:r>
    </w:p>
    <w:p>
      <w:pPr>
        <w:spacing w:after="0" w:line="162" w:lineRule="exact"/>
        <w:rPr>
          <w:sz w:val="20"/>
          <w:szCs w:val="20"/>
          <w:color w:val="auto"/>
        </w:rPr>
      </w:pPr>
    </w:p>
    <w:p>
      <w:pPr>
        <w:ind w:left="40" w:right="359"/>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the activity related to the available-for-sale investments recorded in short-term and long-term investments as of November 1, 2025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November 1, 2025</w:t>
            </w:r>
          </w:p>
        </w:tc>
        <w:tc>
          <w:tcPr>
            <w:tcW w:w="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0"/>
                <w:szCs w:val="10"/>
                <w:color w:val="auto"/>
              </w:rPr>
            </w:pPr>
          </w:p>
        </w:tc>
        <w:tc>
          <w:tcPr>
            <w:tcW w:w="940" w:type="dxa"/>
            <w:vAlign w:val="bottom"/>
          </w:tcPr>
          <w:p>
            <w:pPr>
              <w:jc w:val="center"/>
              <w:ind w:left="185"/>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vMerge w:val="restart"/>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left="18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ind w:left="18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68,185</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5"/>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68,118</w:t>
            </w:r>
          </w:p>
        </w:tc>
        <w:tc>
          <w:tcPr>
            <w:tcW w:w="0" w:type="dxa"/>
            <w:vAlign w:val="bottom"/>
          </w:tcPr>
          <w:p>
            <w:pPr>
              <w:spacing w:after="0"/>
              <w:rPr>
                <w:sz w:val="1"/>
                <w:szCs w:val="1"/>
                <w:color w:val="auto"/>
              </w:rPr>
            </w:pPr>
          </w:p>
        </w:tc>
      </w:tr>
      <w:tr>
        <w:trPr>
          <w:trHeight w:val="216"/>
        </w:trPr>
        <w:tc>
          <w:tcPr>
            <w:tcW w:w="3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196,232</w:t>
            </w: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196,156</w:t>
            </w:r>
          </w:p>
        </w:tc>
        <w:tc>
          <w:tcPr>
            <w:tcW w:w="0" w:type="dxa"/>
            <w:vAlign w:val="bottom"/>
          </w:tcPr>
          <w:p>
            <w:pPr>
              <w:spacing w:after="0"/>
              <w:rPr>
                <w:sz w:val="1"/>
                <w:szCs w:val="1"/>
                <w:color w:val="auto"/>
              </w:rPr>
            </w:pPr>
          </w:p>
        </w:tc>
      </w:tr>
      <w:tr>
        <w:trPr>
          <w:trHeight w:val="209"/>
        </w:trPr>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264,417</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85"/>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264,274</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Equity Securities</w:t>
      </w:r>
    </w:p>
    <w:p>
      <w:pPr>
        <w:spacing w:after="0" w:line="229" w:lineRule="exact"/>
        <w:rPr>
          <w:sz w:val="20"/>
          <w:szCs w:val="20"/>
          <w:color w:val="auto"/>
        </w:rPr>
      </w:pPr>
    </w:p>
    <w:p>
      <w:pPr>
        <w:jc w:val="both"/>
        <w:ind w:left="40" w:right="79"/>
        <w:spacing w:after="0" w:line="282" w:lineRule="auto"/>
        <w:rPr>
          <w:sz w:val="20"/>
          <w:szCs w:val="20"/>
          <w:color w:val="auto"/>
        </w:rPr>
      </w:pPr>
      <w:r>
        <w:rPr>
          <w:rFonts w:ascii="Times New Roman" w:cs="Times New Roman" w:eastAsia="Times New Roman" w:hAnsi="Times New Roman"/>
          <w:sz w:val="18"/>
          <w:szCs w:val="18"/>
          <w:color w:val="auto"/>
        </w:rPr>
        <w:t>Equity securities and warrants are measured at fair value with net unrealized gains and losses from changes in the fair value recognized in other income (expense), net. Unrealized gain (loss) recorded (in thousands):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13"/>
        </w:trPr>
        <w:tc>
          <w:tcPr>
            <w:tcW w:w="3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November 1, 2025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October 26, 2024</w:t>
            </w:r>
          </w:p>
        </w:tc>
        <w:tc>
          <w:tcPr>
            <w:tcW w:w="16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November 1, 2025</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October 26, 2024</w:t>
            </w:r>
          </w:p>
        </w:tc>
        <w:tc>
          <w:tcPr>
            <w:tcW w:w="0" w:type="dxa"/>
            <w:vAlign w:val="bottom"/>
          </w:tcPr>
          <w:p>
            <w:pPr>
              <w:spacing w:after="0"/>
              <w:rPr>
                <w:sz w:val="1"/>
                <w:szCs w:val="1"/>
                <w:color w:val="auto"/>
              </w:rPr>
            </w:pPr>
          </w:p>
        </w:tc>
      </w:tr>
      <w:tr>
        <w:trPr>
          <w:trHeight w:val="178"/>
        </w:trPr>
        <w:tc>
          <w:tcPr>
            <w:tcW w:w="31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gain (loss) recognized during the</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 on equity securities</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198"/>
        </w:trPr>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Net loss recognized during the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period on equity securities sold during the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period</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31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Unrealized gain (loss) recognized during</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period on equity securities still held at</w:t>
            </w:r>
          </w:p>
        </w:tc>
        <w:tc>
          <w:tcPr>
            <w:tcW w:w="2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2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8,851</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21"/>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reporting date</w:t>
            </w:r>
          </w:p>
        </w:tc>
        <w:tc>
          <w:tcPr>
            <w:tcW w:w="220" w:type="dxa"/>
            <w:vAlign w:val="bottom"/>
            <w:gridSpan w:val="2"/>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ind w:left="40" w:right="199"/>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76" w:lineRule="exact"/>
        <w:rPr>
          <w:sz w:val="20"/>
          <w:szCs w:val="20"/>
          <w:color w:val="auto"/>
        </w:rPr>
      </w:pPr>
    </w:p>
    <w:p>
      <w:pPr>
        <w:ind w:left="360" w:right="579" w:hanging="316"/>
        <w:spacing w:after="0" w:line="282"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1—Inputs to the valuation based upon quoted prices (unadjusted) for identical assets or liabilities in active markets that are accessible as of the measurement date.</w:t>
      </w:r>
    </w:p>
    <w:p>
      <w:pPr>
        <w:spacing w:after="0" w:line="161" w:lineRule="exact"/>
        <w:rPr>
          <w:rFonts w:ascii="Times New Roman" w:cs="Times New Roman" w:eastAsia="Times New Roman" w:hAnsi="Times New Roman"/>
          <w:sz w:val="18"/>
          <w:szCs w:val="18"/>
          <w:color w:val="auto"/>
        </w:rPr>
      </w:pPr>
    </w:p>
    <w:p>
      <w:pPr>
        <w:ind w:left="360" w:right="239" w:hanging="316"/>
        <w:spacing w:after="0" w:line="266"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spacing w:after="0" w:line="175" w:lineRule="exact"/>
        <w:rPr>
          <w:rFonts w:ascii="Times New Roman" w:cs="Times New Roman" w:eastAsia="Times New Roman" w:hAnsi="Times New Roman"/>
          <w:sz w:val="18"/>
          <w:szCs w:val="18"/>
          <w:color w:val="auto"/>
        </w:rPr>
      </w:pPr>
    </w:p>
    <w:p>
      <w:pPr>
        <w:ind w:left="340" w:hanging="296"/>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to the valuation that are unobservable inputs for the asset or liability.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59"/>
        <w:spacing w:after="0" w:line="282" w:lineRule="auto"/>
        <w:rPr>
          <w:sz w:val="20"/>
          <w:szCs w:val="20"/>
          <w:color w:val="auto"/>
        </w:rPr>
      </w:pPr>
      <w:r>
        <w:rPr>
          <w:rFonts w:ascii="Times New Roman" w:cs="Times New Roman" w:eastAsia="Times New Roman" w:hAnsi="Times New Roman"/>
          <w:sz w:val="18"/>
          <w:szCs w:val="18"/>
          <w:color w:val="auto"/>
        </w:rPr>
        <w:t>The Company’s financial assets measured at fair value on a recurring basis at November 1, 2025,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7"/>
          </w:tcPr>
          <w:p>
            <w:pPr>
              <w:ind w:left="820"/>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0"/>
                <w:szCs w:val="10"/>
                <w:color w:val="auto"/>
              </w:rPr>
            </w:pPr>
          </w:p>
        </w:tc>
        <w:tc>
          <w:tcPr>
            <w:tcW w:w="7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60" w:type="dxa"/>
            <w:vAlign w:val="bottom"/>
          </w:tcPr>
          <w:p>
            <w:pPr>
              <w:spacing w:after="0"/>
              <w:rPr>
                <w:sz w:val="10"/>
                <w:szCs w:val="10"/>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280" w:type="dxa"/>
            <w:vAlign w:val="bottom"/>
            <w:gridSpan w:val="4"/>
          </w:tcPr>
          <w:p>
            <w:pPr>
              <w:jc w:val="center"/>
              <w:ind w:left="79"/>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80" w:type="dxa"/>
            <w:vAlign w:val="bottom"/>
            <w:gridSpan w:val="3"/>
          </w:tcPr>
          <w:p>
            <w:pPr>
              <w:jc w:val="center"/>
              <w:ind w:left="79"/>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9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Warrants</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Company had no financial liabilities measured at fair value on a recurring basis at November 1, 2025.</w:t>
      </w:r>
    </w:p>
    <w:p>
      <w:pPr>
        <w:spacing w:after="0" w:line="225" w:lineRule="exact"/>
        <w:rPr>
          <w:sz w:val="20"/>
          <w:szCs w:val="20"/>
          <w:color w:val="auto"/>
        </w:rPr>
      </w:pPr>
    </w:p>
    <w:p>
      <w:pPr>
        <w:ind w:left="40" w:right="859"/>
        <w:spacing w:after="0" w:line="282" w:lineRule="auto"/>
        <w:rPr>
          <w:sz w:val="20"/>
          <w:szCs w:val="20"/>
          <w:color w:val="auto"/>
        </w:rPr>
      </w:pPr>
      <w:r>
        <w:rPr>
          <w:rFonts w:ascii="Times New Roman" w:cs="Times New Roman" w:eastAsia="Times New Roman" w:hAnsi="Times New Roman"/>
          <w:sz w:val="18"/>
          <w:szCs w:val="18"/>
          <w:color w:val="auto"/>
        </w:rPr>
        <w:t>The Company’s financial assets measured at fair value on a recurring basis at April 30, 2025, were as follows (in thousands):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7"/>
          </w:tcPr>
          <w:p>
            <w:pPr>
              <w:ind w:left="820"/>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0"/>
                <w:szCs w:val="10"/>
                <w:color w:val="auto"/>
              </w:rPr>
            </w:pPr>
          </w:p>
        </w:tc>
        <w:tc>
          <w:tcPr>
            <w:tcW w:w="7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60" w:type="dxa"/>
            <w:vAlign w:val="bottom"/>
          </w:tcPr>
          <w:p>
            <w:pPr>
              <w:spacing w:after="0"/>
              <w:rPr>
                <w:sz w:val="10"/>
                <w:szCs w:val="10"/>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280" w:type="dxa"/>
            <w:vAlign w:val="bottom"/>
            <w:gridSpan w:val="4"/>
          </w:tcPr>
          <w:p>
            <w:pPr>
              <w:jc w:val="center"/>
              <w:ind w:left="79"/>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80" w:type="dxa"/>
            <w:vAlign w:val="bottom"/>
            <w:gridSpan w:val="3"/>
          </w:tcPr>
          <w:p>
            <w:pPr>
              <w:jc w:val="center"/>
              <w:ind w:left="79"/>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9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16"/>
        </w:trPr>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Warrants</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Company had no financial liabilities measured at fair value on a recurring basis at April 30, 2025.</w:t>
      </w:r>
    </w:p>
    <w:p>
      <w:pPr>
        <w:spacing w:after="0" w:line="225" w:lineRule="exact"/>
        <w:rPr>
          <w:sz w:val="20"/>
          <w:szCs w:val="20"/>
          <w:color w:val="auto"/>
        </w:rPr>
      </w:pPr>
    </w:p>
    <w:p>
      <w:pPr>
        <w:ind w:left="40" w:right="299"/>
        <w:spacing w:after="0" w:line="258" w:lineRule="auto"/>
        <w:rPr>
          <w:sz w:val="20"/>
          <w:szCs w:val="20"/>
          <w:color w:val="auto"/>
        </w:rPr>
      </w:pPr>
      <w:r>
        <w:rPr>
          <w:rFonts w:ascii="Times New Roman" w:cs="Times New Roman" w:eastAsia="Times New Roman" w:hAnsi="Times New Roman"/>
          <w:sz w:val="18"/>
          <w:szCs w:val="18"/>
          <w:color w:val="auto"/>
        </w:rPr>
        <w:t>On September 12, 2022, the Company invested $5,000,000 and acquired 500,000 shares of common stock and 500,000 privately placed, redeemable warrants of Amprius Technologies, Inc. The privately placed, redeemable warrants have an exercise price of $12.50 and redemption price of $20.00. The Company measures the fair value of the privately placed, redeemable warrants using the quoted market price of the public warrants which have an exercise price of $11.50 and a redemption price of $18.00 and classifies the warrants as a level 2 fair value measurement.</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4. Inventories, net</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73"/>
        </w:trPr>
        <w:tc>
          <w:tcPr>
            <w:tcW w:w="68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r>
      <w:tr>
        <w:trPr>
          <w:trHeight w:val="128"/>
        </w:trPr>
        <w:tc>
          <w:tcPr>
            <w:tcW w:w="6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134,377</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52,567</w:t>
            </w:r>
          </w:p>
        </w:tc>
        <w:tc>
          <w:tcPr>
            <w:tcW w:w="14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82,155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73,434</w:t>
            </w:r>
          </w:p>
        </w:tc>
        <w:tc>
          <w:tcPr>
            <w:tcW w:w="14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81,786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46,761</w:t>
            </w:r>
          </w:p>
        </w:tc>
        <w:tc>
          <w:tcPr>
            <w:tcW w:w="140" w:type="dxa"/>
            <w:vAlign w:val="bottom"/>
            <w:shd w:val="clear" w:color="auto" w:fill="CCEEFF"/>
          </w:tcPr>
          <w:p>
            <w:pPr>
              <w:spacing w:after="0"/>
              <w:rPr>
                <w:sz w:val="18"/>
                <w:szCs w:val="18"/>
                <w:color w:val="auto"/>
              </w:rPr>
            </w:pPr>
          </w:p>
        </w:tc>
      </w:tr>
      <w:tr>
        <w:trPr>
          <w:trHeight w:val="21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Inventories, gross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172,762</w:t>
            </w:r>
          </w:p>
        </w:tc>
        <w:tc>
          <w:tcPr>
            <w:tcW w:w="14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inventory excess and obsolescence</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(39,105)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(28,672)</w:t>
            </w:r>
          </w:p>
        </w:tc>
      </w:tr>
      <w:tr>
        <w:trPr>
          <w:trHeight w:val="21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259,213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144,090</w:t>
            </w:r>
          </w:p>
        </w:tc>
        <w:tc>
          <w:tcPr>
            <w:tcW w:w="14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5. Equity Method Investments</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Investments in Limited Partnership Funds</w:t>
      </w:r>
    </w:p>
    <w:p>
      <w:pPr>
        <w:spacing w:after="0" w:line="229" w:lineRule="exact"/>
        <w:rPr>
          <w:sz w:val="20"/>
          <w:szCs w:val="20"/>
          <w:color w:val="auto"/>
        </w:rPr>
      </w:pPr>
    </w:p>
    <w:p>
      <w:pPr>
        <w:ind w:left="40" w:right="339"/>
        <w:spacing w:after="0" w:line="282" w:lineRule="auto"/>
        <w:rPr>
          <w:sz w:val="20"/>
          <w:szCs w:val="20"/>
          <w:color w:val="auto"/>
        </w:rPr>
      </w:pPr>
      <w:r>
        <w:rPr>
          <w:rFonts w:ascii="Times New Roman" w:cs="Times New Roman" w:eastAsia="Times New Roman" w:hAnsi="Times New Roman"/>
          <w:sz w:val="18"/>
          <w:szCs w:val="18"/>
          <w:color w:val="auto"/>
        </w:rPr>
        <w:t>In July 2019, the Company made its initial capital contribution to a limited partnership fund focusing on highly relevant technologies and start-up companies serving defense and industrial markets. Under the terms of the limited partnership</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99"/>
        <w:spacing w:after="0" w:line="282" w:lineRule="auto"/>
        <w:rPr>
          <w:sz w:val="20"/>
          <w:szCs w:val="20"/>
          <w:color w:val="auto"/>
        </w:rPr>
      </w:pPr>
      <w:r>
        <w:rPr>
          <w:rFonts w:ascii="Times New Roman" w:cs="Times New Roman" w:eastAsia="Times New Roman" w:hAnsi="Times New Roman"/>
          <w:sz w:val="18"/>
          <w:szCs w:val="18"/>
          <w:color w:val="auto"/>
        </w:rPr>
        <w:t>agreement, the Company contributed a total of $10,000,000 during the fiscal years ended April 30, 2021 and 2022, and there were no further contribution commitments to this fund as of April 30, 2022.</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 March 2022, the Company entered into a limited partnership agreement with a second limited partnership fund also</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focusing on highly relevant technologies and start-up companies serving defense and industrial markets. Under the terms of</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limited partnership agreement, the Company is committed to contributions totaling $20,000,000 over an expected five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year period. During the fiscal years ended April 30, 2025, 2024 and 2023, the Company made total contributions of</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$5,674,000, $3,074,000, and $5,778,000 respectively. During the six months ended November 1, 2025, the Company made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contributions of $2,123,000. Under the terms of the limited partnership agreement, the Company has committed to make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additional capital contributions of $3,351,000 to the fund, which are expected to be made over the next two fiscal years.</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Company accounts for investments in limited partnerships as equity method investments as the Company is deemed to</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have significant influence when it holds more than a minor interest. For the three and six months ended November 1, 2025,</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Company recorded its ownership percentage of the net gain of equity method investments, of $1,196,000 and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$2,983,000, respectively, in equity method investment income, net of $0 tax in the unaudited condensed consolidated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statements of operations, respectively. For the three and six months ended October 26, 2024, the Company recorded its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ownership percentage of the net gains of the limited partnerships, or $1,001,000 and $1,066,000, respectively, in equity</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method investment income (loss), net of $0 tax in the unaudited condensed consolidated statements of operations,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respectively. At November 1, 2025 and April 30, 2025, the carrying value of the equity method investments of $35,687,000</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and $30,423,000, respectively, was recorded in long-term investments on the unaudited condensed consolidated balance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sheet.</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6. Warranty Reserves</w:t>
      </w:r>
    </w:p>
    <w:p>
      <w:pPr>
        <w:spacing w:after="0" w:line="162" w:lineRule="exact"/>
        <w:rPr>
          <w:sz w:val="20"/>
          <w:szCs w:val="20"/>
          <w:color w:val="auto"/>
        </w:rPr>
      </w:pPr>
    </w:p>
    <w:p>
      <w:pPr>
        <w:ind w:left="40" w:right="239"/>
        <w:spacing w:after="0" w:line="281" w:lineRule="auto"/>
        <w:rPr>
          <w:sz w:val="20"/>
          <w:szCs w:val="20"/>
          <w:color w:val="auto"/>
        </w:rPr>
      </w:pPr>
      <w:r>
        <w:rPr>
          <w:rFonts w:ascii="Times New Roman" w:cs="Times New Roman" w:eastAsia="Times New Roman" w:hAnsi="Times New Roman"/>
          <w:sz w:val="17"/>
          <w:szCs w:val="17"/>
          <w:color w:val="auto"/>
        </w:rPr>
        <w:t>The Company accrues an estimate of its exposure to warranty claims based upon both current and historical product sales data and warranty costs incurred. The warranty reserve is included in other current liabilities on the unaudited condensed consolidated balance sheet. The related expense is included in cost of sales. Warranty reserve activity is summarized as follows for the three and six months ended November 1, 2025 and October 26, 2024, respectively (in thousands):</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17"/>
        </w:trPr>
        <w:tc>
          <w:tcPr>
            <w:tcW w:w="34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October 26,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74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October 26,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20" w:type="dxa"/>
            <w:vAlign w:val="bottom"/>
            <w:tcBorders>
              <w:bottom w:val="single" w:sz="8" w:color="CCEEFF"/>
            </w:tcBorders>
          </w:tcPr>
          <w:p>
            <w:pPr>
              <w:spacing w:after="0"/>
              <w:rPr>
                <w:sz w:val="15"/>
                <w:szCs w:val="15"/>
                <w:color w:val="auto"/>
              </w:rPr>
            </w:pPr>
          </w:p>
        </w:tc>
        <w:tc>
          <w:tcPr>
            <w:tcW w:w="19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Balance acquired from acquisition</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expense</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Warranty costs settled</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(1,852)</w:t>
            </w: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(1,056)</w:t>
            </w:r>
          </w:p>
        </w:tc>
        <w:tc>
          <w:tcPr>
            <w:tcW w:w="0" w:type="dxa"/>
            <w:vAlign w:val="bottom"/>
          </w:tcPr>
          <w:p>
            <w:pPr>
              <w:spacing w:after="0"/>
              <w:rPr>
                <w:sz w:val="1"/>
                <w:szCs w:val="1"/>
                <w:color w:val="auto"/>
              </w:rPr>
            </w:pPr>
          </w:p>
        </w:tc>
      </w:tr>
      <w:tr>
        <w:trPr>
          <w:trHeight w:val="210"/>
        </w:trPr>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9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900" w:type="dxa"/>
            <w:vAlign w:val="bottom"/>
            <w:vMerge w:val="restart"/>
          </w:tcPr>
          <w:p>
            <w:pPr>
              <w:jc w:val="right"/>
              <w:ind w:right="67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42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4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7. Intangibles, net</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components of intangibles are as follows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9"/>
              </w:rPr>
              <w:t>November 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73"/>
        </w:trPr>
        <w:tc>
          <w:tcPr>
            <w:tcW w:w="4720" w:type="dxa"/>
            <w:vAlign w:val="bottom"/>
            <w:tcBorders>
              <w:bottom w:val="single" w:sz="8" w:color="CCEEFF"/>
            </w:tcBorders>
          </w:tcPr>
          <w:p>
            <w:pPr>
              <w:spacing w:after="0"/>
              <w:rPr>
                <w:sz w:val="15"/>
                <w:szCs w:val="15"/>
                <w:color w:val="auto"/>
              </w:rPr>
            </w:pPr>
          </w:p>
        </w:tc>
        <w:tc>
          <w:tcPr>
            <w:tcW w:w="20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r>
      <w:tr>
        <w:trPr>
          <w:trHeight w:val="209"/>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101,645</w:t>
            </w: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77,588</w:t>
            </w: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Backlog</w:t>
            </w: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 and tradenames</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0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tcPr>
          <w:p>
            <w:pPr>
              <w:spacing w:after="0"/>
              <w:rPr>
                <w:sz w:val="18"/>
                <w:szCs w:val="18"/>
                <w:color w:val="auto"/>
              </w:rPr>
            </w:pPr>
          </w:p>
        </w:tc>
      </w:tr>
      <w:tr>
        <w:trPr>
          <w:trHeight w:val="21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gross</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1,210,850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185,888</w:t>
            </w: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(239,063)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(137,177)</w:t>
            </w:r>
          </w:p>
        </w:tc>
        <w:tc>
          <w:tcPr>
            <w:tcW w:w="100" w:type="dxa"/>
            <w:vAlign w:val="bottom"/>
            <w:tcBorders>
              <w:bottom w:val="single" w:sz="8" w:color="CCEEFF"/>
            </w:tcBorders>
          </w:tcPr>
          <w:p>
            <w:pPr>
              <w:spacing w:after="0"/>
              <w:rPr>
                <w:sz w:val="18"/>
                <w:szCs w:val="18"/>
                <w:color w:val="auto"/>
              </w:rPr>
            </w:pPr>
          </w:p>
        </w:tc>
      </w:tr>
      <w:tr>
        <w:trPr>
          <w:trHeight w:val="209"/>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2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971,787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879"/>
        <w:spacing w:after="0" w:line="312" w:lineRule="auto"/>
        <w:rPr>
          <w:sz w:val="20"/>
          <w:szCs w:val="20"/>
          <w:color w:val="auto"/>
        </w:rPr>
      </w:pPr>
      <w:r>
        <w:rPr>
          <w:rFonts w:ascii="Times New Roman" w:cs="Times New Roman" w:eastAsia="Times New Roman" w:hAnsi="Times New Roman"/>
          <w:sz w:val="17"/>
          <w:szCs w:val="17"/>
          <w:color w:val="auto"/>
        </w:rPr>
        <w:t>Technology, backlog and customer relationships intangibles were recognized in conjunction with the Company’s acquisition of Blue Halo on May 1, 2025. Refer to Note 17—Business Acquisitions for further details.</w:t>
      </w:r>
    </w:p>
    <w:p>
      <w:pPr>
        <w:spacing w:after="0" w:line="1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weighted average amortization period as of November 1, 2025 and April 30, 2025 was six and three years,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respectively. Amortization expense for the three and six months ended November 1, 2025 was $44,462,000 and</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$102,423,000, respectively. Amortization expense for the three and six months ended October 26, 2024 was $4,795,000</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and $9,569,000, respectively.</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Estimated remaining amortization expense for the next five years is as follows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ending</w:t>
            </w:r>
          </w:p>
        </w:tc>
      </w:tr>
      <w:tr>
        <w:trPr>
          <w:trHeight w:val="173"/>
        </w:trPr>
        <w:tc>
          <w:tcPr>
            <w:tcW w:w="7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210"/>
        </w:trPr>
        <w:tc>
          <w:tcPr>
            <w:tcW w:w="7760" w:type="dxa"/>
            <w:vAlign w:val="bottom"/>
            <w:tcBorders>
              <w:top w:val="single" w:sz="8" w:color="CCEEFF"/>
            </w:tcBorders>
            <w:shd w:val="clear" w:color="auto" w:fill="CCEEFF"/>
          </w:tcPr>
          <w:p>
            <w:pPr>
              <w:jc w:val="right"/>
              <w:ind w:right="7310"/>
              <w:spacing w:after="0"/>
              <w:rPr>
                <w:sz w:val="20"/>
                <w:szCs w:val="20"/>
                <w:color w:val="auto"/>
              </w:rPr>
            </w:pPr>
            <w:r>
              <w:rPr>
                <w:rFonts w:ascii="Times New Roman" w:cs="Times New Roman" w:eastAsia="Times New Roman" w:hAnsi="Times New Roman"/>
                <w:sz w:val="18"/>
                <w:szCs w:val="18"/>
                <w:color w:val="auto"/>
                <w:w w:val="94"/>
              </w:rPr>
              <w:t>2026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104,247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760" w:type="dxa"/>
            <w:vAlign w:val="bottom"/>
          </w:tcPr>
          <w:p>
            <w:pPr>
              <w:jc w:val="right"/>
              <w:ind w:right="7310"/>
              <w:spacing w:after="0"/>
              <w:rPr>
                <w:sz w:val="20"/>
                <w:szCs w:val="20"/>
                <w:color w:val="auto"/>
              </w:rPr>
            </w:pPr>
            <w:r>
              <w:rPr>
                <w:rFonts w:ascii="Times New Roman" w:cs="Times New Roman" w:eastAsia="Times New Roman" w:hAnsi="Times New Roman"/>
                <w:sz w:val="18"/>
                <w:szCs w:val="18"/>
                <w:color w:val="auto"/>
                <w:w w:val="94"/>
              </w:rPr>
              <w:t>2027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157,890</w:t>
            </w:r>
          </w:p>
        </w:tc>
        <w:tc>
          <w:tcPr>
            <w:tcW w:w="120" w:type="dxa"/>
            <w:vAlign w:val="bottom"/>
          </w:tcPr>
          <w:p>
            <w:pPr>
              <w:spacing w:after="0"/>
              <w:rPr>
                <w:sz w:val="18"/>
                <w:szCs w:val="18"/>
                <w:color w:val="auto"/>
              </w:rPr>
            </w:pPr>
          </w:p>
        </w:tc>
      </w:tr>
      <w:tr>
        <w:trPr>
          <w:trHeight w:val="216"/>
        </w:trPr>
        <w:tc>
          <w:tcPr>
            <w:tcW w:w="7760" w:type="dxa"/>
            <w:vAlign w:val="bottom"/>
            <w:shd w:val="clear" w:color="auto" w:fill="CCEEFF"/>
          </w:tcPr>
          <w:p>
            <w:pPr>
              <w:jc w:val="right"/>
              <w:ind w:right="7310"/>
              <w:spacing w:after="0"/>
              <w:rPr>
                <w:sz w:val="20"/>
                <w:szCs w:val="20"/>
                <w:color w:val="auto"/>
              </w:rPr>
            </w:pPr>
            <w:r>
              <w:rPr>
                <w:rFonts w:ascii="Times New Roman" w:cs="Times New Roman" w:eastAsia="Times New Roman" w:hAnsi="Times New Roman"/>
                <w:sz w:val="18"/>
                <w:szCs w:val="18"/>
                <w:color w:val="auto"/>
                <w:w w:val="94"/>
              </w:rPr>
              <w:t>2028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160,700</w:t>
            </w:r>
          </w:p>
        </w:tc>
        <w:tc>
          <w:tcPr>
            <w:tcW w:w="120" w:type="dxa"/>
            <w:vAlign w:val="bottom"/>
            <w:shd w:val="clear" w:color="auto" w:fill="CCEEFF"/>
          </w:tcPr>
          <w:p>
            <w:pPr>
              <w:spacing w:after="0"/>
              <w:rPr>
                <w:sz w:val="18"/>
                <w:szCs w:val="18"/>
                <w:color w:val="auto"/>
              </w:rPr>
            </w:pPr>
          </w:p>
        </w:tc>
      </w:tr>
      <w:tr>
        <w:trPr>
          <w:trHeight w:val="216"/>
        </w:trPr>
        <w:tc>
          <w:tcPr>
            <w:tcW w:w="7760" w:type="dxa"/>
            <w:vAlign w:val="bottom"/>
          </w:tcPr>
          <w:p>
            <w:pPr>
              <w:jc w:val="right"/>
              <w:ind w:right="7310"/>
              <w:spacing w:after="0"/>
              <w:rPr>
                <w:sz w:val="20"/>
                <w:szCs w:val="20"/>
                <w:color w:val="auto"/>
              </w:rPr>
            </w:pPr>
            <w:r>
              <w:rPr>
                <w:rFonts w:ascii="Times New Roman" w:cs="Times New Roman" w:eastAsia="Times New Roman" w:hAnsi="Times New Roman"/>
                <w:sz w:val="18"/>
                <w:szCs w:val="18"/>
                <w:color w:val="auto"/>
                <w:w w:val="94"/>
              </w:rPr>
              <w:t>2029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154,479</w:t>
            </w:r>
          </w:p>
        </w:tc>
        <w:tc>
          <w:tcPr>
            <w:tcW w:w="120" w:type="dxa"/>
            <w:vAlign w:val="bottom"/>
          </w:tcPr>
          <w:p>
            <w:pPr>
              <w:spacing w:after="0"/>
              <w:rPr>
                <w:sz w:val="18"/>
                <w:szCs w:val="18"/>
                <w:color w:val="auto"/>
              </w:rPr>
            </w:pPr>
          </w:p>
        </w:tc>
      </w:tr>
      <w:tr>
        <w:trPr>
          <w:trHeight w:val="216"/>
        </w:trPr>
        <w:tc>
          <w:tcPr>
            <w:tcW w:w="7760" w:type="dxa"/>
            <w:vAlign w:val="bottom"/>
            <w:shd w:val="clear" w:color="auto" w:fill="CCEEFF"/>
          </w:tcPr>
          <w:p>
            <w:pPr>
              <w:jc w:val="right"/>
              <w:ind w:right="7310"/>
              <w:spacing w:after="0"/>
              <w:rPr>
                <w:sz w:val="20"/>
                <w:szCs w:val="20"/>
                <w:color w:val="auto"/>
              </w:rPr>
            </w:pPr>
            <w:r>
              <w:rPr>
                <w:rFonts w:ascii="Times New Roman" w:cs="Times New Roman" w:eastAsia="Times New Roman" w:hAnsi="Times New Roman"/>
                <w:sz w:val="18"/>
                <w:szCs w:val="18"/>
                <w:color w:val="auto"/>
                <w:w w:val="94"/>
              </w:rPr>
              <w:t>2030</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131,569</w:t>
            </w:r>
          </w:p>
        </w:tc>
        <w:tc>
          <w:tcPr>
            <w:tcW w:w="120" w:type="dxa"/>
            <w:vAlign w:val="bottom"/>
            <w:shd w:val="clear" w:color="auto" w:fill="CCEEFF"/>
          </w:tcPr>
          <w:p>
            <w:pPr>
              <w:spacing w:after="0"/>
              <w:rPr>
                <w:sz w:val="18"/>
                <w:szCs w:val="18"/>
                <w:color w:val="auto"/>
              </w:rPr>
            </w:pPr>
          </w:p>
        </w:tc>
      </w:tr>
      <w:tr>
        <w:trPr>
          <w:trHeight w:val="209"/>
        </w:trPr>
        <w:tc>
          <w:tcPr>
            <w:tcW w:w="77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708,885</w:t>
            </w:r>
          </w:p>
        </w:tc>
        <w:tc>
          <w:tcPr>
            <w:tcW w:w="12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8. Goodwill</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presents the changes in the Company’s goodwill balance by segment (in thousands):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AxS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SCDE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4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r>
      <w:tr>
        <w:trPr>
          <w:trHeight w:val="216"/>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431,157</w:t>
            </w:r>
          </w:p>
        </w:tc>
        <w:tc>
          <w:tcPr>
            <w:tcW w:w="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431,157</w:t>
            </w:r>
          </w:p>
        </w:tc>
      </w:tr>
      <w:tr>
        <w:trPr>
          <w:trHeight w:val="216"/>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(174,376)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(174,376)</w:t>
            </w:r>
          </w:p>
        </w:tc>
      </w:tr>
      <w:tr>
        <w:trPr>
          <w:trHeight w:val="210"/>
        </w:trPr>
        <w:tc>
          <w:tcPr>
            <w:tcW w:w="41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April 30, 2025</w:t>
            </w:r>
          </w:p>
        </w:tc>
        <w:tc>
          <w:tcPr>
            <w:tcW w:w="1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256,781</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256,781</w:t>
            </w:r>
          </w:p>
        </w:tc>
      </w:tr>
      <w:tr>
        <w:trPr>
          <w:trHeight w:val="216"/>
        </w:trPr>
        <w:tc>
          <w:tcPr>
            <w:tcW w:w="4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Additions to goodwill</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927,953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1,438,935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2,366,888</w:t>
            </w:r>
          </w:p>
        </w:tc>
      </w:tr>
      <w:tr>
        <w:trPr>
          <w:trHeight w:val="216"/>
        </w:trPr>
        <w:tc>
          <w:tcPr>
            <w:tcW w:w="4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1,359,110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1,438,935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2,798,045</w:t>
            </w:r>
          </w:p>
        </w:tc>
      </w:tr>
      <w:tr>
        <w:trPr>
          <w:trHeight w:val="216"/>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(174,376)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(174,376)</w:t>
            </w: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November 1, 2025</w:t>
            </w:r>
          </w:p>
        </w:tc>
        <w:tc>
          <w:tcPr>
            <w:tcW w:w="1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1,184,734</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1,438,935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2,623,669</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spacing w:after="0" w:line="258" w:lineRule="auto"/>
        <w:rPr>
          <w:sz w:val="20"/>
          <w:szCs w:val="20"/>
          <w:color w:val="auto"/>
        </w:rPr>
      </w:pPr>
      <w:r>
        <w:rPr>
          <w:rFonts w:ascii="Times New Roman" w:cs="Times New Roman" w:eastAsia="Times New Roman" w:hAnsi="Times New Roman"/>
          <w:sz w:val="18"/>
          <w:szCs w:val="18"/>
          <w:color w:val="auto"/>
        </w:rPr>
        <w:t>The AxS segment includes goodwill from the acquisitions of Pulse Aerospace, LLC (“Pulse”), Arcturus UAV, Inc. (“Arcturus”), Telerob Gesellschaft für Fernhantierungstechnik mbH (“Telerob”), Planck Aerosystems, Inc., Tomahawk Robotics, Inc. and certain BlueHalo reporting units and includes goodwill from the purchase of certain assets of Intelligent Systems Group business segment of Progeny Systems Corporation. The SCDE segment includes goodwill from certain BlueHalo reporting units.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229" w:lineRule="exact"/>
        <w:rPr>
          <w:sz w:val="20"/>
          <w:szCs w:val="20"/>
          <w:color w:val="auto"/>
        </w:rPr>
      </w:pPr>
    </w:p>
    <w:p>
      <w:pPr>
        <w:ind w:left="40" w:right="99"/>
        <w:spacing w:after="0" w:line="261" w:lineRule="auto"/>
        <w:rPr>
          <w:sz w:val="20"/>
          <w:szCs w:val="20"/>
          <w:color w:val="auto"/>
        </w:rPr>
      </w:pPr>
      <w:r>
        <w:rPr>
          <w:rFonts w:ascii="Times New Roman" w:cs="Times New Roman" w:eastAsia="Times New Roman" w:hAnsi="Times New Roman"/>
          <w:sz w:val="18"/>
          <w:szCs w:val="18"/>
          <w:color w:val="auto"/>
        </w:rPr>
        <w:t>On October 4, 2024, the Company entered into a Third Amendment to Credit Agreement with the existing lenders, Bank of America, N.A. (“BofA NA”), the administrative agent and the swingline lender, JPMorgan Chase Bank, N.A. (“JPM”), U.S. Bank National Association (“U.S. Bank”), and Citibank, N.A. (“Citibank”) (the “Third Amendment to Credit Agreement”).</w:t>
      </w:r>
    </w:p>
    <w:p>
      <w:pPr>
        <w:spacing w:after="0" w:line="180" w:lineRule="exact"/>
        <w:rPr>
          <w:sz w:val="20"/>
          <w:szCs w:val="20"/>
          <w:color w:val="auto"/>
        </w:rPr>
      </w:pPr>
    </w:p>
    <w:p>
      <w:pPr>
        <w:ind w:left="40" w:right="159"/>
        <w:spacing w:after="0" w:line="254" w:lineRule="auto"/>
        <w:rPr>
          <w:sz w:val="20"/>
          <w:szCs w:val="20"/>
          <w:color w:val="auto"/>
        </w:rPr>
      </w:pPr>
      <w:r>
        <w:rPr>
          <w:rFonts w:ascii="Times New Roman" w:cs="Times New Roman" w:eastAsia="Times New Roman" w:hAnsi="Times New Roman"/>
          <w:sz w:val="18"/>
          <w:szCs w:val="18"/>
          <w:color w:val="auto"/>
        </w:rPr>
        <w:t>The Third Amendment to Credit Agreement provided for an aggregate $200,000,000 revolving credit facility (the “Revolving Facility”), including a $25,000,000 sublimit for the issuance of standby and commercial letters of credit, and a $10,000,000 sublimit for swingline loans, secured by all assets of the Company and the Company’s domestic subsidiaries (the “Guarantors”), and extended the maturity date for obligations pursuant to the Credit Agreement to October 4, 2029. Upon effectiveness of the Third Amendment to Credit Agreement, the Company drew $15,000,000 from the amended Revolving Facility and repaid in full all outstanding amounts owed pursuant to the prior Term Loan Facility. The unamortized debt issuance costs allocated to the prior Term Loan Facility of $590,000 were expensed upon repayment of the Term Loan Facility and recorded in interest expense.</w:t>
      </w:r>
    </w:p>
    <w:p>
      <w:pPr>
        <w:spacing w:after="0" w:line="192"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8"/>
          <w:szCs w:val="18"/>
          <w:color w:val="auto"/>
        </w:rPr>
        <w:t>On May 1, 2025 (the “Closing Date”), in connection with the consummation of the BlueHalo acquisition, the Company entered into a Fourth Amendment to Credit Agreement with BofA NA, the administrative agent and the swingline lender, JPM, U.S. Bank, Citibank, BMO Bank N.A. (“BMO”), Citizens Banks, N.A. (“Citizens”) and Royal Bank of Canada (“RBC”) (the “Fourth Amendment to Credit Agreement” and the existing Credit Agreement as amended thereby, the “Amended Credit Agreement”). The Amended Credit Agreement now provides for an aggregate $700,000,000 term loan (the “Term Loan Facility” and, together with the Revolving Facility, the “Credit Facilities”) and an aggregate $350,000,000 revolving credit facility, including a $25,000,000 sublimit for the issuance of standby and commercial letters of credit, and a $10,000,000 sublimit for swingline loans, secured by all assets of the Company and the Guarantors, maintains the maturity date for obligations of October 4, 2029, as extended by the Third Amendment to Credit Agreement. Upon effectiveness of the Amended Credit Agreement, the Company drew $225,000,000 from the amended Revolving Facility and the full $700,000,000 of the Term Loan Facility. In June 2025, the Company drew an additional $10,000,000 under the Revolving Facility.</w:t>
      </w:r>
    </w:p>
    <w:p>
      <w:pPr>
        <w:spacing w:after="0" w:line="190" w:lineRule="exact"/>
        <w:rPr>
          <w:sz w:val="20"/>
          <w:szCs w:val="20"/>
          <w:color w:val="auto"/>
        </w:rPr>
      </w:pPr>
    </w:p>
    <w:p>
      <w:pPr>
        <w:ind w:left="40" w:right="99"/>
        <w:spacing w:after="0" w:line="252" w:lineRule="auto"/>
        <w:rPr>
          <w:sz w:val="20"/>
          <w:szCs w:val="20"/>
          <w:color w:val="auto"/>
        </w:rPr>
      </w:pPr>
      <w:r>
        <w:rPr>
          <w:rFonts w:ascii="Times New Roman" w:cs="Times New Roman" w:eastAsia="Times New Roman" w:hAnsi="Times New Roman"/>
          <w:sz w:val="18"/>
          <w:szCs w:val="18"/>
          <w:color w:val="auto"/>
        </w:rPr>
        <w:t>The Term A Loan drawn under the Term Loan Facility matures two years after the Closing Date and amortizes at a rate of 5.00% per annum, with the remaining outstanding principal amount due and payable on the maturity date. The applicable margin on the Term A Loan is based upon the Company’s Consolidated Leverage Ratio (as defined in the Credit Agreement) and whether the Company elects as its benchmark rate (i) SOFR (in which case, the applicable margin ranges from 1.50 - 2.50% per annum depending on the Company’s Consolidated Leverage Ratio) plus a credit spread adjustment of 0.10% or (ii) Base Rate (in which case, the applicable margin ranges from 0.50 - 1.50% per annum depending on the Company’s Consolidated Leverage Ratio). Upon the occurrence of an event of default, an additional 2.00% per annum default interest rate may apply. Pursuant to the Fourth Amendment to Credit Agreement, the Company is subject to two financial maintenance covenants which require that (i) the Consolidated Senior Secured Leverage Ratio (as defined in the Credit Agreement) not exceed 3.50 to 1.00 as of the end of any fiscal quarter, for the four fiscal quarters following consummation of the BlueHalo acquisition, and thereafter 3.00 to 1.00 as of the end of any fiscal quarter, and (ii) the Consolidated Fixed Charge Coverage Ratio (as defined in the Credit Agreement) not be less than 1.25 to 1.00 as of the end of any fiscal quarter. The Company’s ability to borrow under the Revolving Facility is reduced by outstanding letters of credit, which as of November 1, 2025 and April 30, 2025 was $11,737,000 and $9,376,000, respectively. As of November 1, 2025, approximately $338,263,000 was available under the Revolving Facility. Borrowings under the Revolving Facility may be used for working capital and other general corporate purposes, including acquisitions that meet certain parameters. As of November 1, 2025, the Company was in compliance with all amended covenants.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59"/>
        <w:spacing w:after="0" w:line="256" w:lineRule="auto"/>
        <w:rPr>
          <w:sz w:val="20"/>
          <w:szCs w:val="20"/>
          <w:color w:val="auto"/>
        </w:rPr>
      </w:pPr>
      <w:r>
        <w:rPr>
          <w:rFonts w:ascii="Times New Roman" w:cs="Times New Roman" w:eastAsia="Times New Roman" w:hAnsi="Times New Roman"/>
          <w:sz w:val="18"/>
          <w:szCs w:val="18"/>
          <w:color w:val="auto"/>
        </w:rPr>
        <w:t>In July 2025, the Company used the proceeds from the issuance of common stock and the Company’s 0% Convertible Senior Notes due 2030 (the “Notes”) to fully repay the Term A Loan and outstanding Revolving Facility balance. The unamortized debt issuance costs allocated to the Term Loan Facility of $6,668,000 were expensed upon repayment of the Term Loan Facility and recorded as interest expense in the consolidated statements of operations. The Revolver Facility remains open and available to the Company. Please refer to Note 10–Convertible Notes and Note 16–Share Issuances for further details.</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Long-term debt and the current period interest rates were as follows: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99"/>
        </w:trPr>
        <w:tc>
          <w:tcPr>
            <w:tcW w:w="6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6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6"/>
        </w:trPr>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3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747,500</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6"/>
        </w:trPr>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unamortized debt issuance costs–convertible notes</w:t>
            </w:r>
          </w:p>
        </w:tc>
        <w:tc>
          <w:tcPr>
            <w:tcW w:w="3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20,707</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 net of unamortized debt issuance costs–convertible notes</w:t>
            </w:r>
          </w:p>
        </w:tc>
        <w:tc>
          <w:tcPr>
            <w:tcW w:w="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726,793</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Unamortized debt issuance costs–revolving credit facility</w:t>
            </w:r>
          </w:p>
        </w:tc>
        <w:tc>
          <w:tcPr>
            <w:tcW w:w="3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2,000</w:t>
            </w:r>
          </w:p>
        </w:tc>
        <w:tc>
          <w:tcPr>
            <w:tcW w:w="200" w:type="dxa"/>
            <w:vAlign w:val="bottom"/>
            <w:vMerge w:val="continue"/>
          </w:tcPr>
          <w:p>
            <w:pPr>
              <w:spacing w:after="0"/>
              <w:rPr>
                <w:sz w:val="17"/>
                <w:szCs w:val="17"/>
                <w:color w:val="auto"/>
              </w:rPr>
            </w:pPr>
          </w:p>
        </w:tc>
        <w:tc>
          <w:tcPr>
            <w:tcW w:w="160" w:type="dxa"/>
            <w:vAlign w:val="bottom"/>
            <w:gridSpan w:val="2"/>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1,281</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period interest rate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432"/>
        </w:trPr>
        <w:tc>
          <w:tcPr>
            <w:tcW w:w="7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Future contractual long-term debt principal payments at November 1, 2025 were as follows: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2031</w:t>
            </w:r>
          </w:p>
        </w:tc>
        <w:tc>
          <w:tcPr>
            <w:tcW w:w="3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747,500</w:t>
            </w:r>
          </w:p>
        </w:tc>
        <w:tc>
          <w:tcPr>
            <w:tcW w:w="0" w:type="dxa"/>
            <w:vAlign w:val="bottom"/>
          </w:tcPr>
          <w:p>
            <w:pPr>
              <w:spacing w:after="0"/>
              <w:rPr>
                <w:sz w:val="1"/>
                <w:szCs w:val="1"/>
                <w:color w:val="auto"/>
              </w:rPr>
            </w:pPr>
          </w:p>
        </w:tc>
      </w:tr>
      <w:tr>
        <w:trPr>
          <w:trHeight w:val="210"/>
        </w:trPr>
        <w:tc>
          <w:tcPr>
            <w:tcW w:w="60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2"/>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747,500</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10. Convertible Notes</w:t>
      </w:r>
    </w:p>
    <w:p>
      <w:pPr>
        <w:spacing w:after="0" w:line="94" w:lineRule="exact"/>
        <w:rPr>
          <w:sz w:val="20"/>
          <w:szCs w:val="20"/>
          <w:color w:val="auto"/>
        </w:rPr>
      </w:pPr>
    </w:p>
    <w:p>
      <w:pPr>
        <w:ind w:left="40" w:right="59"/>
        <w:spacing w:after="0" w:line="256" w:lineRule="auto"/>
        <w:rPr>
          <w:sz w:val="20"/>
          <w:szCs w:val="20"/>
          <w:color w:val="auto"/>
        </w:rPr>
      </w:pPr>
      <w:r>
        <w:rPr>
          <w:rFonts w:ascii="Times New Roman" w:cs="Times New Roman" w:eastAsia="Times New Roman" w:hAnsi="Times New Roman"/>
          <w:sz w:val="18"/>
          <w:szCs w:val="18"/>
          <w:color w:val="auto"/>
        </w:rPr>
        <w:t>In July 2025, the Company entered into an underwriting agreement (the “Note Underwriting Agreement”) with certain underwriters (the “Note Underwriters”) agreeing, subject to customary conditions, to issue and sell $650,000,000 aggregate principal amount of the Notes to the Note Underwriters as well as an option, exercisable within 30 days after entering the Note Underwriting Agreement, to purchase up to an additional $97,500,000 aggregate principal amount of Notes solely to cover over-allotments. The Note Underwriters exercised such option to purchase an additional $97,500,000 aggregate principal amount of Notes. The issuance of $747,500,000 aggregate principal amount of Notes was completed in July 2025.</w:t>
      </w:r>
    </w:p>
    <w:p>
      <w:pPr>
        <w:spacing w:after="0" w:line="187"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8"/>
          <w:szCs w:val="18"/>
          <w:color w:val="auto"/>
        </w:rPr>
        <w:t>The Notes are the Company’s senior, unsecured obligations and are (i) equal in right of payment with the Company’s existing and future senior, unsecured indebtedness; (ii) senior in right of payment to the Company’s existing and future indebtedness that is expressly subordinated to the Notes; (iii) effectively subordinated to the Company’s existing and future secured indebtedness, to the extent of the value of the collateral securing that indebtedness, including any borrowings under the Company's revolving credit facility; and (iv) structurally subordinated to all existing and future indebtedness and other liabilities, including trade payables, and (to the extent the Company is not a holder thereof) preferred equity, if any, of the Company’s subsidiaries.</w:t>
      </w:r>
    </w:p>
    <w:p>
      <w:pPr>
        <w:spacing w:after="0" w:line="189" w:lineRule="exact"/>
        <w:rPr>
          <w:sz w:val="20"/>
          <w:szCs w:val="20"/>
          <w:color w:val="auto"/>
        </w:rPr>
      </w:pPr>
    </w:p>
    <w:p>
      <w:pPr>
        <w:ind w:left="40" w:right="119"/>
        <w:spacing w:after="0" w:line="266" w:lineRule="auto"/>
        <w:rPr>
          <w:sz w:val="20"/>
          <w:szCs w:val="20"/>
          <w:color w:val="auto"/>
        </w:rPr>
      </w:pPr>
      <w:r>
        <w:rPr>
          <w:rFonts w:ascii="Times New Roman" w:cs="Times New Roman" w:eastAsia="Times New Roman" w:hAnsi="Times New Roman"/>
          <w:sz w:val="18"/>
          <w:szCs w:val="18"/>
          <w:color w:val="auto"/>
        </w:rPr>
        <w:t>The Notes do not bear regular interest, and the principal amount of the Notes will not accrete. Special interest will accrue on the Notes upon the occurrence of certain events relating to the Company's failure to file certain SEC reports as provided in the Indenture. The Notes will mature on July 15, 2030, unless earlier repurchased, redeemed or converted.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spacing w:after="0" w:line="252" w:lineRule="auto"/>
        <w:rPr>
          <w:sz w:val="20"/>
          <w:szCs w:val="20"/>
          <w:color w:val="auto"/>
        </w:rPr>
      </w:pPr>
      <w:r>
        <w:rPr>
          <w:rFonts w:ascii="Times New Roman" w:cs="Times New Roman" w:eastAsia="Times New Roman" w:hAnsi="Times New Roman"/>
          <w:sz w:val="18"/>
          <w:szCs w:val="18"/>
          <w:color w:val="auto"/>
        </w:rPr>
        <w:t>Before April 15, 2030, noteholders have the right to convert their Notes only upon the occurrence of certain events. From and after April 15, 2030, noteholders may convert their Notes at any time at their election until the close of business on the second scheduled trading day immediately before the maturity date. The Company will have the right to elect to settle conversions either entirely in cash or in a combination of cash and shares of its common stock. Upon conversion of any Note, the consideration due upon conversion, which will be determined over an “Observation Period” (as defined in the Indenture) consisting of 60 consecutive trading days, will be paid in cash up to at least the principal amount of the Notes being converted and the Company will pay or deliver, as the case may be, cash, shares of the Company’s common stock or a combination of cash and shares of the Company’s common stock, at the Company’s election, in respect of the remainder, if any, of the Company’s conversion obligation in excess of the principal amount of the Notes being converted. The initial conversion rate is 3.1017 shares of the Company's common stock per $1,000 principal amount of Notes, which represents an initial conversion price of approximately $322.40 per share of the Company's common stock.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w:t>
      </w:r>
    </w:p>
    <w:p>
      <w:pPr>
        <w:spacing w:after="0" w:line="197"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8"/>
          <w:szCs w:val="18"/>
          <w:color w:val="auto"/>
        </w:rPr>
        <w:t>The Notes will be redeemable, in whole or in part (subject to certain limitations described below), at the Company’s option at any time, and from time to time, on or after July 21, 2028 and on or before the 61st scheduled trading day immediately before the maturity date, at a cash redemption price equal to the principal amount of the Notes to be redeemed, plus accrued and unpaid special interest, if any, to, but excluding, the redemption date, but only if the last reported sale price per share of the Company’s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 However, the Company may not redeem less than all of the outstanding Notes unless at least $100.0 million aggregate principal amount of Notes are outstanding and not called for redemption as of the time the Company sends the related redemption notice.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pacing w:after="0" w:line="190" w:lineRule="exact"/>
        <w:rPr>
          <w:sz w:val="20"/>
          <w:szCs w:val="20"/>
          <w:color w:val="auto"/>
        </w:rPr>
      </w:pPr>
    </w:p>
    <w:p>
      <w:pPr>
        <w:ind w:left="40" w:right="199"/>
        <w:spacing w:after="0" w:line="256" w:lineRule="auto"/>
        <w:rPr>
          <w:sz w:val="20"/>
          <w:szCs w:val="20"/>
          <w:color w:val="auto"/>
        </w:rPr>
      </w:pPr>
      <w:r>
        <w:rPr>
          <w:rFonts w:ascii="Times New Roman" w:cs="Times New Roman" w:eastAsia="Times New Roman" w:hAnsi="Times New Roman"/>
          <w:sz w:val="18"/>
          <w:szCs w:val="18"/>
          <w:color w:val="auto"/>
        </w:rPr>
        <w:t>If certain events that constitute a “Fundamental Change” (as defined in the Indenture) occur, then, subject to a limited exception for certain cash mergers as provided in the Indenture, noteholders may require the Company to repurchase their Notes at a cash repurchase price equal to the principal amount of the Notes to be repurchased, plus accrued and unpaid special interest, if any, to, but excluding, the fundamental change repurchase date. The definition in the Indenture of Fundamental Change includes certain business combination transactions involving the Company and certain de-listing events with respect to the Company’s common stock.</w:t>
      </w:r>
    </w:p>
    <w:p>
      <w:pPr>
        <w:spacing w:after="0" w:line="187"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8"/>
          <w:szCs w:val="18"/>
          <w:color w:val="auto"/>
        </w:rPr>
        <w:t>The Notes have customary provisions relating to the occurrence of “Events of Default” (as defined in the Indenture), which include the following: (i) certain payment defaults on the Notes (which, in the case of a default in the payment of special interest on the Notes, will be subject to a 30-day cure period); (ii) the Company’s failure to send certain notices under the Indenture within specified periods of time; (iii) the Company's failure to convert a Note in accordance with the Indenture within a specified period of time; (iv) the Company’s failure to comply with certain covenants in the Indenture relating to the Company’s ability to consolidate with or merge with or into, or sell, lease or otherwise transfer, in one transaction or a series of transactions, all or substantially all of the assets of the Company and its subsidiaries, taken as a whole, to another person; (v) a default by the Company in its other obligations or agreements under the Indenture or the Notes if such default is not cured or waived within 60 days after notice is given in accordance with the Indenture; (vi) certain defaults by the Company or any of its significant subsidiaries with respect to indebtedness for borrowed money of at least $55,000,000; and (vii) certain events of bankruptcy, insolvency and reorganization involving the Company or any of its significant subsidiaries.</w:t>
      </w:r>
    </w:p>
    <w:p>
      <w:pPr>
        <w:spacing w:after="0" w:line="190" w:lineRule="exact"/>
        <w:rPr>
          <w:sz w:val="20"/>
          <w:szCs w:val="20"/>
          <w:color w:val="auto"/>
        </w:rPr>
      </w:pPr>
    </w:p>
    <w:p>
      <w:pPr>
        <w:ind w:left="40" w:right="239"/>
        <w:spacing w:after="0" w:line="258" w:lineRule="auto"/>
        <w:rPr>
          <w:sz w:val="20"/>
          <w:szCs w:val="20"/>
          <w:color w:val="auto"/>
        </w:rPr>
      </w:pPr>
      <w:r>
        <w:rPr>
          <w:rFonts w:ascii="Times New Roman" w:cs="Times New Roman" w:eastAsia="Times New Roman" w:hAnsi="Times New Roman"/>
          <w:sz w:val="18"/>
          <w:szCs w:val="18"/>
          <w:color w:val="auto"/>
        </w:rPr>
        <w:t>If an Event of Default involving bankruptcy, insolvency or reorganization events with respect to the Company (and not solely with respect to a significant subsidiary of the Company) occurs, then the principal amount of, and all accrued and unpaid interest, if any, on all of the Notes then outstanding will immediately become due and payable without any further action or notice by any person. If any other Event of Default occurs and is continuing, then, the Trustee, by notice to the Company, or noteholders of at least 25% of the aggregate principal amount of Notes then outstanding, by notice to</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8"/>
          <w:szCs w:val="18"/>
          <w:color w:val="auto"/>
        </w:rPr>
        <w:t>the Company and the Trustee, may declare the principal amount of, and all accrued and unpaid interest, if any, on, all of the Notes then outstanding to become due and payable immediately. However, notwithstanding the foregoing, the Company may elect, at its option, that the sole remedy for an Event of Default relating to certain failures by the Company to comply with certain reporting covenants in the Indenture consists exclusively of the right of the noteholders to receive special interest on the Notes for up to 365 days, at a rate per annum equal to 0.25% of the principal amount of the Notes for the first 180 days on which special interest accrues and, thereafter, at a rate per annum equal to 0.50% of the principal amount thereof.</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229" w:lineRule="exact"/>
        <w:rPr>
          <w:sz w:val="20"/>
          <w:szCs w:val="20"/>
          <w:color w:val="auto"/>
        </w:rPr>
      </w:pPr>
    </w:p>
    <w:p>
      <w:pPr>
        <w:ind w:left="40" w:right="119"/>
        <w:spacing w:after="0" w:line="282" w:lineRule="auto"/>
        <w:rPr>
          <w:sz w:val="20"/>
          <w:szCs w:val="20"/>
          <w:color w:val="auto"/>
        </w:rPr>
      </w:pPr>
      <w:r>
        <w:rPr>
          <w:rFonts w:ascii="Times New Roman" w:cs="Times New Roman" w:eastAsia="Times New Roman" w:hAnsi="Times New Roman"/>
          <w:sz w:val="18"/>
          <w:szCs w:val="18"/>
          <w:color w:val="auto"/>
        </w:rPr>
        <w:t>The components of lease costs recorded in cost of sales and selling, general and administrative (“SG&amp;A”) expense were as follows (in thousands):</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Pr>
          <w:p>
            <w:pPr>
              <w:spacing w:after="0"/>
              <w:rPr>
                <w:sz w:val="13"/>
                <w:szCs w:val="13"/>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October 26,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8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Short term lease cost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costs, net</w:t>
            </w:r>
          </w:p>
        </w:tc>
        <w:tc>
          <w:tcPr>
            <w:tcW w:w="3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16,054</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lease information was as follows:</w:t>
            </w: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14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October 26,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4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11,418</w:t>
            </w:r>
          </w:p>
        </w:tc>
        <w:tc>
          <w:tcPr>
            <w:tcW w:w="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lease liabilities</w:t>
            </w:r>
          </w:p>
        </w:tc>
        <w:tc>
          <w:tcPr>
            <w:tcW w:w="4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75 months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Maturities of operating lease liabilities as of November 1, 2025 were as follows (in thousands):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4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24,051</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21,871</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4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18,742</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14,583</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39,747</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40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125,417</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0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(26,275)</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Total present value of operating lease liabilities</w:t>
            </w:r>
          </w:p>
        </w:tc>
        <w:tc>
          <w:tcPr>
            <w:tcW w:w="40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99,142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4000" w:type="dxa"/>
            <w:vAlign w:val="bottom"/>
            <w:vMerge w:val="restart"/>
          </w:tcPr>
          <w:p>
            <w:pPr>
              <w:jc w:val="right"/>
              <w:ind w:right="325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90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90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12. Accumulated Other Comprehensive Loss and Reclassifications Adjustments</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components of accumulated other comprehensive loss and adjustments are as follows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14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8"/>
        </w:trPr>
        <w:tc>
          <w:tcPr>
            <w:tcW w:w="6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November 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October 26,</w:t>
            </w:r>
          </w:p>
        </w:tc>
      </w:tr>
      <w:tr>
        <w:trPr>
          <w:trHeight w:val="173"/>
        </w:trPr>
        <w:tc>
          <w:tcPr>
            <w:tcW w:w="6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April 30, 2025 and April 30, 2024, respectively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w:t>
            </w: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foreign currency translation adjustments</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16"/>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available-for-sale security losses</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November 1, 2025 and October 26, 2024, respectively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(5,228)</w:t>
            </w:r>
          </w:p>
        </w:tc>
      </w:tr>
      <w:tr>
        <w:trPr>
          <w:trHeight w:val="20"/>
        </w:trPr>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13. Customer-Funded Research &amp; Development</w:t>
      </w:r>
    </w:p>
    <w:p>
      <w:pPr>
        <w:spacing w:after="0" w:line="216" w:lineRule="exact"/>
        <w:rPr>
          <w:sz w:val="20"/>
          <w:szCs w:val="20"/>
          <w:color w:val="auto"/>
        </w:rPr>
      </w:pPr>
    </w:p>
    <w:p>
      <w:pPr>
        <w:ind w:left="40" w:right="159"/>
        <w:spacing w:after="0" w:line="256" w:lineRule="auto"/>
        <w:rPr>
          <w:sz w:val="20"/>
          <w:szCs w:val="20"/>
          <w:color w:val="auto"/>
        </w:rPr>
      </w:pPr>
      <w:r>
        <w:rPr>
          <w:rFonts w:ascii="Times New Roman" w:cs="Times New Roman" w:eastAsia="Times New Roman" w:hAnsi="Times New Roman"/>
          <w:sz w:val="18"/>
          <w:szCs w:val="18"/>
          <w:color w:val="auto"/>
        </w:rPr>
        <w:t>Customer-funded R&amp;D costs are incurred pursuant to contracts (revenue arrangements) to perform R&amp;D activities according to customer specifications. These costs are direct contract costs and are expensed to cost of sales as costs are incurred. Revenue from customer-funded R&amp;D contracts is recognized in accordance with ASC 606 over time as costs are incurred. Revenue from customer-funded R&amp;D was approximately $58,304,000 and $119,151,000 for the three and six months ended November 1, 2025. Revenue from customer-funded R&amp;D was approximately $20,280,000 and $38,839,000 for the three and six months ended October 26, 2024.</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14. Long-Term Incentive Awards</w:t>
      </w:r>
    </w:p>
    <w:p>
      <w:pPr>
        <w:spacing w:after="0" w:line="229" w:lineRule="exact"/>
        <w:rPr>
          <w:sz w:val="20"/>
          <w:szCs w:val="20"/>
          <w:color w:val="auto"/>
        </w:rPr>
      </w:pPr>
    </w:p>
    <w:p>
      <w:pPr>
        <w:ind w:left="40" w:right="79"/>
        <w:spacing w:after="0" w:line="252" w:lineRule="auto"/>
        <w:rPr>
          <w:sz w:val="20"/>
          <w:szCs w:val="20"/>
          <w:color w:val="auto"/>
        </w:rPr>
      </w:pPr>
      <w:r>
        <w:rPr>
          <w:rFonts w:ascii="Times New Roman" w:cs="Times New Roman" w:eastAsia="Times New Roman" w:hAnsi="Times New Roman"/>
          <w:sz w:val="18"/>
          <w:szCs w:val="18"/>
          <w:color w:val="auto"/>
        </w:rPr>
        <w:t>During the three months ended August 2, 2025, the Company granted awards under its 2021 Equity Incentive Plan (the “2021 Plan”) to key employees (“Fiscal 2026 LTIP”). Awards under the Fiscal 2026 LTIP consist of: (i) time-based restricted stock awards and time-based restricted stock units, which vest in equal tranches in July 2026, July 2027 and July 2028, and (ii) performance-based restricted stock units (“PRSUs”), which vest based on the Company’s achievement of revenue and non-GAAP adjusted earnings before interest, taxes, depreciation and amortization (“adjusted EBITDA”) targets for the three-year period ending April 30, 2028.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non-GAAP adjusted EBITDA targets for the performance period. Settlement of the PRSUs will be made in fully-vested shares of the Company’s common stock. For the three and six months ended November 1, 2025 the Company recorded $2,205,000 and $3,014,000 of compensation expense related to the Fiscal 2026 LTIP, respectively. The Company recorded no compensation expense to the Fiscal 2026 LTIP for the three and six months ended October 26, 2024, respectively. At November 1, 2025, the maximum compensation expense that may be recorded for the performance-based portion of the Fiscal 2026 LTIP is $31,160,000.</w:t>
      </w:r>
    </w:p>
    <w:p>
      <w:pPr>
        <w:spacing w:after="0" w:line="195" w:lineRule="exact"/>
        <w:rPr>
          <w:sz w:val="20"/>
          <w:szCs w:val="20"/>
          <w:color w:val="auto"/>
        </w:rPr>
      </w:pPr>
    </w:p>
    <w:p>
      <w:pPr>
        <w:ind w:left="40" w:right="79"/>
        <w:spacing w:after="0" w:line="252" w:lineRule="auto"/>
        <w:rPr>
          <w:sz w:val="20"/>
          <w:szCs w:val="20"/>
          <w:color w:val="auto"/>
        </w:rPr>
      </w:pPr>
      <w:r>
        <w:rPr>
          <w:rFonts w:ascii="Times New Roman" w:cs="Times New Roman" w:eastAsia="Times New Roman" w:hAnsi="Times New Roman"/>
          <w:sz w:val="18"/>
          <w:szCs w:val="18"/>
          <w:color w:val="auto"/>
        </w:rPr>
        <w:t>During the three months ended July 27, 2024, the Company granted awards under its 2021 Plan to key employees (“Fiscal 2025 LTIP”). Awards under the Fiscal 2025 LTIP consist of: (i) time-based restricted stock awards and time-based restricted stock units, which vest in equal tranches in July 2025, July 2026 and July 2027, and (ii) PRSUs, which vest based on the Company’s achievement of revenue and non-GAAP adjusted EBITDA targets for the three-year period ending April 30, 2027.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non-GAAP adjusted EBITDA targets for the performance period. Settlement of the PRSUs will be made in fully-vested shares of the Company’s common stock. For the three and six months ended November 1, 2025, the Company recorded $1,225,000 and $5,084,000 of compensation expense related to the Fiscal 2025 LTIP. For the three and six months ended October 26, 2024, the Company recorded $968,000 and $1,274,000 of compensation expense related to the Fiscal 2025 LTIP. At November 1, 2025, the maximum compensation expense that may be recorded for the performance-based portion of the Fiscal 2025 LTIP is $17,463,000.</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79"/>
        <w:spacing w:after="0" w:line="252" w:lineRule="auto"/>
        <w:rPr>
          <w:sz w:val="20"/>
          <w:szCs w:val="20"/>
          <w:color w:val="auto"/>
        </w:rPr>
      </w:pPr>
      <w:r>
        <w:rPr>
          <w:rFonts w:ascii="Times New Roman" w:cs="Times New Roman" w:eastAsia="Times New Roman" w:hAnsi="Times New Roman"/>
          <w:sz w:val="18"/>
          <w:szCs w:val="18"/>
          <w:color w:val="auto"/>
        </w:rPr>
        <w:t>During the three months ended July 29, 2023, the Company granted awards under the 2021 Plan to key employees (“Fiscal 2024 LTIP”). Awards under the Fiscal 2024 LTIP consist of: (i) time-based restricted stock awards and time-based restricted stock units, which vest in equal tranches in July 2024, July 2025 and July 2026, and (ii) PRSUs, which vest based on the Company’s achievement of revenue and non-GAAP adjusted EBITDA targets for the three-year period ending April 30, 2026.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non-GAAP adjusted EBITDA targets for the performance period. Settlement of the PRSUs will be made in fully-vested shares of the Company’s common stock. For the three and six months ended November 1, 2025, the Company recorded $876,000 and $3,884,000 of compensation expense related to the Fiscal 2024 LTIP. For the three and six months ended October 26, 2024, the Company recorded $1,078,000 and $2,190,000 of compensation expense related to the Fiscal 2024 LTIP. At November 1, 2025, the maximum compensation expense that may be recorded for the performance-based portion of the Fiscal 2024 LTIP is $14,454,000.</w:t>
      </w:r>
    </w:p>
    <w:p>
      <w:pPr>
        <w:spacing w:after="0" w:line="196" w:lineRule="exact"/>
        <w:rPr>
          <w:sz w:val="20"/>
          <w:szCs w:val="20"/>
          <w:color w:val="auto"/>
        </w:rPr>
      </w:pPr>
    </w:p>
    <w:p>
      <w:pPr>
        <w:ind w:left="40" w:right="79"/>
        <w:spacing w:after="0" w:line="254" w:lineRule="auto"/>
        <w:rPr>
          <w:sz w:val="20"/>
          <w:szCs w:val="20"/>
          <w:color w:val="auto"/>
        </w:rPr>
      </w:pPr>
      <w:r>
        <w:rPr>
          <w:rFonts w:ascii="Times New Roman" w:cs="Times New Roman" w:eastAsia="Times New Roman" w:hAnsi="Times New Roman"/>
          <w:sz w:val="18"/>
          <w:szCs w:val="18"/>
          <w:color w:val="auto"/>
        </w:rPr>
        <w:t>During the three months ended July 30, 2022, the Company granted awards under the 2021 Plan to key employees (“Fiscal 2023 LTIP”). Awards under the Fiscal 2023 LTIP consist of: (i) time-based restricted stock awards and time-based restricted stock units, which vest in equal tranches in July 2023, July 2024 and July 2025, and (ii) PRSUs, which vest based on the Company’s achievement of revenue and non-GAAP adjusted EBITDA targets for the three-year period ending April 30, 2025. During the three months ended August 2, 2025, the Company issued a total of 61,605 fully-vested shares of the Company’s common stock to settle the PRSUs in the Fiscal 2023 LTIP. For the three and six months ended November 1, 2025 the Company recorded no compensation expense related to the Fiscal 2023 LTIP. For the three and six months ended October 26, 2024, the Company recorded $801,000, and $1,666,000 of compensation expense related to the Fiscal 2023 LTIP, respectively.</w:t>
      </w:r>
    </w:p>
    <w:p>
      <w:pPr>
        <w:spacing w:after="0" w:line="188" w:lineRule="exact"/>
        <w:rPr>
          <w:sz w:val="20"/>
          <w:szCs w:val="20"/>
          <w:color w:val="auto"/>
        </w:rPr>
      </w:pPr>
    </w:p>
    <w:p>
      <w:pPr>
        <w:ind w:left="40" w:right="159"/>
        <w:spacing w:after="0" w:line="258" w:lineRule="auto"/>
        <w:rPr>
          <w:sz w:val="20"/>
          <w:szCs w:val="20"/>
          <w:color w:val="auto"/>
        </w:rPr>
      </w:pPr>
      <w:r>
        <w:rPr>
          <w:rFonts w:ascii="Times New Roman" w:cs="Times New Roman" w:eastAsia="Times New Roman" w:hAnsi="Times New Roman"/>
          <w:sz w:val="18"/>
          <w:szCs w:val="18"/>
          <w:color w:val="auto"/>
        </w:rPr>
        <w:t>At each reporting period, the Company reassesses the probability of achieving the performance targets for the PRSUs.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 No compensation cost is ultimately recognized for awards for which employees do not render the requisite service and are forfeited.</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For the three and six months ended November 1, 2025, the Company recorded an income tax benefit of $(2,305,000) and</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$(17,474,000) yielding an effective tax rate of (11.2)% and (16.7%), respectively. For the three and six months ended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October 26, 2024, the Company recorded an income tax benefit of $(221,000) and a provision for income taxes of</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$1,264,000 yielding an effective tax rate of (3.5)% and 4.4%, respectively. The variance from statutory rates for the three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and six months ended November 1, 2025 was primarily due to the loss before income taxes for the three months ended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November 1, 2025. The variance from statutory rates for the three and six months ended October 26, 2024 was primarily</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due to foreign-derived intangible income (“FDII”) deductions, federal R&amp;D credits and excess tax benefits from the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exercise of stock options and vesting of equity awards.</w:t>
      </w:r>
    </w:p>
    <w:p>
      <w:pPr>
        <w:spacing w:after="0" w:line="207" w:lineRule="exact"/>
        <w:rPr>
          <w:sz w:val="20"/>
          <w:szCs w:val="20"/>
          <w:color w:val="auto"/>
        </w:rPr>
      </w:pPr>
    </w:p>
    <w:p>
      <w:pPr>
        <w:ind w:left="40" w:right="119"/>
        <w:spacing w:after="0" w:line="254" w:lineRule="auto"/>
        <w:rPr>
          <w:sz w:val="20"/>
          <w:szCs w:val="20"/>
          <w:color w:val="auto"/>
        </w:rPr>
      </w:pPr>
      <w:r>
        <w:rPr>
          <w:rFonts w:ascii="Times New Roman" w:cs="Times New Roman" w:eastAsia="Times New Roman" w:hAnsi="Times New Roman"/>
          <w:sz w:val="18"/>
          <w:szCs w:val="18"/>
          <w:color w:val="auto"/>
        </w:rPr>
        <w:t>On July 4, 2025, the reconciliation bill, commonly known as the One Big Beautiful Bill Act (“OBBBA”), was enacted into law. The OBBBA, among other things, eliminates the requirement to capitalize U.S. R&amp;D expenses, permanently extends certain provisions of the Tax Cuts &amp; Jobs Act of 2017 and modifies certain international tax provisions, including changes to the Global Intangible Low-Taxed Income (“GILTI”) and the FDII regimes, with effective dates beginning in calendar year 2025 and extending through calendar year 2027. As the OBBBA was enacted during the Company’s fiscal quarter ended August 2, 2025, the Company reflected the impacts of the OBBBA on the condensed consolidated financial statements. The Company is in the process of evaluating the financial statement impact of these provisions in future periods. Each of these changes may result in accelerated tax deductions during the current and future tax years. Cash tax payments for the fiscal year ending April 30, 2026 are expected to be significantly reduced as a result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spacing w:after="0" w:line="282" w:lineRule="auto"/>
        <w:rPr>
          <w:sz w:val="20"/>
          <w:szCs w:val="20"/>
          <w:color w:val="auto"/>
        </w:rPr>
      </w:pPr>
      <w:r>
        <w:rPr>
          <w:rFonts w:ascii="Times New Roman" w:cs="Times New Roman" w:eastAsia="Times New Roman" w:hAnsi="Times New Roman"/>
          <w:sz w:val="18"/>
          <w:szCs w:val="18"/>
          <w:color w:val="auto"/>
        </w:rPr>
        <w:t>of the accelerated tax deductions. However, the Company's total income tax expense and effective tax rate are not expected to materially change as a result of the new legislation.</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16. Share Issuances</w:t>
      </w:r>
    </w:p>
    <w:p>
      <w:pPr>
        <w:spacing w:after="0" w:line="216" w:lineRule="exact"/>
        <w:rPr>
          <w:sz w:val="20"/>
          <w:szCs w:val="20"/>
          <w:color w:val="auto"/>
        </w:rPr>
      </w:pPr>
    </w:p>
    <w:p>
      <w:pPr>
        <w:ind w:left="40" w:right="179"/>
        <w:spacing w:after="0" w:line="253" w:lineRule="auto"/>
        <w:rPr>
          <w:sz w:val="20"/>
          <w:szCs w:val="20"/>
          <w:color w:val="auto"/>
        </w:rPr>
      </w:pPr>
      <w:r>
        <w:rPr>
          <w:rFonts w:ascii="Times New Roman" w:cs="Times New Roman" w:eastAsia="Times New Roman" w:hAnsi="Times New Roman"/>
          <w:sz w:val="18"/>
          <w:szCs w:val="18"/>
          <w:color w:val="auto"/>
        </w:rPr>
        <w:t>In July 2025, the Company entered into an underwriting agreement (the “Common Stock Underwriting Agreement”) with certain underwriters (the “Common Stock Underwriters”) agreeing, subject to customary conditions, to issue and sell 3,528,226 shares of the Company’s common stock to the Common Stock Underwriters. In addition, pursuant to the Common Stock Underwriting Agreement, the Company granted the Common Stock Underwriters an option, exercisable within 30 days after entering the Common Stock Underwriting Agreement, to purchase up to an additional 529,234 shares of the Company’s common stock (the “Over-allotment Option”). The issuance of 3,528,226 shares of common stock was completed in July 2025. Subsequently, the Company closed the issuance and sale of 529,234 shares of its common stock pursuant to the underwriters’ full exercise of the Over-allotment Option in July 2025 for a total issuance of 4,057,460 shares, generating gross proceeds to the Company of $1,006,250,000, proceeds of $968,515,000, net of underwriting discount and $966,846,000 net of underwriting discount and other equity issuance costs.</w:t>
      </w:r>
    </w:p>
    <w:p>
      <w:pPr>
        <w:spacing w:after="0" w:line="190" w:lineRule="exact"/>
        <w:rPr>
          <w:sz w:val="20"/>
          <w:szCs w:val="20"/>
          <w:color w:val="auto"/>
        </w:rPr>
      </w:pPr>
    </w:p>
    <w:p>
      <w:pPr>
        <w:ind w:left="40" w:right="7059" w:firstLine="4"/>
        <w:spacing w:after="0" w:line="532" w:lineRule="auto"/>
        <w:tabs>
          <w:tab w:leader="none" w:pos="31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Business Acquisitions BlueHalo Acquisition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On May 1, 2025, the Company closed its acquisition of BlueHalo for merger consideration, net of cash acquired, of</w:t>
      </w:r>
    </w:p>
    <w:p>
      <w:pPr>
        <w:spacing w:after="0" w:line="27" w:lineRule="exact"/>
        <w:rPr>
          <w:sz w:val="20"/>
          <w:szCs w:val="20"/>
          <w:color w:val="auto"/>
        </w:rPr>
      </w:pPr>
    </w:p>
    <w:p>
      <w:pPr>
        <w:ind w:left="40" w:right="259"/>
        <w:spacing w:after="0" w:line="253" w:lineRule="auto"/>
        <w:rPr>
          <w:sz w:val="20"/>
          <w:szCs w:val="20"/>
          <w:color w:val="auto"/>
        </w:rPr>
      </w:pPr>
      <w:r>
        <w:rPr>
          <w:rFonts w:ascii="Times New Roman" w:cs="Times New Roman" w:eastAsia="Times New Roman" w:hAnsi="Times New Roman"/>
          <w:sz w:val="18"/>
          <w:szCs w:val="18"/>
          <w:color w:val="auto"/>
        </w:rPr>
        <w:t>$3,484,945,000. Through the acquisition, BlueHalo is incorporated into the Company’s AxS and SCDE segments. The Company believes that the acquisition will help to advance the combined company as a global defense technology leader across air, land, sea, space, and cyber. The Company accounted for the acquisition under the acquisition method of accounting for business combinations.</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Amount</w:t>
            </w:r>
          </w:p>
        </w:tc>
      </w:tr>
      <w:tr>
        <w:trPr>
          <w:trHeight w:val="209"/>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consideration transferred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2,640,365</w:t>
            </w:r>
          </w:p>
        </w:tc>
      </w:tr>
      <w:tr>
        <w:trPr>
          <w:trHeight w:val="216"/>
        </w:trPr>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Settlement of BlueHalo’s transaction expenses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25,214</w:t>
            </w:r>
          </w:p>
        </w:tc>
      </w:tr>
      <w:tr>
        <w:trPr>
          <w:trHeight w:val="216"/>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Settlement of BlueHalo’s debt</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863,207</w:t>
            </w:r>
          </w:p>
        </w:tc>
      </w:tr>
      <w:tr>
        <w:trPr>
          <w:trHeight w:val="210"/>
        </w:trPr>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Merger consideration</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3,528,786</w:t>
            </w:r>
          </w:p>
        </w:tc>
      </w:tr>
      <w:tr>
        <w:trPr>
          <w:trHeight w:val="216"/>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cash acquired</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(43,841)</w:t>
            </w:r>
          </w:p>
        </w:tc>
      </w:tr>
      <w:tr>
        <w:trPr>
          <w:trHeight w:val="228"/>
        </w:trPr>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Fair value of consideration transferred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3,484,945</w:t>
            </w:r>
          </w:p>
        </w:tc>
      </w:tr>
    </w:tbl>
    <w:p>
      <w:pPr>
        <w:spacing w:after="0" w:line="179" w:lineRule="exact"/>
        <w:rPr>
          <w:sz w:val="20"/>
          <w:szCs w:val="20"/>
          <w:color w:val="auto"/>
        </w:rPr>
      </w:pPr>
    </w:p>
    <w:p>
      <w:pPr>
        <w:ind w:left="40" w:right="119"/>
        <w:spacing w:after="0" w:line="282" w:lineRule="auto"/>
        <w:rPr>
          <w:sz w:val="20"/>
          <w:szCs w:val="20"/>
          <w:color w:val="auto"/>
        </w:rPr>
      </w:pPr>
      <w:r>
        <w:rPr>
          <w:rFonts w:ascii="Times New Roman" w:cs="Times New Roman" w:eastAsia="Times New Roman" w:hAnsi="Times New Roman"/>
          <w:sz w:val="18"/>
          <w:szCs w:val="18"/>
          <w:color w:val="auto"/>
        </w:rPr>
        <w:t>The fair value of the Company’s common stock issued is based on 17,425,849 shares issued as consideration, per the terms of the Merger Agreement, and the closing share price of $151.52 on April 30, 2025.</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8"/>
          <w:szCs w:val="18"/>
          <w:color w:val="auto"/>
        </w:rPr>
        <w:t>The following table summarizes the preliminary allocation of the fair value of the merger consideration transferred to assets acquired and liabilities assumed as of the acquisition date. The allocation of the purchase price is preliminary and subject to change as the Company continues to evaluate the fair values of certain assets and liabilities acquired. Open items in the purchase price allocation include the valuation of assets acquired and liabilities assumed including, but not limited to technology, backlog and customer relationships intangibles; fair value adjustment to inventory, property, plant and equipment; leases; details surrounding tax matters; and assumptions underlying certain existing or potential reserves, such as those for inventory and legal matters. During the three months ended November 1, 2025, the Company recorded adjustments related to the preliminary allocation of the purchase price including a revision to the fair value of technology, backlog and customer relationships intangibles; fair value adjustment to inventory; and deferred tax liability resulting in a net increase to goodwill of $81,321,000. These adjustments resulted in a reduction of amortization expense of $4,956,000 related to the three months ended August 2, 2025 (in thousands):</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May 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8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Fair value of assets acquired:</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$420 at May 1, 2025</w:t>
            </w: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Unbilled receivables and retentions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taxes receivable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investments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identifiable assets</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3,845,652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liabilities assumed: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Wages and related accruals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Customer advances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Deferred income taxes</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360,707</w:t>
            </w:r>
          </w:p>
        </w:tc>
        <w:tc>
          <w:tcPr>
            <w:tcW w:w="0" w:type="dxa"/>
            <w:vAlign w:val="bottom"/>
          </w:tcPr>
          <w:p>
            <w:pPr>
              <w:spacing w:after="0"/>
              <w:rPr>
                <w:sz w:val="1"/>
                <w:szCs w:val="1"/>
                <w:color w:val="auto"/>
              </w:rPr>
            </w:pPr>
          </w:p>
        </w:tc>
      </w:tr>
      <w:tr>
        <w:trPr>
          <w:trHeight w:val="209"/>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3,484,945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119"/>
        <w:spacing w:after="0" w:line="258" w:lineRule="auto"/>
        <w:rPr>
          <w:sz w:val="20"/>
          <w:szCs w:val="20"/>
          <w:color w:val="auto"/>
        </w:rPr>
      </w:pPr>
      <w:r>
        <w:rPr>
          <w:rFonts w:ascii="Times New Roman" w:cs="Times New Roman" w:eastAsia="Times New Roman" w:hAnsi="Times New Roman"/>
          <w:sz w:val="18"/>
          <w:szCs w:val="18"/>
          <w:color w:val="auto"/>
        </w:rPr>
        <w:t>Determining the fair value of the intangible assets acquired requires significant judgment, including the amount and timing of expected future cash flows, long-term growth rates and discount rates. The fair value assigned to intangible assets has been estimated based on third-party preliminary valuation studies utilizing income-based methodologies and corroborated with benchmarks of similar transactions in the industry. Use of different estimates and judgments could yield materially different results. All intangible assets acquired in the BlueHalo acquisition are subject to amortization.</w:t>
      </w:r>
    </w:p>
    <w:p>
      <w:pPr>
        <w:spacing w:after="0" w:line="183" w:lineRule="exact"/>
        <w:rPr>
          <w:sz w:val="20"/>
          <w:szCs w:val="20"/>
          <w:color w:val="auto"/>
        </w:rPr>
      </w:pPr>
    </w:p>
    <w:p>
      <w:pPr>
        <w:ind w:left="40" w:right="279"/>
        <w:spacing w:after="0" w:line="266" w:lineRule="auto"/>
        <w:rPr>
          <w:sz w:val="20"/>
          <w:szCs w:val="20"/>
          <w:color w:val="auto"/>
        </w:rPr>
      </w:pPr>
      <w:r>
        <w:rPr>
          <w:rFonts w:ascii="Times New Roman" w:cs="Times New Roman" w:eastAsia="Times New Roman" w:hAnsi="Times New Roman"/>
          <w:sz w:val="18"/>
          <w:szCs w:val="18"/>
          <w:color w:val="auto"/>
        </w:rPr>
        <w:t>The goodwill is attributable to the differences between the estimated fair value of the consideration transferred and the estimated fair value of the assets acquired, and liabilities assumed. For income tax purposes the goodwill and intangibles are not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summarizes the valuation of the fair value of intangible assets acquired (in thousands):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Preliminary Fair Value</w:t>
            </w:r>
          </w:p>
        </w:tc>
        <w:tc>
          <w:tcPr>
            <w:tcW w:w="1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Estimated Useful Life</w:t>
            </w:r>
          </w:p>
        </w:tc>
      </w:tr>
      <w:tr>
        <w:trPr>
          <w:trHeight w:val="234"/>
        </w:trPr>
        <w:tc>
          <w:tcPr>
            <w:tcW w:w="46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Years</w:t>
            </w:r>
          </w:p>
        </w:tc>
      </w:tr>
      <w:tr>
        <w:trPr>
          <w:trHeight w:val="210"/>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Preliminary fair value of intangible assets acquired:</w:t>
            </w:r>
          </w:p>
        </w:tc>
        <w:tc>
          <w:tcPr>
            <w:tcW w:w="3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6"/>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Backlog</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49,600</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32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506,700</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Developed technology</w:t>
            </w:r>
          </w:p>
        </w:tc>
        <w:tc>
          <w:tcPr>
            <w:tcW w:w="32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469,200</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10"/>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 acquired</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1,025,500</w:t>
            </w:r>
          </w:p>
        </w:tc>
        <w:tc>
          <w:tcPr>
            <w:tcW w:w="1920" w:type="dxa"/>
            <w:vAlign w:val="bottom"/>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BlueHalo Supplemental Pro Forma Information (unaudited)</w:t>
      </w:r>
    </w:p>
    <w:p>
      <w:pPr>
        <w:spacing w:after="0" w:line="229"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8"/>
          <w:szCs w:val="18"/>
          <w:color w:val="auto"/>
        </w:rPr>
        <w:t>BlueHalo revenue and loss from operations for the six months ended November 1, 2025 since its acquisition on May 1, 2025 was $480,337,000 and $(129,411,000), inclusive of $120,428,000 of intangible amortization, respectively. The following unaudited pro forma summary presents condensed consolidated information of the Company as if the business acquisition had occurred as if the acquisition was completed on the first day of the Company's fiscal year May 1, 2024. The pro forma amounts include the historical operating results of the Company and BlueHalo prior to the acquisition. The pro forma results are not necessarily indicative of the Company's results of operations that would have been obtained had the acquisition of BlueHalo been completed for the period presented, or which may be realized in the future (in thousands):</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60" w:type="dxa"/>
            <w:vAlign w:val="bottom"/>
            <w:tcBorders>
              <w:bottom w:val="single" w:sz="8" w:color="auto"/>
            </w:tcBorders>
            <w:gridSpan w:val="3"/>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2180" w:type="dxa"/>
            <w:vAlign w:val="bottom"/>
            <w:tcBorders>
              <w:bottom w:val="single" w:sz="8" w:color="auto"/>
            </w:tcBorders>
            <w:gridSpan w:val="3"/>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26"/>
        </w:trPr>
        <w:tc>
          <w:tcPr>
            <w:tcW w:w="3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280" w:type="dxa"/>
            <w:vAlign w:val="bottom"/>
          </w:tcPr>
          <w:p>
            <w:pPr>
              <w:spacing w:after="0"/>
              <w:rPr>
                <w:sz w:val="19"/>
                <w:szCs w:val="19"/>
                <w:color w:val="auto"/>
              </w:rPr>
            </w:pPr>
          </w:p>
        </w:tc>
        <w:tc>
          <w:tcPr>
            <w:tcW w:w="11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28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26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October 26,</w:t>
            </w:r>
          </w:p>
        </w:tc>
      </w:tr>
      <w:tr>
        <w:trPr>
          <w:trHeight w:val="199"/>
        </w:trPr>
        <w:tc>
          <w:tcPr>
            <w:tcW w:w="340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472,508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403,551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927,184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782,475</w:t>
            </w: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AeroVironment, Inc.</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(118,323)</w:t>
            </w:r>
          </w:p>
        </w:tc>
      </w:tr>
    </w:tbl>
    <w:p>
      <w:pPr>
        <w:spacing w:after="0" w:line="179" w:lineRule="exact"/>
        <w:rPr>
          <w:sz w:val="20"/>
          <w:szCs w:val="20"/>
          <w:color w:val="auto"/>
        </w:rPr>
      </w:pPr>
    </w:p>
    <w:p>
      <w:pPr>
        <w:ind w:left="40" w:right="99"/>
        <w:spacing w:after="0" w:line="261" w:lineRule="auto"/>
        <w:rPr>
          <w:sz w:val="20"/>
          <w:szCs w:val="20"/>
          <w:color w:val="auto"/>
        </w:rPr>
      </w:pPr>
      <w:r>
        <w:rPr>
          <w:rFonts w:ascii="Times New Roman" w:cs="Times New Roman" w:eastAsia="Times New Roman" w:hAnsi="Times New Roman"/>
          <w:sz w:val="18"/>
          <w:szCs w:val="18"/>
          <w:color w:val="auto"/>
        </w:rPr>
        <w:t>The Company recognized a nonrecurring pro forma adjustment to pro forma earnings to amortize an increase in the fair value of inventory acquired during the three and six months ended November 1, 2025. In addition, for the three and six months ended November 1, 2025, the amortization expense associated with the Company's one-year intangible backlog has been eliminated within the pro forma adjustments.</w:t>
      </w:r>
    </w:p>
    <w:p>
      <w:pPr>
        <w:spacing w:after="0" w:line="180" w:lineRule="exact"/>
        <w:rPr>
          <w:sz w:val="20"/>
          <w:szCs w:val="20"/>
          <w:color w:val="auto"/>
        </w:rPr>
      </w:pPr>
    </w:p>
    <w:p>
      <w:pPr>
        <w:ind w:left="40" w:right="119"/>
        <w:spacing w:after="0" w:line="261" w:lineRule="auto"/>
        <w:rPr>
          <w:sz w:val="20"/>
          <w:szCs w:val="20"/>
          <w:color w:val="auto"/>
        </w:rPr>
      </w:pPr>
      <w:r>
        <w:rPr>
          <w:rFonts w:ascii="Times New Roman" w:cs="Times New Roman" w:eastAsia="Times New Roman" w:hAnsi="Times New Roman"/>
          <w:sz w:val="18"/>
          <w:szCs w:val="18"/>
          <w:color w:val="auto"/>
        </w:rPr>
        <w:t>These pro forma amounts have been calculated by applying the Company’s accounting policies, assuming transaction costs had been incurred during the three months ended July 27, 2024, reflecting the additional amortization and depreciation that would have been charged, incremental interest expense associated with the initial financing for the acquisition under the term loan and revolver, and including the results of BlueHalo prior to acquisition.</w:t>
      </w:r>
    </w:p>
    <w:p>
      <w:pPr>
        <w:spacing w:after="0" w:line="180" w:lineRule="exact"/>
        <w:rPr>
          <w:sz w:val="20"/>
          <w:szCs w:val="20"/>
          <w:color w:val="auto"/>
        </w:rPr>
      </w:pPr>
    </w:p>
    <w:p>
      <w:pPr>
        <w:ind w:left="40" w:right="179"/>
        <w:spacing w:after="0" w:line="258" w:lineRule="auto"/>
        <w:rPr>
          <w:sz w:val="20"/>
          <w:szCs w:val="20"/>
          <w:color w:val="auto"/>
        </w:rPr>
      </w:pPr>
      <w:r>
        <w:rPr>
          <w:rFonts w:ascii="Times New Roman" w:cs="Times New Roman" w:eastAsia="Times New Roman" w:hAnsi="Times New Roman"/>
          <w:sz w:val="18"/>
          <w:szCs w:val="18"/>
          <w:color w:val="auto"/>
        </w:rPr>
        <w:t>The Company incurred approximately $49,178,000 of BlueHalo acquisition-related expenses. The Company recognized a nonrecurring pro forma adjustment to the three and six months ended November 1, 2025 to remove the impact of the transaction costs from the historical balance, while recognizing the $49,178,000 of transaction expenses within the three months ended July 27, 2024 to reflect the costs as if the acquisition was completed during the three months ended July 27, 2024.</w:t>
      </w:r>
    </w:p>
    <w:p>
      <w:pPr>
        <w:spacing w:after="0" w:line="183" w:lineRule="exact"/>
        <w:rPr>
          <w:sz w:val="20"/>
          <w:szCs w:val="20"/>
          <w:color w:val="auto"/>
        </w:rPr>
      </w:pPr>
    </w:p>
    <w:p>
      <w:pPr>
        <w:ind w:left="40" w:right="319"/>
        <w:spacing w:after="0" w:line="258" w:lineRule="auto"/>
        <w:rPr>
          <w:sz w:val="20"/>
          <w:szCs w:val="20"/>
          <w:color w:val="auto"/>
        </w:rPr>
      </w:pPr>
      <w:r>
        <w:rPr>
          <w:rFonts w:ascii="Times New Roman" w:cs="Times New Roman" w:eastAsia="Times New Roman" w:hAnsi="Times New Roman"/>
          <w:sz w:val="18"/>
          <w:szCs w:val="18"/>
          <w:color w:val="auto"/>
        </w:rPr>
        <w:t>The unaudited pro forma combined financial information presented above does not give effect to the July 2025 common stock issuance and Notes issuance, as such proceeds were not used to fund the BlueHalo acquisition. As the Company’s repayment of indebtedness using the proceeds of the common stock issuance and Notes issuance was not directly attributable to the acquisition, the related reduction in interest expense is not reflected in this unaudited pro forma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18. Pension</w:t>
      </w:r>
    </w:p>
    <w:p>
      <w:pPr>
        <w:spacing w:after="0" w:line="229" w:lineRule="exact"/>
        <w:rPr>
          <w:sz w:val="20"/>
          <w:szCs w:val="20"/>
          <w:color w:val="auto"/>
        </w:rPr>
      </w:pPr>
    </w:p>
    <w:p>
      <w:pPr>
        <w:ind w:left="40" w:right="199"/>
        <w:spacing w:after="0" w:line="258" w:lineRule="auto"/>
        <w:rPr>
          <w:sz w:val="20"/>
          <w:szCs w:val="20"/>
          <w:color w:val="auto"/>
        </w:rPr>
      </w:pPr>
      <w:r>
        <w:rPr>
          <w:rFonts w:ascii="Times New Roman" w:cs="Times New Roman" w:eastAsia="Times New Roman" w:hAnsi="Times New Roman"/>
          <w:sz w:val="18"/>
          <w:szCs w:val="18"/>
          <w:color w:val="auto"/>
        </w:rPr>
        <w:t>As part of the Telerob acquisition, the Company acquired a small foreign-based defined benefit pension plan. The Rheinmetall-Zusatzversorgung service plan covers three former employees based on individual contracts issued to the employees. No other employees are eligible to participate. The Company has reinsurance policies that were taken out for participating former employees, which were pledged to the employees. The measurement date for the Company’s pension plan was April 30, 2025.</w:t>
      </w:r>
    </w:p>
    <w:p>
      <w:pPr>
        <w:spacing w:after="0" w:line="183" w:lineRule="exact"/>
        <w:rPr>
          <w:sz w:val="20"/>
          <w:szCs w:val="20"/>
          <w:color w:val="auto"/>
        </w:rPr>
      </w:pPr>
    </w:p>
    <w:p>
      <w:pPr>
        <w:ind w:left="40" w:right="399"/>
        <w:spacing w:after="0" w:line="282" w:lineRule="auto"/>
        <w:rPr>
          <w:sz w:val="20"/>
          <w:szCs w:val="20"/>
          <w:color w:val="auto"/>
        </w:rPr>
      </w:pPr>
      <w:r>
        <w:rPr>
          <w:rFonts w:ascii="Times New Roman" w:cs="Times New Roman" w:eastAsia="Times New Roman" w:hAnsi="Times New Roman"/>
          <w:sz w:val="18"/>
          <w:szCs w:val="18"/>
          <w:color w:val="auto"/>
        </w:rPr>
        <w:t>The table below includes the projected benefit obligation and fair value of plan assets as of April 30, 2025. The net fair value of plan assets (in thousands) is recorded in other assets on the unaudited condensed consolidated balance sheet.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Projected benefit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-111760</wp:posOffset>
            </wp:positionV>
            <wp:extent cx="565785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Fair value of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5430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Funded status of the plan</w:t>
      </w:r>
    </w:p>
    <w:p>
      <w:pPr>
        <w:spacing w:after="0" w:line="20" w:lineRule="exact"/>
        <w:rPr>
          <w:sz w:val="20"/>
          <w:szCs w:val="20"/>
          <w:color w:val="auto"/>
        </w:rPr>
      </w:pPr>
      <w:r>
        <w:rPr>
          <w:sz w:val="20"/>
          <w:szCs w:val="20"/>
          <w:color w:val="auto"/>
        </w:rPr>
        <w:br w:type="column"/>
      </w: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April 30,</w:t>
      </w:r>
    </w:p>
    <w:p>
      <w:pPr>
        <w:spacing w:after="0" w:line="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7620</wp:posOffset>
            </wp:positionV>
            <wp:extent cx="8915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4" w:lineRule="exact"/>
        <w:rPr>
          <w:sz w:val="20"/>
          <w:szCs w:val="20"/>
          <w:color w:val="auto"/>
        </w:rPr>
      </w:pPr>
    </w:p>
    <w:p>
      <w:pPr>
        <w:ind w:left="880" w:hanging="870"/>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(3,335)</w:t>
      </w:r>
    </w:p>
    <w:p>
      <w:pPr>
        <w:spacing w:after="0" w:line="7" w:lineRule="exact"/>
        <w:rPr>
          <w:rFonts w:ascii="Times New Roman" w:cs="Times New Roman" w:eastAsia="Times New Roman" w:hAnsi="Times New Roman"/>
          <w:sz w:val="18"/>
          <w:szCs w:val="18"/>
          <w:color w:val="auto"/>
        </w:rPr>
      </w:pP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3,817</w:t>
      </w:r>
    </w:p>
    <w:p>
      <w:pPr>
        <w:spacing w:after="0" w:line="9" w:lineRule="exact"/>
        <w:rPr>
          <w:sz w:val="20"/>
          <w:szCs w:val="20"/>
          <w:color w:val="auto"/>
        </w:rPr>
      </w:pPr>
    </w:p>
    <w:p>
      <w:pPr>
        <w:ind w:left="1080" w:hanging="1070"/>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31750</wp:posOffset>
            </wp:positionV>
            <wp:extent cx="8915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6820" w:space="720"/>
            <w:col w:w="1479"/>
          </w:cols>
          <w:pgMar w:left="1440" w:top="513" w:right="1440" w:bottom="1440" w:gutter="0" w:footer="0" w:header="0"/>
          <w:type w:val="continuous"/>
        </w:sectPr>
      </w:pPr>
    </w:p>
    <w:p>
      <w:pPr>
        <w:spacing w:after="0" w:line="52" w:lineRule="exact"/>
        <w:rPr>
          <w:sz w:val="20"/>
          <w:szCs w:val="20"/>
          <w:color w:val="auto"/>
        </w:rPr>
      </w:pPr>
    </w:p>
    <w:p>
      <w:pPr>
        <w:ind w:left="40" w:right="199"/>
        <w:spacing w:after="0" w:line="255" w:lineRule="auto"/>
        <w:rPr>
          <w:sz w:val="20"/>
          <w:szCs w:val="20"/>
          <w:color w:val="auto"/>
        </w:rPr>
      </w:pPr>
      <w:r>
        <w:rPr>
          <w:rFonts w:ascii="Times New Roman" w:cs="Times New Roman" w:eastAsia="Times New Roman" w:hAnsi="Times New Roman"/>
          <w:sz w:val="18"/>
          <w:szCs w:val="18"/>
          <w:color w:val="auto"/>
        </w:rPr>
        <w:t>The projected benefit obligation includes assumptions of a discount rate of 3.6% and pension increase for in-payment benefits of 2.5% for both November 1, 2025 and April 30, 2025. The accumulated benefit obligation is approximately equal to the Company’s projected benefit obligation. The plan assets consist of reinsurance policies for each of the three pension commitments. The reinsurance policies are fixed-income investments considered a level 2 fair value hierarchy based on observable inputs of the policy. The Company does not expect to make any contributions to the plan in the fiscal year ending April 30, 2026. The Company assumed expected return on plan assets of 2.9% for August 2, 2025 and April 30, 2025, respectively.</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benefit payments as of April 30, 2025 (in thousands):</w:t>
            </w:r>
          </w:p>
        </w:tc>
        <w:tc>
          <w:tcPr>
            <w:tcW w:w="1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0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0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2031-2035</w:t>
            </w:r>
          </w:p>
        </w:tc>
        <w:tc>
          <w:tcPr>
            <w:tcW w:w="14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expected benefit payments</w:t>
            </w:r>
          </w:p>
        </w:tc>
        <w:tc>
          <w:tcPr>
            <w:tcW w:w="14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Net periodic benefit cost (in thousands) is recorded in interest expense, net.</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27"/>
        </w:trPr>
        <w:tc>
          <w:tcPr>
            <w:tcW w:w="35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120" w:type="dxa"/>
            <w:vAlign w:val="bottom"/>
          </w:tcPr>
          <w:p>
            <w:pPr>
              <w:spacing w:after="0"/>
              <w:rPr>
                <w:sz w:val="19"/>
                <w:szCs w:val="19"/>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October 26,</w:t>
            </w:r>
          </w:p>
        </w:tc>
      </w:tr>
      <w:tr>
        <w:trPr>
          <w:trHeight w:val="199"/>
        </w:trPr>
        <w:tc>
          <w:tcPr>
            <w:tcW w:w="3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5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gain</w:t>
            </w:r>
          </w:p>
        </w:tc>
        <w:tc>
          <w:tcPr>
            <w:tcW w:w="1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340" w:type="dxa"/>
            <w:vAlign w:val="bottom"/>
          </w:tcPr>
          <w:p>
            <w:pPr>
              <w:spacing w:after="0"/>
              <w:rPr>
                <w:sz w:val="19"/>
                <w:szCs w:val="19"/>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57</w:t>
            </w:r>
          </w:p>
        </w:tc>
      </w:tr>
    </w:tbl>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19. Segments</w:t>
      </w:r>
    </w:p>
    <w:p>
      <w:pPr>
        <w:spacing w:after="0" w:line="229" w:lineRule="exact"/>
        <w:rPr>
          <w:sz w:val="20"/>
          <w:szCs w:val="20"/>
          <w:color w:val="auto"/>
        </w:rPr>
      </w:pPr>
    </w:p>
    <w:p>
      <w:pPr>
        <w:ind w:left="40" w:right="119"/>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regularly by the Chief Operating Decision Maker (“CODM”) in deciding how to allocate resources and in assessing performance. The Company’s CODM, who is the Chief Executive Officer, makes operating decisions, assesses performance and makes resource allocation decisions, including the focus of R&amp;D and other significant expenses, leading to decisions related to resource allocations in relation to profit and loss. Accordingly, the Company identifies two reportable segments.</w:t>
      </w:r>
    </w:p>
    <w:p>
      <w:pPr>
        <w:sectPr>
          <w:pgSz w:w="11900" w:h="16838" w:orient="portrait"/>
          <w:cols w:equalWidth="0" w:num="1">
            <w:col w:w="9019"/>
          </w:cols>
          <w:pgMar w:left="1440" w:top="513" w:right="1440"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99"/>
        <w:spacing w:after="0" w:line="261" w:lineRule="auto"/>
        <w:rPr>
          <w:sz w:val="20"/>
          <w:szCs w:val="20"/>
          <w:color w:val="auto"/>
        </w:rPr>
      </w:pPr>
      <w:r>
        <w:rPr>
          <w:rFonts w:ascii="Times New Roman" w:cs="Times New Roman" w:eastAsia="Times New Roman" w:hAnsi="Times New Roman"/>
          <w:sz w:val="18"/>
          <w:szCs w:val="18"/>
          <w:color w:val="auto"/>
        </w:rPr>
        <w:t>Effective May 1, 2025, the Company reorganized its segments. In connection with the Company’s acquisition of BlueHalo, the reorganization was implemented to drive additional operational improvements, foster synergies and provide leaders with greater autonomy over their business units. The Company’s reportable segments are Autonomous Systems and Space, Cyber and Directed Energy.</w:t>
      </w:r>
    </w:p>
    <w:p>
      <w:pPr>
        <w:spacing w:after="0" w:line="180" w:lineRule="exact"/>
        <w:rPr>
          <w:sz w:val="20"/>
          <w:szCs w:val="20"/>
          <w:color w:val="auto"/>
        </w:rPr>
      </w:pPr>
    </w:p>
    <w:p>
      <w:pPr>
        <w:ind w:left="40" w:right="159"/>
        <w:spacing w:after="0" w:line="255"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Note 1, “Organization and Significant Accounting Policies.” The operating segments sales to each other are eliminated. Effective May 1, 2025, segment adjusted EBITDA is the measure of profitability used by the CODM for purposes of making decisions about allocating resources to the segments and assessing performance. Segment adjusted EBITDA is defined as segment (loss) income from operations before depreciation and amortization, adjusted for the impact of certain other non-cash items, including amortization of implementation of cloud computing arrangements, stock-based compensation, and acquisition related expenses. Prior period segment information has been revised to align with the new segment measure of profitability.</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3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November 1, 2025</w:t>
            </w:r>
          </w:p>
        </w:tc>
        <w:tc>
          <w:tcPr>
            <w:tcW w:w="98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1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AxS</w:t>
            </w:r>
          </w:p>
        </w:tc>
        <w:tc>
          <w:tcPr>
            <w:tcW w:w="2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SCDE</w:t>
            </w:r>
          </w:p>
        </w:tc>
        <w:tc>
          <w:tcPr>
            <w:tcW w:w="2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4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249,502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75,535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325,037</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services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147,471</w:t>
            </w:r>
          </w:p>
        </w:tc>
        <w:tc>
          <w:tcPr>
            <w:tcW w:w="0" w:type="dxa"/>
            <w:vAlign w:val="bottom"/>
          </w:tcPr>
          <w:p>
            <w:pPr>
              <w:spacing w:after="0"/>
              <w:rPr>
                <w:sz w:val="1"/>
                <w:szCs w:val="1"/>
                <w:color w:val="auto"/>
              </w:rPr>
            </w:pPr>
          </w:p>
        </w:tc>
      </w:tr>
      <w:tr>
        <w:trPr>
          <w:trHeight w:val="210"/>
        </w:trPr>
        <w:tc>
          <w:tcPr>
            <w:tcW w:w="4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301,573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170,935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472,508</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4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Cost of sales less intangible amortization and other</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190,647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153,510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344,157</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amortization included in cost of sales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24,246</w:t>
            </w: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SG&amp;A less intangible amortization</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74,384</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amortization included in SG&amp;A</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23,952</w:t>
            </w: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35,993</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9,875</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48,198</w:t>
            </w: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8,256</w:t>
            </w:r>
          </w:p>
        </w:tc>
        <w:tc>
          <w:tcPr>
            <w:tcW w:w="0" w:type="dxa"/>
            <w:vAlign w:val="bottom"/>
          </w:tcPr>
          <w:p>
            <w:pPr>
              <w:spacing w:after="0"/>
              <w:rPr>
                <w:sz w:val="1"/>
                <w:szCs w:val="1"/>
                <w:color w:val="auto"/>
              </w:rPr>
            </w:pPr>
          </w:p>
        </w:tc>
      </w:tr>
      <w:tr>
        <w:trPr>
          <w:trHeight w:val="198"/>
        </w:trPr>
        <w:tc>
          <w:tcPr>
            <w:tcW w:w="414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Amortization of cloud computing arrangement</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implementation</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0" w:type="dxa"/>
            <w:vAlign w:val="bottom"/>
          </w:tcPr>
          <w:p>
            <w:pPr>
              <w:spacing w:after="0"/>
              <w:rPr>
                <w:sz w:val="1"/>
                <w:szCs w:val="1"/>
                <w:color w:val="auto"/>
              </w:rPr>
            </w:pPr>
          </w:p>
        </w:tc>
      </w:tr>
      <w:tr>
        <w:trPr>
          <w:trHeight w:val="228"/>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28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51,438</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44,958</w:t>
            </w:r>
          </w:p>
        </w:tc>
        <w:tc>
          <w:tcPr>
            <w:tcW w:w="0" w:type="dxa"/>
            <w:vAlign w:val="bottom"/>
          </w:tcPr>
          <w:p>
            <w:pPr>
              <w:spacing w:after="0"/>
              <w:rPr>
                <w:sz w:val="1"/>
                <w:szCs w:val="1"/>
                <w:color w:val="auto"/>
              </w:rPr>
            </w:pPr>
          </w:p>
        </w:tc>
      </w:tr>
      <w:tr>
        <w:trPr>
          <w:trHeight w:val="846"/>
        </w:trPr>
        <w:tc>
          <w:tcPr>
            <w:tcW w:w="4140" w:type="dxa"/>
            <w:vAlign w:val="bottom"/>
          </w:tcPr>
          <w:p>
            <w:pPr>
              <w:spacing w:after="0"/>
              <w:rPr>
                <w:sz w:val="24"/>
                <w:szCs w:val="24"/>
                <w:color w:val="auto"/>
              </w:rPr>
            </w:pPr>
          </w:p>
        </w:tc>
        <w:tc>
          <w:tcPr>
            <w:tcW w:w="4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28</w:t>
            </w: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tcPr>
          <w:p>
            <w:pPr>
              <w:spacing w:after="0"/>
              <w:rPr>
                <w:sz w:val="19"/>
                <w:szCs w:val="19"/>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4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 services</w:t>
            </w:r>
          </w:p>
        </w:tc>
        <w:tc>
          <w:tcPr>
            <w:tcW w:w="420" w:type="dxa"/>
            <w:vAlign w:val="bottom"/>
          </w:tcPr>
          <w:p>
            <w:pPr>
              <w:spacing w:after="0"/>
              <w:rPr>
                <w:sz w:val="20"/>
                <w:szCs w:val="20"/>
                <w:color w:val="auto"/>
              </w:rPr>
            </w:pPr>
          </w:p>
        </w:tc>
      </w:tr>
      <w:tr>
        <w:trPr>
          <w:trHeight w:val="427"/>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420" w:type="dxa"/>
            <w:vAlign w:val="bottom"/>
          </w:tcPr>
          <w:p>
            <w:pPr>
              <w:spacing w:after="0"/>
              <w:rPr>
                <w:sz w:val="24"/>
                <w:szCs w:val="24"/>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sales less intangible amortization and other</w:t>
            </w:r>
          </w:p>
        </w:tc>
        <w:tc>
          <w:tcPr>
            <w:tcW w:w="420" w:type="dxa"/>
            <w:vAlign w:val="bottom"/>
          </w:tcPr>
          <w:p>
            <w:pPr>
              <w:spacing w:after="0"/>
              <w:rPr>
                <w:sz w:val="18"/>
                <w:szCs w:val="18"/>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420" w:type="dxa"/>
            <w:vAlign w:val="bottom"/>
          </w:tcPr>
          <w:p>
            <w:pPr>
              <w:spacing w:after="0"/>
              <w:rPr>
                <w:sz w:val="18"/>
                <w:szCs w:val="18"/>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amortization included in cost of sales</w:t>
            </w:r>
          </w:p>
        </w:tc>
        <w:tc>
          <w:tcPr>
            <w:tcW w:w="420" w:type="dxa"/>
            <w:vAlign w:val="bottom"/>
          </w:tcPr>
          <w:p>
            <w:pPr>
              <w:spacing w:after="0"/>
              <w:rPr>
                <w:sz w:val="18"/>
                <w:szCs w:val="18"/>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SG&amp;A less intangible amortization</w:t>
            </w:r>
          </w:p>
        </w:tc>
        <w:tc>
          <w:tcPr>
            <w:tcW w:w="420" w:type="dxa"/>
            <w:vAlign w:val="bottom"/>
          </w:tcPr>
          <w:p>
            <w:pPr>
              <w:spacing w:after="0"/>
              <w:rPr>
                <w:sz w:val="18"/>
                <w:szCs w:val="18"/>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amortization included in SG&amp;A</w:t>
            </w:r>
          </w:p>
        </w:tc>
        <w:tc>
          <w:tcPr>
            <w:tcW w:w="420" w:type="dxa"/>
            <w:vAlign w:val="bottom"/>
          </w:tcPr>
          <w:p>
            <w:pPr>
              <w:spacing w:after="0"/>
              <w:rPr>
                <w:sz w:val="18"/>
                <w:szCs w:val="18"/>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420" w:type="dxa"/>
            <w:vAlign w:val="bottom"/>
          </w:tcPr>
          <w:p>
            <w:pPr>
              <w:spacing w:after="0"/>
              <w:rPr>
                <w:sz w:val="18"/>
                <w:szCs w:val="18"/>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420" w:type="dxa"/>
            <w:vAlign w:val="bottom"/>
          </w:tcPr>
          <w:p>
            <w:pPr>
              <w:spacing w:after="0"/>
              <w:rPr>
                <w:sz w:val="18"/>
                <w:szCs w:val="18"/>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w:t>
            </w:r>
          </w:p>
        </w:tc>
        <w:tc>
          <w:tcPr>
            <w:tcW w:w="420" w:type="dxa"/>
            <w:vAlign w:val="bottom"/>
          </w:tcPr>
          <w:p>
            <w:pPr>
              <w:spacing w:after="0"/>
              <w:rPr>
                <w:sz w:val="18"/>
                <w:szCs w:val="18"/>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420" w:type="dxa"/>
            <w:vAlign w:val="bottom"/>
          </w:tcPr>
          <w:p>
            <w:pPr>
              <w:spacing w:after="0"/>
              <w:rPr>
                <w:sz w:val="18"/>
                <w:szCs w:val="18"/>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cloud computing arrangement</w:t>
            </w:r>
          </w:p>
        </w:tc>
        <w:tc>
          <w:tcPr>
            <w:tcW w:w="420" w:type="dxa"/>
            <w:vAlign w:val="bottom"/>
          </w:tcPr>
          <w:p>
            <w:pPr>
              <w:spacing w:after="0"/>
              <w:rPr>
                <w:sz w:val="18"/>
                <w:szCs w:val="18"/>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implementation</w:t>
            </w:r>
          </w:p>
        </w:tc>
        <w:tc>
          <w:tcPr>
            <w:tcW w:w="420" w:type="dxa"/>
            <w:vAlign w:val="bottom"/>
          </w:tcPr>
          <w:p>
            <w:pPr>
              <w:spacing w:after="0"/>
              <w:rPr>
                <w:sz w:val="18"/>
                <w:szCs w:val="18"/>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(expense)</w:t>
            </w:r>
          </w:p>
        </w:tc>
        <w:tc>
          <w:tcPr>
            <w:tcW w:w="420" w:type="dxa"/>
            <w:vAlign w:val="bottom"/>
          </w:tcPr>
          <w:p>
            <w:pPr>
              <w:spacing w:after="0"/>
              <w:rPr>
                <w:sz w:val="18"/>
                <w:szCs w:val="18"/>
                <w:color w:val="auto"/>
              </w:rPr>
            </w:pPr>
          </w:p>
        </w:tc>
      </w:tr>
      <w:tr>
        <w:trPr>
          <w:trHeight w:val="229"/>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420" w:type="dxa"/>
            <w:vAlign w:val="bottom"/>
          </w:tcPr>
          <w:p>
            <w:pPr>
              <w:spacing w:after="0"/>
              <w:rPr>
                <w:sz w:val="19"/>
                <w:szCs w:val="19"/>
                <w:color w:val="auto"/>
              </w:rPr>
            </w:pP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4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88"/>
              </w:rPr>
              <w:t>$</w:t>
            </w:r>
          </w:p>
        </w:tc>
      </w:tr>
      <w:tr>
        <w:trPr>
          <w:trHeight w:val="738"/>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tcPr>
          <w:p>
            <w:pPr>
              <w:spacing w:after="0"/>
              <w:rPr>
                <w:sz w:val="24"/>
                <w:szCs w:val="24"/>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4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 services</w:t>
            </w:r>
          </w:p>
        </w:tc>
        <w:tc>
          <w:tcPr>
            <w:tcW w:w="420" w:type="dxa"/>
            <w:vAlign w:val="bottom"/>
          </w:tcPr>
          <w:p>
            <w:pPr>
              <w:spacing w:after="0"/>
              <w:rPr>
                <w:sz w:val="20"/>
                <w:szCs w:val="20"/>
                <w:color w:val="auto"/>
              </w:rPr>
            </w:pPr>
          </w:p>
        </w:tc>
      </w:tr>
      <w:tr>
        <w:trPr>
          <w:trHeight w:val="427"/>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420" w:type="dxa"/>
            <w:vAlign w:val="bottom"/>
          </w:tcPr>
          <w:p>
            <w:pPr>
              <w:spacing w:after="0"/>
              <w:rPr>
                <w:sz w:val="24"/>
                <w:szCs w:val="24"/>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sales less intangible amortization and other</w:t>
            </w:r>
          </w:p>
        </w:tc>
        <w:tc>
          <w:tcPr>
            <w:tcW w:w="420" w:type="dxa"/>
            <w:vAlign w:val="bottom"/>
          </w:tcPr>
          <w:p>
            <w:pPr>
              <w:spacing w:after="0"/>
              <w:rPr>
                <w:sz w:val="18"/>
                <w:szCs w:val="18"/>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420" w:type="dxa"/>
            <w:vAlign w:val="bottom"/>
          </w:tcPr>
          <w:p>
            <w:pPr>
              <w:spacing w:after="0"/>
              <w:rPr>
                <w:sz w:val="18"/>
                <w:szCs w:val="18"/>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amortization included in cost of sales</w:t>
            </w:r>
          </w:p>
        </w:tc>
        <w:tc>
          <w:tcPr>
            <w:tcW w:w="420" w:type="dxa"/>
            <w:vAlign w:val="bottom"/>
          </w:tcPr>
          <w:p>
            <w:pPr>
              <w:spacing w:after="0"/>
              <w:rPr>
                <w:sz w:val="18"/>
                <w:szCs w:val="18"/>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SG&amp;A less intangible amortization</w:t>
            </w:r>
          </w:p>
        </w:tc>
        <w:tc>
          <w:tcPr>
            <w:tcW w:w="420" w:type="dxa"/>
            <w:vAlign w:val="bottom"/>
          </w:tcPr>
          <w:p>
            <w:pPr>
              <w:spacing w:after="0"/>
              <w:rPr>
                <w:sz w:val="18"/>
                <w:szCs w:val="18"/>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amortization included in SG&amp;A</w:t>
            </w:r>
          </w:p>
        </w:tc>
        <w:tc>
          <w:tcPr>
            <w:tcW w:w="420" w:type="dxa"/>
            <w:vAlign w:val="bottom"/>
          </w:tcPr>
          <w:p>
            <w:pPr>
              <w:spacing w:after="0"/>
              <w:rPr>
                <w:sz w:val="18"/>
                <w:szCs w:val="18"/>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420" w:type="dxa"/>
            <w:vAlign w:val="bottom"/>
          </w:tcPr>
          <w:p>
            <w:pPr>
              <w:spacing w:after="0"/>
              <w:rPr>
                <w:sz w:val="18"/>
                <w:szCs w:val="18"/>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420" w:type="dxa"/>
            <w:vAlign w:val="bottom"/>
          </w:tcPr>
          <w:p>
            <w:pPr>
              <w:spacing w:after="0"/>
              <w:rPr>
                <w:sz w:val="18"/>
                <w:szCs w:val="18"/>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w:t>
            </w:r>
          </w:p>
        </w:tc>
        <w:tc>
          <w:tcPr>
            <w:tcW w:w="420" w:type="dxa"/>
            <w:vAlign w:val="bottom"/>
          </w:tcPr>
          <w:p>
            <w:pPr>
              <w:spacing w:after="0"/>
              <w:rPr>
                <w:sz w:val="18"/>
                <w:szCs w:val="18"/>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420" w:type="dxa"/>
            <w:vAlign w:val="bottom"/>
          </w:tcPr>
          <w:p>
            <w:pPr>
              <w:spacing w:after="0"/>
              <w:rPr>
                <w:sz w:val="18"/>
                <w:szCs w:val="18"/>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cloud computing arrangement</w:t>
            </w:r>
          </w:p>
        </w:tc>
        <w:tc>
          <w:tcPr>
            <w:tcW w:w="420" w:type="dxa"/>
            <w:vAlign w:val="bottom"/>
          </w:tcPr>
          <w:p>
            <w:pPr>
              <w:spacing w:after="0"/>
              <w:rPr>
                <w:sz w:val="18"/>
                <w:szCs w:val="18"/>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implementation</w:t>
            </w:r>
          </w:p>
        </w:tc>
        <w:tc>
          <w:tcPr>
            <w:tcW w:w="420" w:type="dxa"/>
            <w:vAlign w:val="bottom"/>
          </w:tcPr>
          <w:p>
            <w:pPr>
              <w:spacing w:after="0"/>
              <w:rPr>
                <w:sz w:val="18"/>
                <w:szCs w:val="18"/>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(expense)</w:t>
            </w:r>
          </w:p>
        </w:tc>
        <w:tc>
          <w:tcPr>
            <w:tcW w:w="420" w:type="dxa"/>
            <w:vAlign w:val="bottom"/>
          </w:tcPr>
          <w:p>
            <w:pPr>
              <w:spacing w:after="0"/>
              <w:rPr>
                <w:sz w:val="18"/>
                <w:szCs w:val="18"/>
                <w:color w:val="auto"/>
              </w:rPr>
            </w:pPr>
          </w:p>
        </w:tc>
      </w:tr>
      <w:tr>
        <w:trPr>
          <w:trHeight w:val="230"/>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420" w:type="dxa"/>
            <w:vAlign w:val="bottom"/>
          </w:tcPr>
          <w:p>
            <w:pPr>
              <w:spacing w:after="0"/>
              <w:rPr>
                <w:sz w:val="19"/>
                <w:szCs w:val="19"/>
                <w:color w:val="auto"/>
              </w:rPr>
            </w:pP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4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88"/>
              </w:rPr>
              <w:t>$</w:t>
            </w:r>
          </w:p>
        </w:tc>
      </w:tr>
      <w:tr>
        <w:trPr>
          <w:trHeight w:val="864"/>
        </w:trPr>
        <w:tc>
          <w:tcPr>
            <w:tcW w:w="4140" w:type="dxa"/>
            <w:vAlign w:val="bottom"/>
          </w:tcPr>
          <w:p>
            <w:pPr>
              <w:spacing w:after="0"/>
              <w:rPr>
                <w:sz w:val="24"/>
                <w:szCs w:val="24"/>
                <w:color w:val="auto"/>
              </w:rPr>
            </w:pPr>
          </w:p>
        </w:tc>
        <w:tc>
          <w:tcPr>
            <w:tcW w:w="4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342900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-6137275</wp:posOffset>
            </wp:positionV>
            <wp:extent cx="565785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3716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-5854065</wp:posOffset>
            </wp:positionV>
            <wp:extent cx="565785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3716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-5442585</wp:posOffset>
            </wp:positionV>
            <wp:extent cx="565785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3716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-5168265</wp:posOffset>
            </wp:positionV>
            <wp:extent cx="565785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3716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-4893945</wp:posOffset>
            </wp:positionV>
            <wp:extent cx="565785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3716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-4619625</wp:posOffset>
            </wp:positionV>
            <wp:extent cx="565785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3716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-4345305</wp:posOffset>
            </wp:positionV>
            <wp:extent cx="5657850" cy="274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7432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-3933825</wp:posOffset>
            </wp:positionV>
            <wp:extent cx="565785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3716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-6419850</wp:posOffset>
            </wp:positionV>
            <wp:extent cx="565785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3716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-3034030</wp:posOffset>
            </wp:positionV>
            <wp:extent cx="565785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3716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-2750820</wp:posOffset>
            </wp:positionV>
            <wp:extent cx="565785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3716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-2339340</wp:posOffset>
            </wp:positionV>
            <wp:extent cx="565785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3716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-2065020</wp:posOffset>
            </wp:positionV>
            <wp:extent cx="565785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3716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-1790700</wp:posOffset>
            </wp:positionV>
            <wp:extent cx="565785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3716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-1516380</wp:posOffset>
            </wp:positionV>
            <wp:extent cx="565785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3716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-1242060</wp:posOffset>
            </wp:positionV>
            <wp:extent cx="5657850" cy="274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7432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-830580</wp:posOffset>
            </wp:positionV>
            <wp:extent cx="565785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3716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-3316605</wp:posOffset>
            </wp:positionV>
            <wp:extent cx="565785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3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26, 2024</w:t>
            </w:r>
          </w:p>
        </w:tc>
        <w:tc>
          <w:tcPr>
            <w:tcW w:w="98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2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AxS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SCDE</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151,231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151,231</w:t>
            </w:r>
          </w:p>
        </w:tc>
        <w:tc>
          <w:tcPr>
            <w:tcW w:w="0" w:type="dxa"/>
            <w:vAlign w:val="bottom"/>
          </w:tcPr>
          <w:p>
            <w:pPr>
              <w:spacing w:after="0"/>
              <w:rPr>
                <w:sz w:val="1"/>
                <w:szCs w:val="1"/>
                <w:color w:val="auto"/>
              </w:rPr>
            </w:pPr>
          </w:p>
        </w:tc>
      </w:tr>
      <w:tr>
        <w:trPr>
          <w:trHeight w:val="234"/>
        </w:trPr>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37,227</w:t>
            </w:r>
          </w:p>
        </w:tc>
        <w:tc>
          <w:tcPr>
            <w:tcW w:w="0" w:type="dxa"/>
            <w:vAlign w:val="bottom"/>
          </w:tcPr>
          <w:p>
            <w:pPr>
              <w:spacing w:after="0"/>
              <w:rPr>
                <w:sz w:val="1"/>
                <w:szCs w:val="1"/>
                <w:color w:val="auto"/>
              </w:rPr>
            </w:pPr>
          </w:p>
        </w:tc>
      </w:tr>
      <w:tr>
        <w:trPr>
          <w:trHeight w:val="228"/>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188,458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188,458</w:t>
            </w:r>
          </w:p>
        </w:tc>
        <w:tc>
          <w:tcPr>
            <w:tcW w:w="0" w:type="dxa"/>
            <w:vAlign w:val="bottom"/>
          </w:tcPr>
          <w:p>
            <w:pPr>
              <w:spacing w:after="0"/>
              <w:rPr>
                <w:sz w:val="1"/>
                <w:szCs w:val="1"/>
                <w:color w:val="auto"/>
              </w:rPr>
            </w:pPr>
          </w:p>
        </w:tc>
      </w:tr>
      <w:tr>
        <w:trPr>
          <w:trHeight w:val="611"/>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111,099</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111,099</w:t>
            </w:r>
          </w:p>
        </w:tc>
        <w:tc>
          <w:tcPr>
            <w:tcW w:w="0" w:type="dxa"/>
            <w:vAlign w:val="bottom"/>
          </w:tcPr>
          <w:p>
            <w:pPr>
              <w:spacing w:after="0"/>
              <w:rPr>
                <w:sz w:val="1"/>
                <w:szCs w:val="1"/>
                <w:color w:val="auto"/>
              </w:rPr>
            </w:pPr>
          </w:p>
        </w:tc>
      </w:tr>
      <w:tr>
        <w:trPr>
          <w:trHeight w:val="216"/>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0" w:type="dxa"/>
            <w:vAlign w:val="bottom"/>
          </w:tcPr>
          <w:p>
            <w:pPr>
              <w:spacing w:after="0"/>
              <w:rPr>
                <w:sz w:val="1"/>
                <w:szCs w:val="1"/>
                <w:color w:val="auto"/>
              </w:rPr>
            </w:pPr>
          </w:p>
        </w:tc>
      </w:tr>
      <w:tr>
        <w:trPr>
          <w:trHeight w:val="216"/>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36,842</w:t>
            </w:r>
          </w:p>
        </w:tc>
        <w:tc>
          <w:tcPr>
            <w:tcW w:w="0" w:type="dxa"/>
            <w:vAlign w:val="bottom"/>
          </w:tcPr>
          <w:p>
            <w:pPr>
              <w:spacing w:after="0"/>
              <w:rPr>
                <w:sz w:val="1"/>
                <w:szCs w:val="1"/>
                <w:color w:val="auto"/>
              </w:rPr>
            </w:pPr>
          </w:p>
        </w:tc>
      </w:tr>
      <w:tr>
        <w:trPr>
          <w:trHeight w:val="216"/>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34"/>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28,716</w:t>
            </w:r>
          </w:p>
        </w:tc>
        <w:tc>
          <w:tcPr>
            <w:tcW w:w="0" w:type="dxa"/>
            <w:vAlign w:val="bottom"/>
          </w:tcPr>
          <w:p>
            <w:pPr>
              <w:spacing w:after="0"/>
              <w:rPr>
                <w:sz w:val="1"/>
                <w:szCs w:val="1"/>
                <w:color w:val="auto"/>
              </w:rPr>
            </w:pPr>
          </w:p>
        </w:tc>
      </w:tr>
      <w:tr>
        <w:trPr>
          <w:trHeight w:val="414"/>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0" w:type="dxa"/>
            <w:vAlign w:val="bottom"/>
          </w:tcPr>
          <w:p>
            <w:pPr>
              <w:spacing w:after="0"/>
              <w:rPr>
                <w:sz w:val="1"/>
                <w:szCs w:val="1"/>
                <w:color w:val="auto"/>
              </w:rPr>
            </w:pPr>
          </w:p>
        </w:tc>
      </w:tr>
      <w:tr>
        <w:trPr>
          <w:trHeight w:val="216"/>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0" w:type="dxa"/>
            <w:vAlign w:val="bottom"/>
          </w:tcPr>
          <w:p>
            <w:pPr>
              <w:spacing w:after="0"/>
              <w:rPr>
                <w:sz w:val="1"/>
                <w:szCs w:val="1"/>
                <w:color w:val="auto"/>
              </w:rPr>
            </w:pPr>
          </w:p>
        </w:tc>
      </w:tr>
      <w:tr>
        <w:trPr>
          <w:trHeight w:val="234"/>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0" w:type="dxa"/>
            <w:vAlign w:val="bottom"/>
          </w:tcPr>
          <w:p>
            <w:pPr>
              <w:spacing w:after="0"/>
              <w:rPr>
                <w:sz w:val="1"/>
                <w:szCs w:val="1"/>
                <w:color w:val="auto"/>
              </w:rPr>
            </w:pPr>
          </w:p>
        </w:tc>
      </w:tr>
      <w:tr>
        <w:trPr>
          <w:trHeight w:val="414"/>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16"/>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4"/>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0" w:type="dxa"/>
            <w:vAlign w:val="bottom"/>
          </w:tcPr>
          <w:p>
            <w:pPr>
              <w:spacing w:after="0"/>
              <w:rPr>
                <w:sz w:val="1"/>
                <w:szCs w:val="1"/>
                <w:color w:val="auto"/>
              </w:rPr>
            </w:pPr>
          </w:p>
        </w:tc>
      </w:tr>
      <w:tr>
        <w:trPr>
          <w:trHeight w:val="228"/>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25,862</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25,862</w:t>
            </w:r>
          </w:p>
        </w:tc>
        <w:tc>
          <w:tcPr>
            <w:tcW w:w="0" w:type="dxa"/>
            <w:vAlign w:val="bottom"/>
          </w:tcPr>
          <w:p>
            <w:pPr>
              <w:spacing w:after="0"/>
              <w:rPr>
                <w:sz w:val="1"/>
                <w:szCs w:val="1"/>
                <w:color w:val="auto"/>
              </w:rPr>
            </w:pPr>
          </w:p>
        </w:tc>
      </w:tr>
      <w:tr>
        <w:trPr>
          <w:trHeight w:val="335"/>
        </w:trPr>
        <w:tc>
          <w:tcPr>
            <w:tcW w:w="3360" w:type="dxa"/>
            <w:vAlign w:val="bottom"/>
            <w:gridSpan w:val="6"/>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Six Months Ended November 1, 2025</w:t>
            </w:r>
          </w:p>
        </w:tc>
        <w:tc>
          <w:tcPr>
            <w:tcW w:w="98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2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AxS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SCDE</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490,247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148,323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638,570</w:t>
            </w:r>
          </w:p>
        </w:tc>
        <w:tc>
          <w:tcPr>
            <w:tcW w:w="0" w:type="dxa"/>
            <w:vAlign w:val="bottom"/>
          </w:tcPr>
          <w:p>
            <w:pPr>
              <w:spacing w:after="0"/>
              <w:rPr>
                <w:sz w:val="1"/>
                <w:szCs w:val="1"/>
                <w:color w:val="auto"/>
              </w:rPr>
            </w:pPr>
          </w:p>
        </w:tc>
      </w:tr>
      <w:tr>
        <w:trPr>
          <w:trHeight w:val="234"/>
        </w:trPr>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96,651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191,963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288,614</w:t>
            </w:r>
          </w:p>
        </w:tc>
        <w:tc>
          <w:tcPr>
            <w:tcW w:w="0" w:type="dxa"/>
            <w:vAlign w:val="bottom"/>
          </w:tcPr>
          <w:p>
            <w:pPr>
              <w:spacing w:after="0"/>
              <w:rPr>
                <w:sz w:val="1"/>
                <w:szCs w:val="1"/>
                <w:color w:val="auto"/>
              </w:rPr>
            </w:pPr>
          </w:p>
        </w:tc>
      </w:tr>
      <w:tr>
        <w:trPr>
          <w:trHeight w:val="228"/>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586,898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340,286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927,184</w:t>
            </w:r>
          </w:p>
        </w:tc>
        <w:tc>
          <w:tcPr>
            <w:tcW w:w="0" w:type="dxa"/>
            <w:vAlign w:val="bottom"/>
          </w:tcPr>
          <w:p>
            <w:pPr>
              <w:spacing w:after="0"/>
              <w:rPr>
                <w:sz w:val="1"/>
                <w:szCs w:val="1"/>
                <w:color w:val="auto"/>
              </w:rPr>
            </w:pPr>
          </w:p>
        </w:tc>
      </w:tr>
      <w:tr>
        <w:trPr>
          <w:trHeight w:val="611"/>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365,694</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300,642</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666,336</w:t>
            </w:r>
          </w:p>
        </w:tc>
        <w:tc>
          <w:tcPr>
            <w:tcW w:w="0" w:type="dxa"/>
            <w:vAlign w:val="bottom"/>
          </w:tcPr>
          <w:p>
            <w:pPr>
              <w:spacing w:after="0"/>
              <w:rPr>
                <w:sz w:val="1"/>
                <w:szCs w:val="1"/>
                <w:color w:val="auto"/>
              </w:rPr>
            </w:pPr>
          </w:p>
        </w:tc>
      </w:tr>
      <w:tr>
        <w:trPr>
          <w:trHeight w:val="216"/>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61,625</w:t>
            </w:r>
          </w:p>
        </w:tc>
        <w:tc>
          <w:tcPr>
            <w:tcW w:w="0" w:type="dxa"/>
            <w:vAlign w:val="bottom"/>
          </w:tcPr>
          <w:p>
            <w:pPr>
              <w:spacing w:after="0"/>
              <w:rPr>
                <w:sz w:val="1"/>
                <w:szCs w:val="1"/>
                <w:color w:val="auto"/>
              </w:rPr>
            </w:pPr>
          </w:p>
        </w:tc>
      </w:tr>
      <w:tr>
        <w:trPr>
          <w:trHeight w:val="216"/>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103,249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60,107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163,356</w:t>
            </w:r>
          </w:p>
        </w:tc>
        <w:tc>
          <w:tcPr>
            <w:tcW w:w="0" w:type="dxa"/>
            <w:vAlign w:val="bottom"/>
          </w:tcPr>
          <w:p>
            <w:pPr>
              <w:spacing w:after="0"/>
              <w:rPr>
                <w:sz w:val="1"/>
                <w:szCs w:val="1"/>
                <w:color w:val="auto"/>
              </w:rPr>
            </w:pPr>
          </w:p>
        </w:tc>
      </w:tr>
      <w:tr>
        <w:trPr>
          <w:trHeight w:val="216"/>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66,256</w:t>
            </w:r>
          </w:p>
        </w:tc>
        <w:tc>
          <w:tcPr>
            <w:tcW w:w="0" w:type="dxa"/>
            <w:vAlign w:val="bottom"/>
          </w:tcPr>
          <w:p>
            <w:pPr>
              <w:spacing w:after="0"/>
              <w:rPr>
                <w:sz w:val="1"/>
                <w:szCs w:val="1"/>
                <w:color w:val="auto"/>
              </w:rPr>
            </w:pPr>
          </w:p>
        </w:tc>
      </w:tr>
      <w:tr>
        <w:trPr>
          <w:trHeight w:val="234"/>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69,107</w:t>
            </w:r>
          </w:p>
        </w:tc>
        <w:tc>
          <w:tcPr>
            <w:tcW w:w="0" w:type="dxa"/>
            <w:vAlign w:val="bottom"/>
          </w:tcPr>
          <w:p>
            <w:pPr>
              <w:spacing w:after="0"/>
              <w:rPr>
                <w:sz w:val="1"/>
                <w:szCs w:val="1"/>
                <w:color w:val="auto"/>
              </w:rPr>
            </w:pPr>
          </w:p>
        </w:tc>
      </w:tr>
      <w:tr>
        <w:trPr>
          <w:trHeight w:val="414"/>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14,473</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20,446</w:t>
            </w:r>
          </w:p>
        </w:tc>
        <w:tc>
          <w:tcPr>
            <w:tcW w:w="0" w:type="dxa"/>
            <w:vAlign w:val="bottom"/>
          </w:tcPr>
          <w:p>
            <w:pPr>
              <w:spacing w:after="0"/>
              <w:rPr>
                <w:sz w:val="1"/>
                <w:szCs w:val="1"/>
                <w:color w:val="auto"/>
              </w:rPr>
            </w:pPr>
          </w:p>
        </w:tc>
      </w:tr>
      <w:tr>
        <w:trPr>
          <w:trHeight w:val="216"/>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74,002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127,881</w:t>
            </w:r>
          </w:p>
        </w:tc>
        <w:tc>
          <w:tcPr>
            <w:tcW w:w="0" w:type="dxa"/>
            <w:vAlign w:val="bottom"/>
          </w:tcPr>
          <w:p>
            <w:pPr>
              <w:spacing w:after="0"/>
              <w:rPr>
                <w:sz w:val="1"/>
                <w:szCs w:val="1"/>
                <w:color w:val="auto"/>
              </w:rPr>
            </w:pPr>
          </w:p>
        </w:tc>
      </w:tr>
      <w:tr>
        <w:trPr>
          <w:trHeight w:val="234"/>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31,985</w:t>
            </w:r>
          </w:p>
        </w:tc>
        <w:tc>
          <w:tcPr>
            <w:tcW w:w="0" w:type="dxa"/>
            <w:vAlign w:val="bottom"/>
          </w:tcPr>
          <w:p>
            <w:pPr>
              <w:spacing w:after="0"/>
              <w:rPr>
                <w:sz w:val="1"/>
                <w:szCs w:val="1"/>
                <w:color w:val="auto"/>
              </w:rPr>
            </w:pPr>
          </w:p>
        </w:tc>
      </w:tr>
      <w:tr>
        <w:trPr>
          <w:trHeight w:val="414"/>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0" w:type="dxa"/>
            <w:vAlign w:val="bottom"/>
          </w:tcPr>
          <w:p>
            <w:pPr>
              <w:spacing w:after="0"/>
              <w:rPr>
                <w:sz w:val="1"/>
                <w:szCs w:val="1"/>
                <w:color w:val="auto"/>
              </w:rPr>
            </w:pPr>
          </w:p>
        </w:tc>
      </w:tr>
      <w:tr>
        <w:trPr>
          <w:trHeight w:val="216"/>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0" w:type="dxa"/>
            <w:vAlign w:val="bottom"/>
          </w:tcPr>
          <w:p>
            <w:pPr>
              <w:spacing w:after="0"/>
              <w:rPr>
                <w:sz w:val="1"/>
                <w:szCs w:val="1"/>
                <w:color w:val="auto"/>
              </w:rPr>
            </w:pPr>
          </w:p>
        </w:tc>
      </w:tr>
      <w:tr>
        <w:trPr>
          <w:trHeight w:val="234"/>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14,433</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19,995</w:t>
            </w:r>
          </w:p>
        </w:tc>
        <w:tc>
          <w:tcPr>
            <w:tcW w:w="0" w:type="dxa"/>
            <w:vAlign w:val="bottom"/>
          </w:tcPr>
          <w:p>
            <w:pPr>
              <w:spacing w:after="0"/>
              <w:rPr>
                <w:sz w:val="1"/>
                <w:szCs w:val="1"/>
                <w:color w:val="auto"/>
              </w:rPr>
            </w:pPr>
          </w:p>
        </w:tc>
      </w:tr>
      <w:tr>
        <w:trPr>
          <w:trHeight w:val="228"/>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103,831</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-3260090</wp:posOffset>
            </wp:positionV>
            <wp:extent cx="9175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17575" cy="825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-156845</wp:posOffset>
            </wp:positionV>
            <wp:extent cx="9175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ectPr>
          <w:pgSz w:w="11900" w:h="16838" w:orient="portrait"/>
          <w:cols w:equalWidth="0" w:num="2">
            <w:col w:w="4600" w:space="20"/>
            <w:col w:w="4399"/>
          </w:cols>
          <w:pgMar w:left="1440" w:top="513" w:right="1440" w:bottom="1440" w:gutter="0" w:footer="0" w:header="0"/>
          <w:type w:val="continuous"/>
        </w:sectPr>
      </w:pPr>
    </w:p>
    <w:bookmarkStart w:id="29" w:name="page30"/>
    <w:bookmarkEnd w:id="2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360" w:type="dxa"/>
            <w:vAlign w:val="bottom"/>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Six Months Ended October 26, 2024</w:t>
            </w:r>
          </w:p>
        </w:tc>
        <w:tc>
          <w:tcPr>
            <w:tcW w:w="98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16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AxS</w:t>
            </w:r>
          </w:p>
        </w:tc>
        <w:tc>
          <w:tcPr>
            <w:tcW w:w="2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SCDE</w:t>
            </w:r>
          </w:p>
        </w:tc>
        <w:tc>
          <w:tcPr>
            <w:tcW w:w="2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310,735</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310,735</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services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67,206</w:t>
            </w:r>
          </w:p>
        </w:tc>
        <w:tc>
          <w:tcPr>
            <w:tcW w:w="0" w:type="dxa"/>
            <w:vAlign w:val="bottom"/>
          </w:tcPr>
          <w:p>
            <w:pPr>
              <w:spacing w:after="0"/>
              <w:rPr>
                <w:sz w:val="1"/>
                <w:szCs w:val="1"/>
                <w:color w:val="auto"/>
              </w:rPr>
            </w:pPr>
          </w:p>
        </w:tc>
      </w:tr>
      <w:tr>
        <w:trPr>
          <w:trHeight w:val="210"/>
        </w:trPr>
        <w:tc>
          <w:tcPr>
            <w:tcW w:w="4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377,941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377,941</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6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Cost of sales less intangible amortization and other</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215,403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215,403</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amortization included in cost of sales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7,433</w:t>
            </w:r>
          </w:p>
        </w:tc>
        <w:tc>
          <w:tcPr>
            <w:tcW w:w="0" w:type="dxa"/>
            <w:vAlign w:val="bottom"/>
          </w:tcPr>
          <w:p>
            <w:pPr>
              <w:spacing w:after="0"/>
              <w:rPr>
                <w:sz w:val="1"/>
                <w:szCs w:val="1"/>
                <w:color w:val="auto"/>
              </w:rPr>
            </w:pPr>
          </w:p>
        </w:tc>
      </w:tr>
      <w:tr>
        <w:trPr>
          <w:trHeight w:val="216"/>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SG&amp;A less intangible amortization</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69,575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69,575</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amortization included in SG&amp;A</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0" w:type="dxa"/>
            <w:vAlign w:val="bottom"/>
          </w:tcPr>
          <w:p>
            <w:pPr>
              <w:spacing w:after="0"/>
              <w:rPr>
                <w:sz w:val="1"/>
                <w:szCs w:val="1"/>
                <w:color w:val="auto"/>
              </w:rPr>
            </w:pPr>
          </w:p>
        </w:tc>
      </w:tr>
      <w:tr>
        <w:trPr>
          <w:trHeight w:val="216"/>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53,329</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8,285</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9,569</w:t>
            </w:r>
          </w:p>
        </w:tc>
        <w:tc>
          <w:tcPr>
            <w:tcW w:w="0" w:type="dxa"/>
            <w:vAlign w:val="bottom"/>
          </w:tcPr>
          <w:p>
            <w:pPr>
              <w:spacing w:after="0"/>
              <w:rPr>
                <w:sz w:val="1"/>
                <w:szCs w:val="1"/>
                <w:color w:val="auto"/>
              </w:rPr>
            </w:pPr>
          </w:p>
        </w:tc>
      </w:tr>
      <w:tr>
        <w:trPr>
          <w:trHeight w:val="216"/>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0" w:type="dxa"/>
            <w:vAlign w:val="bottom"/>
          </w:tcPr>
          <w:p>
            <w:pPr>
              <w:spacing w:after="0"/>
              <w:rPr>
                <w:sz w:val="1"/>
                <w:szCs w:val="1"/>
                <w:color w:val="auto"/>
              </w:rPr>
            </w:pPr>
          </w:p>
        </w:tc>
      </w:tr>
      <w:tr>
        <w:trPr>
          <w:trHeight w:val="198"/>
        </w:trPr>
        <w:tc>
          <w:tcPr>
            <w:tcW w:w="416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Amortization of cloud computing arrangement</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implementation</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0" w:type="dxa"/>
            <w:vAlign w:val="bottom"/>
          </w:tcPr>
          <w:p>
            <w:pPr>
              <w:spacing w:after="0"/>
              <w:rPr>
                <w:sz w:val="1"/>
                <w:szCs w:val="1"/>
                <w:color w:val="auto"/>
              </w:rPr>
            </w:pPr>
          </w:p>
        </w:tc>
      </w:tr>
      <w:tr>
        <w:trPr>
          <w:trHeight w:val="216"/>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10,137</w:t>
            </w:r>
          </w:p>
        </w:tc>
        <w:tc>
          <w:tcPr>
            <w:tcW w:w="0" w:type="dxa"/>
            <w:vAlign w:val="bottom"/>
          </w:tcPr>
          <w:p>
            <w:pPr>
              <w:spacing w:after="0"/>
              <w:rPr>
                <w:sz w:val="1"/>
                <w:szCs w:val="1"/>
                <w:color w:val="auto"/>
              </w:rPr>
            </w:pPr>
          </w:p>
        </w:tc>
      </w:tr>
      <w:tr>
        <w:trPr>
          <w:trHeight w:val="228"/>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63,050</w:t>
            </w:r>
          </w:p>
        </w:tc>
        <w:tc>
          <w:tcPr>
            <w:tcW w:w="0" w:type="dxa"/>
            <w:vAlign w:val="bottom"/>
          </w:tcPr>
          <w:p>
            <w:pPr>
              <w:spacing w:after="0"/>
              <w:rPr>
                <w:sz w:val="1"/>
                <w:szCs w:val="1"/>
                <w:color w:val="auto"/>
              </w:rPr>
            </w:pPr>
          </w:p>
        </w:tc>
      </w:tr>
    </w:tbl>
    <w:p>
      <w:pPr>
        <w:spacing w:after="0" w:line="395" w:lineRule="exact"/>
        <w:rPr>
          <w:sz w:val="20"/>
          <w:szCs w:val="20"/>
          <w:color w:val="auto"/>
        </w:rPr>
      </w:pPr>
    </w:p>
    <w:p>
      <w:pPr>
        <w:ind w:left="40" w:right="439"/>
        <w:spacing w:after="0" w:line="282" w:lineRule="auto"/>
        <w:rPr>
          <w:sz w:val="20"/>
          <w:szCs w:val="20"/>
          <w:color w:val="auto"/>
        </w:rPr>
      </w:pPr>
      <w:r>
        <w:rPr>
          <w:rFonts w:ascii="Times New Roman" w:cs="Times New Roman" w:eastAsia="Times New Roman" w:hAnsi="Times New Roman"/>
          <w:sz w:val="18"/>
          <w:szCs w:val="18"/>
          <w:color w:val="auto"/>
        </w:rPr>
        <w:t>The following table (in thousands) provides a reconciliation from segment adjusted EBITDA to income before income taxes: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24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Six Months Ended</w:t>
            </w:r>
          </w:p>
        </w:tc>
        <w:tc>
          <w:tcPr>
            <w:tcW w:w="16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27"/>
        </w:trPr>
        <w:tc>
          <w:tcPr>
            <w:tcW w:w="3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1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October 26,</w:t>
            </w:r>
          </w:p>
        </w:tc>
      </w:tr>
      <w:tr>
        <w:trPr>
          <w:trHeight w:val="213"/>
        </w:trPr>
        <w:tc>
          <w:tcPr>
            <w:tcW w:w="36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63,050</w:t>
            </w:r>
          </w:p>
        </w:tc>
      </w:tr>
      <w:tr>
        <w:trPr>
          <w:trHeight w:val="230"/>
        </w:trPr>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(58,075)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(148,327)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(17,854)</w:t>
            </w:r>
          </w:p>
        </w:tc>
      </w:tr>
      <w:tr>
        <w:trPr>
          <w:trHeight w:val="230"/>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r>
      <w:tr>
        <w:trPr>
          <w:trHeight w:val="198"/>
        </w:trPr>
        <w:tc>
          <w:tcPr>
            <w:tcW w:w="366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Amortization of cloud computing</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4"/>
        </w:trPr>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arrangement implementation</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r>
      <w:tr>
        <w:trPr>
          <w:trHeight w:val="229"/>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(10,137)</w:t>
            </w:r>
          </w:p>
        </w:tc>
      </w:tr>
      <w:tr>
        <w:trPr>
          <w:trHeight w:val="230"/>
        </w:trPr>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securities investments activity, net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30"/>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(12,746)</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r>
      <w:tr>
        <w:trPr>
          <w:trHeight w:val="22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(20,604)</w:t>
            </w:r>
          </w:p>
        </w:tc>
        <w:tc>
          <w:tcPr>
            <w:tcW w:w="1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(104,930)</w:t>
            </w:r>
          </w:p>
        </w:tc>
        <w:tc>
          <w:tcPr>
            <w:tcW w:w="1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28,918</w:t>
            </w:r>
          </w:p>
        </w:tc>
      </w:tr>
    </w:tbl>
    <w:p>
      <w:pPr>
        <w:spacing w:after="0" w:line="179" w:lineRule="exact"/>
        <w:rPr>
          <w:sz w:val="20"/>
          <w:szCs w:val="20"/>
          <w:color w:val="auto"/>
        </w:rPr>
      </w:pPr>
    </w:p>
    <w:p>
      <w:pPr>
        <w:ind w:left="40" w:right="99"/>
        <w:spacing w:after="0" w:line="266" w:lineRule="auto"/>
        <w:rPr>
          <w:sz w:val="20"/>
          <w:szCs w:val="20"/>
          <w:color w:val="auto"/>
        </w:rPr>
      </w:pPr>
      <w:r>
        <w:rPr>
          <w:rFonts w:ascii="Times New Roman" w:cs="Times New Roman" w:eastAsia="Times New Roman" w:hAnsi="Times New Roman"/>
          <w:sz w:val="18"/>
          <w:szCs w:val="18"/>
          <w:color w:val="auto"/>
        </w:rPr>
        <w:t>Identifiable segment assets are summarized in the table below. Corporate assets primarily consist of cash and cash equivalents, prepaid expenses and other current assets, long-term investments, property and equipment, net, operating lease right-of-use assets, deferred income taxes and other assets managed centrally on behalf of the business segments.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82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AxS</w:t>
            </w: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SCDE</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November 1, 2025</w:t>
            </w: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2,292,790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2,315,038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1,030,638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5,638,466</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As of April 30, 2025</w:t>
            </w:r>
          </w:p>
        </w:tc>
        <w:tc>
          <w:tcPr>
            <w:tcW w:w="13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872,530</w:t>
            </w:r>
          </w:p>
        </w:tc>
        <w:tc>
          <w:tcPr>
            <w:tcW w:w="4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248,037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1,120,567</w:t>
            </w:r>
          </w:p>
        </w:tc>
      </w:tr>
    </w:tbl>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Capital expenditures are summarized in the table below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30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AxS</w:t>
            </w: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SCDE</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Six Months Ended November 1, 2025</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46,803</w:t>
            </w: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Six Months Ended October 26, 2024</w:t>
            </w:r>
          </w:p>
        </w:tc>
        <w:tc>
          <w:tcPr>
            <w:tcW w:w="8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8,915</w:t>
            </w:r>
          </w:p>
        </w:tc>
        <w:tc>
          <w:tcPr>
            <w:tcW w:w="4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10,447</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900" w:right="339" w:hanging="849"/>
        <w:spacing w:after="0" w:line="286"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59" w:lineRule="exact"/>
        <w:rPr>
          <w:sz w:val="20"/>
          <w:szCs w:val="20"/>
          <w:color w:val="auto"/>
        </w:rPr>
      </w:pPr>
    </w:p>
    <w:p>
      <w:pPr>
        <w:ind w:left="40" w:right="119"/>
        <w:spacing w:after="0" w:line="253" w:lineRule="auto"/>
        <w:rPr>
          <w:sz w:val="20"/>
          <w:szCs w:val="20"/>
          <w:color w:val="auto"/>
        </w:rPr>
      </w:pPr>
      <w:r>
        <w:rPr>
          <w:rFonts w:ascii="Times New Roman" w:cs="Times New Roman" w:eastAsia="Times New Roman" w:hAnsi="Times New Roman"/>
          <w:sz w:val="18"/>
          <w:szCs w:val="18"/>
          <w:color w:val="auto"/>
        </w:rPr>
        <w:t>The following is a discussion and analysis of our financial condition and the results of operations as of and for the periods presented below. The following discussion and analysis should be read in conjunction with the “Condensed Consolidated Financial Statements” and notes thereto included elsewhere in this Quarterly Report on Form 10-Q. This section and other parts of this Quarterly Report on Form 10-Q contain forward-looking statements that involve risks and uncertainties. In some cases, forward-looking statements can be identified by words such as “anticipates,” “believes,” “could,” “estimates,” “expects,” “intends,” “may,” “plans,” “potential,” “predicts,” “projects,” “should,” “will,” “would” or similar expressions. Such forward-looking statements are based on current expectations, estimates and projections about our industry, our management’s beliefs and assumptions made by our management. Forward-looking statements are not guarantees of future performance and our actual results may differ significantly from the results discussed in the forward-looking statements. Factors that might cause such differences include, but are not limited to, those discussed in Part I, Item 1A, “Risk Factors” in our Annual Report on Form 10-K for the fiscal year ended April 30, 2025, as updated by our subsequent filings under the Securities and Exchange Act of 1934, as amended (the “Exchange Act”).</w:t>
      </w:r>
    </w:p>
    <w:p>
      <w:pPr>
        <w:spacing w:after="0" w:line="190" w:lineRule="exact"/>
        <w:rPr>
          <w:sz w:val="20"/>
          <w:szCs w:val="20"/>
          <w:color w:val="auto"/>
        </w:rPr>
      </w:pPr>
    </w:p>
    <w:p>
      <w:pPr>
        <w:ind w:left="40" w:right="219"/>
        <w:spacing w:after="0" w:line="282" w:lineRule="auto"/>
        <w:rPr>
          <w:sz w:val="20"/>
          <w:szCs w:val="20"/>
          <w:color w:val="auto"/>
        </w:rPr>
      </w:pPr>
      <w:r>
        <w:rPr>
          <w:rFonts w:ascii="Times New Roman" w:cs="Times New Roman" w:eastAsia="Times New Roman" w:hAnsi="Times New Roman"/>
          <w:sz w:val="18"/>
          <w:szCs w:val="18"/>
          <w:color w:val="auto"/>
        </w:rPr>
        <w:t>Unless required by law, we expressly disclaim any obligation to update publicly any forward-looking statements, whether as result of new information, future events or otherwise.</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40" w:right="519"/>
        <w:spacing w:after="0" w:line="282" w:lineRule="auto"/>
        <w:rPr>
          <w:sz w:val="20"/>
          <w:szCs w:val="20"/>
          <w:color w:val="auto"/>
        </w:rPr>
      </w:pPr>
      <w:r>
        <w:rPr>
          <w:rFonts w:ascii="Times New Roman" w:cs="Times New Roman" w:eastAsia="Times New Roman" w:hAnsi="Times New Roman"/>
          <w:sz w:val="18"/>
          <w:szCs w:val="18"/>
          <w:color w:val="auto"/>
        </w:rPr>
        <w:t>The following should be read in conjunction with the critical accounting estimates presented in our Annual Report on Form 10-K for the fiscal year ended April 30, 2025.</w:t>
      </w:r>
    </w:p>
    <w:p>
      <w:pPr>
        <w:spacing w:after="0" w:line="162"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discusses our condensed consolidated financial statements, which have been prepared in accordance with accounting principles generally accepted in the United States. When we prepare these condensed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inventory reserves for excess and obsolescence, intangible assets acquired in a business combination, goodwill,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8"/>
          <w:szCs w:val="18"/>
          <w:color w:val="auto"/>
        </w:rPr>
        <w:t>Adjustments to original estimates for a contract’s revenue, estimated costs at completion and estimated profit or loss are often required as work progresses under a contract, as experience is gained and as more information is obtained, even though the scope of work required under the contract may not change, or if contract modifications, including the finalization of undefinitized contract actions, occur. The impact of revisions in estimate of completion and variable consideration for all types of contracts are recognized on a cumulative catch-up basis in the period in which the revisions are made. Changes in variable consideration associated with the finalization of undefinitized contract actions could result in cumulative catch up adjustments to revenue that could be material. During the three and six months ended November 1, 2025 and October 26, 2024, changes in accounting estimates on contracts recognized using the over time method are presented below. Amounts representing contract change orders or claims are included in revenue if the order or claim meets the criteria of a contract or contract modification in accordance with ASU 2014-09, Revenue from Contracts with Customers (“ASC 606”).</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19"/>
        <w:spacing w:after="0" w:line="282" w:lineRule="auto"/>
        <w:rPr>
          <w:sz w:val="20"/>
          <w:szCs w:val="20"/>
          <w:color w:val="auto"/>
        </w:rPr>
      </w:pPr>
      <w:r>
        <w:rPr>
          <w:rFonts w:ascii="Times New Roman" w:cs="Times New Roman" w:eastAsia="Times New Roman" w:hAnsi="Times New Roman"/>
          <w:sz w:val="18"/>
          <w:szCs w:val="18"/>
          <w:color w:val="auto"/>
        </w:rPr>
        <w:t>For the three months ended November 1, 2025 and October 26, 2024, favorable and unfavorable cumulative catch-up adjustments included in revenue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94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October 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favorable adjustments</w:t>
            </w:r>
          </w:p>
        </w:tc>
        <w:tc>
          <w:tcPr>
            <w:tcW w:w="21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unfavorable adjustments</w:t>
            </w:r>
          </w:p>
        </w:tc>
        <w:tc>
          <w:tcPr>
            <w:tcW w:w="19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(6,311)</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(unfavorable) favorable adjustments</w:t>
            </w:r>
          </w:p>
        </w:tc>
        <w:tc>
          <w:tcPr>
            <w:tcW w:w="1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79"/>
        <w:spacing w:after="0" w:line="261" w:lineRule="auto"/>
        <w:rPr>
          <w:sz w:val="20"/>
          <w:szCs w:val="20"/>
          <w:color w:val="auto"/>
        </w:rPr>
      </w:pPr>
      <w:r>
        <w:rPr>
          <w:rFonts w:ascii="Times New Roman" w:cs="Times New Roman" w:eastAsia="Times New Roman" w:hAnsi="Times New Roman"/>
          <w:sz w:val="18"/>
          <w:szCs w:val="18"/>
          <w:color w:val="auto"/>
        </w:rPr>
        <w:t>For the three months ended November 1, 2025, favorable cumulative catch-up adjustments of $3.0 million were primarily due to cost adjustments on 13 contracts, which individually were not material. For the same period, unfavorable cumulative catch-up adjustments of $6.3 million were primarily related to higher than expected costs on 19 contracts, which individually were not material.</w:t>
      </w:r>
    </w:p>
    <w:p>
      <w:pPr>
        <w:spacing w:after="0" w:line="180" w:lineRule="exact"/>
        <w:rPr>
          <w:sz w:val="20"/>
          <w:szCs w:val="20"/>
          <w:color w:val="auto"/>
        </w:rPr>
      </w:pPr>
    </w:p>
    <w:p>
      <w:pPr>
        <w:ind w:left="40" w:right="179"/>
        <w:spacing w:after="0" w:line="256" w:lineRule="auto"/>
        <w:rPr>
          <w:sz w:val="20"/>
          <w:szCs w:val="20"/>
          <w:color w:val="auto"/>
        </w:rPr>
      </w:pPr>
      <w:r>
        <w:rPr>
          <w:rFonts w:ascii="Times New Roman" w:cs="Times New Roman" w:eastAsia="Times New Roman" w:hAnsi="Times New Roman"/>
          <w:sz w:val="18"/>
          <w:szCs w:val="18"/>
          <w:color w:val="auto"/>
        </w:rPr>
        <w:t>For the three months ended October 26, 2024, favorable cumulative catch-up adjustments of $8.9 million were primarily due to final cost adjustments on five contracts. During the three months ended October 26, 2024, we definitized certain Loitering Munitions Systems (“LMS”) undefinitized contract actions. The aggregate impact of these cumulative catch-up revenue adjustments for the contract definitization was an increase to revenue of approximately $9.9 million. The remaining adjustments individually were not material. For the same period, unfavorable cumulative catch-up adjustments of $1.9 million were primarily related to higher than expected costs on 26 contracts, which were not individually material.</w:t>
      </w:r>
    </w:p>
    <w:p>
      <w:pPr>
        <w:spacing w:after="0" w:line="187" w:lineRule="exact"/>
        <w:rPr>
          <w:sz w:val="20"/>
          <w:szCs w:val="20"/>
          <w:color w:val="auto"/>
        </w:rPr>
      </w:pPr>
    </w:p>
    <w:p>
      <w:pPr>
        <w:ind w:left="40" w:right="679"/>
        <w:spacing w:after="0" w:line="282" w:lineRule="auto"/>
        <w:rPr>
          <w:sz w:val="20"/>
          <w:szCs w:val="20"/>
          <w:color w:val="auto"/>
        </w:rPr>
      </w:pPr>
      <w:r>
        <w:rPr>
          <w:rFonts w:ascii="Times New Roman" w:cs="Times New Roman" w:eastAsia="Times New Roman" w:hAnsi="Times New Roman"/>
          <w:sz w:val="18"/>
          <w:szCs w:val="18"/>
          <w:color w:val="auto"/>
        </w:rPr>
        <w:t>For the six months ended November 1, 2025 and October 26, 2024, favorable and unfavorable cumulative catch-up adjustments included in revenue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94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October 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favorable adjustments</w:t>
            </w:r>
          </w:p>
        </w:tc>
        <w:tc>
          <w:tcPr>
            <w:tcW w:w="21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unfavorable adjustments</w:t>
            </w:r>
          </w:p>
        </w:tc>
        <w:tc>
          <w:tcPr>
            <w:tcW w:w="19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favorable (unfavorable) adjustments</w:t>
            </w:r>
          </w:p>
        </w:tc>
        <w:tc>
          <w:tcPr>
            <w:tcW w:w="1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(8,331)</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79"/>
        <w:spacing w:after="0" w:line="261" w:lineRule="auto"/>
        <w:rPr>
          <w:sz w:val="20"/>
          <w:szCs w:val="20"/>
          <w:color w:val="auto"/>
        </w:rPr>
      </w:pPr>
      <w:r>
        <w:rPr>
          <w:rFonts w:ascii="Times New Roman" w:cs="Times New Roman" w:eastAsia="Times New Roman" w:hAnsi="Times New Roman"/>
          <w:sz w:val="18"/>
          <w:szCs w:val="18"/>
          <w:color w:val="auto"/>
        </w:rPr>
        <w:t>For the six months ended November 1, 2025, favorable cumulative catch-up adjustments of $2.2 million were primarily due to cost adjustments on 19 contracts, which individually were not material. For the same period, unfavorable cumulative catch-up adjustments of $10.5 million were primarily related to higher than expected costs on 17 contracts, which individually were not material.</w:t>
      </w:r>
    </w:p>
    <w:p>
      <w:pPr>
        <w:spacing w:after="0" w:line="180" w:lineRule="exact"/>
        <w:rPr>
          <w:sz w:val="20"/>
          <w:szCs w:val="20"/>
          <w:color w:val="auto"/>
        </w:rPr>
      </w:pPr>
    </w:p>
    <w:p>
      <w:pPr>
        <w:ind w:left="40" w:right="119"/>
        <w:spacing w:after="0" w:line="256" w:lineRule="auto"/>
        <w:rPr>
          <w:sz w:val="20"/>
          <w:szCs w:val="20"/>
          <w:color w:val="auto"/>
        </w:rPr>
      </w:pPr>
      <w:r>
        <w:rPr>
          <w:rFonts w:ascii="Times New Roman" w:cs="Times New Roman" w:eastAsia="Times New Roman" w:hAnsi="Times New Roman"/>
          <w:sz w:val="18"/>
          <w:szCs w:val="18"/>
          <w:color w:val="auto"/>
        </w:rPr>
        <w:t>For the six months ended October 26, 2024, favorable cumulative catch-up adjustments of $10.3 million were primarily due to final cost adjustments on four contracts. During the six months ended October 26, 2024, we definitized certain LMS undefinitized contract actions. The aggregate impact of these cumulative catch-up revenue adjustments for the contract definitization was an increase to revenue of approximately $9.9 million. The remaining adjustments individually were not material. For the same period, unfavorable cumulative catch-up adjustments of $1.7 million were primarily related to higher than expected costs on 26 contracts, which were not individually material.</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ind w:left="40" w:right="199"/>
        <w:spacing w:after="0" w:line="258" w:lineRule="auto"/>
        <w:rPr>
          <w:sz w:val="20"/>
          <w:szCs w:val="20"/>
          <w:color w:val="auto"/>
        </w:rPr>
      </w:pPr>
      <w:r>
        <w:rPr>
          <w:rFonts w:ascii="Times New Roman" w:cs="Times New Roman" w:eastAsia="Times New Roman" w:hAnsi="Times New Roman"/>
          <w:sz w:val="18"/>
          <w:szCs w:val="18"/>
          <w:color w:val="auto"/>
        </w:rPr>
        <w:t>Goodwill represents the excess of the cost of an acquired entity over the fair value of the acquired net assets. We test goodwill for impairment annually during the fourth quarter of our fiscal year or when events or circumstances change in a manner that indicates goodwill might be impaired. Events or circumstances that could trigger an impairment review include, but are not limited to, a significant adverse change in legal factors or in the business or political climate, an adverse action or assessment by a regulator, unanticipated competition, a loss of key personnel, significant changes in the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99"/>
        <w:spacing w:after="0" w:line="282" w:lineRule="auto"/>
        <w:rPr>
          <w:sz w:val="20"/>
          <w:szCs w:val="20"/>
          <w:color w:val="auto"/>
        </w:rPr>
      </w:pPr>
      <w:r>
        <w:rPr>
          <w:rFonts w:ascii="Times New Roman" w:cs="Times New Roman" w:eastAsia="Times New Roman" w:hAnsi="Times New Roman"/>
          <w:sz w:val="18"/>
          <w:szCs w:val="18"/>
          <w:color w:val="auto"/>
        </w:rPr>
        <w:t>manner of our use of the acquired assets or the strategy for our overall business, significant negative industry or economic trends or significant underperformance relative to projected future results of operations.</w:t>
      </w:r>
    </w:p>
    <w:p>
      <w:pPr>
        <w:spacing w:after="0" w:line="162"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8"/>
          <w:szCs w:val="18"/>
          <w:color w:val="auto"/>
        </w:rPr>
        <w:t>Our evaluation of goodwill for impairment involves the comparison of the fair value of each reporting unit to its carrying value. For the impairment test, we first assess qualitative factors, macroeconomic conditions, industry and market considerations, triggering events, cost factors, and overall financial performance, to determine whether it is necessary to perform a quantitative goodwill impairment test. Alternatively, we may bypass the qualitative assessment for some or all of our reporting units and apply the quantitative impairment test. If determined to be necessary, the quantitative impairment test shall be used to identify goodwill impairment and measure the amount of a goodwill impairment loss to be recognized (if any). For the quantitative impairment test, we estimate the fair value by weighting the results from the income approach and the market approach. These valuation approaches consider a number of factors that include, but are not limited to, prospective financial information, growth rates, terminal value, discount rates, and comparable multiples from publicly traded companies in our industry and require us to make certain assumptions and estimates regarding industry economic factors and future profitability of our business.</w:t>
      </w:r>
    </w:p>
    <w:p>
      <w:pPr>
        <w:spacing w:after="0" w:line="192"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8"/>
          <w:szCs w:val="18"/>
          <w:color w:val="auto"/>
        </w:rPr>
        <w:t>As part of our annual goodwill impairment and identifiable asset test during the fiscal quarter ended April 30, 2025, we determined the carrying value of the Unmanned Ground Vehicles (“UGV”) reporting unit exceeded its fair value due to a decrease in forecasted results of the UGV reporting unit resulting from reduced probability and delays of obtaining certain opportunities as well as an increase in forecast expenditures to support operational decisions identified during the fiscal quarter ended April 30, 2025. These changes in estimates resulted in the recognition of a goodwill impairment charge of $18.4 million during the three months ended April 30, 2025 in the UGV reporting unit. We determined that it was more likely than not that the fair values of our other reporting units were more than their carrying values as of the annual goodwill impairment test date. As such, during the most recent annual impairment test during the fourth quarter of fiscal year 2025, the estimated fair value of all reporting units, other than UGV, substantially exceeded their carrying value. As of November 1, 2025, we have not identified any events or circumstances that could trigger an impairment review prior to the Company’s annual impairment test, including taking into account the reporting units identified from the BlueHalo acquisition on May 1, 2025.</w:t>
      </w:r>
    </w:p>
    <w:p>
      <w:pPr>
        <w:spacing w:after="0" w:line="190"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8"/>
          <w:szCs w:val="18"/>
          <w:color w:val="auto"/>
        </w:rPr>
        <w:t>The estimates and assumptions used to determine the fair value of our reporting units are highly subjective in nature. Actual results can be materially different from the estimates and assumptions. If actual market conditions are less favorable than those projected by the industry or by us, or if events occur or circumstances change that would reduce the estimated fair value of our indefinite-lived intangible assets below the carrying amounts, we could recognize future impairment charges, the amount of which could be material.</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Fiscal Periods</w:t>
      </w:r>
    </w:p>
    <w:p>
      <w:pPr>
        <w:spacing w:after="0" w:line="229" w:lineRule="exact"/>
        <w:rPr>
          <w:sz w:val="20"/>
          <w:szCs w:val="20"/>
          <w:color w:val="auto"/>
        </w:rPr>
      </w:pPr>
    </w:p>
    <w:p>
      <w:pPr>
        <w:ind w:left="40" w:right="139"/>
        <w:spacing w:after="0" w:line="261" w:lineRule="auto"/>
        <w:rPr>
          <w:sz w:val="20"/>
          <w:szCs w:val="20"/>
          <w:color w:val="auto"/>
        </w:rPr>
      </w:pPr>
      <w:r>
        <w:rPr>
          <w:rFonts w:ascii="Times New Roman" w:cs="Times New Roman" w:eastAsia="Times New Roman" w:hAnsi="Times New Roman"/>
          <w:sz w:val="18"/>
          <w:szCs w:val="18"/>
          <w:color w:val="auto"/>
        </w:rPr>
        <w:t>Due to our fixed year end date of April 30, our first and fourth quarters each consist of approximately 13 weeks. The second and third quarters each consist of exactly 13 weeks. Our first three quarters end on a Saturday. Our 2026 fiscal year ends on April 30, 2026 and our fiscal quarters end on August 2, 2025, November 1, 2025 and January 31, 2026, respectively.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indicated (in thousands):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November 1, 2025 Compared to Three Months Ended October 26, 2024</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94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33"/>
              <w:spacing w:after="0" w:line="118" w:lineRule="exact"/>
              <w:rPr>
                <w:sz w:val="20"/>
                <w:szCs w:val="20"/>
                <w:color w:val="auto"/>
              </w:rPr>
            </w:pPr>
            <w:r>
              <w:rPr>
                <w:rFonts w:ascii="Times New Roman" w:cs="Times New Roman" w:eastAsia="Times New Roman" w:hAnsi="Times New Roman"/>
                <w:sz w:val="13"/>
                <w:szCs w:val="13"/>
                <w:b w:val="1"/>
                <w:bCs w:val="1"/>
                <w:color w:val="auto"/>
              </w:rPr>
              <w:t>October 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9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472,508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7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368,403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35,993</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 income:</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1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Equity method investment income, net of tax</w:t>
            </w:r>
          </w:p>
        </w:tc>
        <w:tc>
          <w:tcPr>
            <w:tcW w:w="17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(17,103)</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60" w:type="dxa"/>
            <w:vAlign w:val="bottom"/>
            <w:gridSpan w:val="7"/>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Three Months Ended November 1, 2025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6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AxS</w:t>
            </w:r>
          </w:p>
        </w:tc>
        <w:tc>
          <w:tcPr>
            <w:tcW w:w="2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SCDE</w:t>
            </w:r>
          </w:p>
        </w:tc>
        <w:tc>
          <w:tcPr>
            <w:tcW w:w="26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301,573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170,935</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16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51,438</w:t>
            </w:r>
          </w:p>
        </w:tc>
        <w:tc>
          <w:tcPr>
            <w:tcW w:w="4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78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44,958</w:t>
            </w: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26, 2024</w:t>
            </w:r>
          </w:p>
        </w:tc>
        <w:tc>
          <w:tcPr>
            <w:tcW w:w="86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6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AxS</w:t>
            </w:r>
          </w:p>
        </w:tc>
        <w:tc>
          <w:tcPr>
            <w:tcW w:w="2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SCDE</w:t>
            </w:r>
          </w:p>
        </w:tc>
        <w:tc>
          <w:tcPr>
            <w:tcW w:w="26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188,458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68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16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25,862</w:t>
            </w:r>
          </w:p>
        </w:tc>
        <w:tc>
          <w:tcPr>
            <w:tcW w:w="4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25,862</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0" w:right="13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Revenue for the three months ended November 1, 2025 was $472.5 million, as compared to $188.5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three months ended October 26, 2024, representing an increase of $284.0 million, or 151%. The increase in revenue was due to an increase in product revenue of $173.8 million and an increase in service revenue of $110.2 million. The increase in product revenue was primarily due to the $134.4 million of product revenue resulting from our acquisition of BlueHalo in May 2025. Legacy AV product revenue included in the AxS segment increased by $39.4 million driven by an increase in LMS products due to increased global demand for our Switchblade products associated with current global conflicts as well as U.S. D.o.D. resupply and medium uncrewed aircraft systems (“MUAS”) products due to increase in domestic and international demand, partially offset by a decrease in small uncrewed aircraft systems (“SUAS”) due to a decrease in international sales. The increase in service revenue was primarily due to the $110.7 million service revenue resulting from our acquisition of BlueHalo. Legacy AV service revenue, included in the AxS segment, remained consistent as, training and repairs service revenue decreased by $0.3 million and customer funded R&amp;D and engineering services decreased by $0.2 million driven. Proportion of service revenue to product revenue is expected to remain higher following the acquisition of BlueHalo.</w:t>
      </w:r>
    </w:p>
    <w:p>
      <w:pPr>
        <w:spacing w:after="0" w:line="187" w:lineRule="exact"/>
        <w:rPr>
          <w:sz w:val="20"/>
          <w:szCs w:val="20"/>
          <w:color w:val="auto"/>
        </w:rPr>
      </w:pPr>
    </w:p>
    <w:p>
      <w:pPr>
        <w:ind w:left="40" w:right="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w:t>
      </w:r>
      <w:r>
        <w:rPr>
          <w:rFonts w:ascii="Times New Roman" w:cs="Times New Roman" w:eastAsia="Times New Roman" w:hAnsi="Times New Roman"/>
          <w:sz w:val="18"/>
          <w:szCs w:val="18"/>
          <w:color w:val="auto"/>
        </w:rPr>
        <w:t>Cost of sales for the three months ended November 1, 2025 was $368.4 million, as compared to $114.8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three months ended October 26, 2024, representing an increase of $253.6 million, or 221%. The increase in cost of sales was a result of an increase in product cost of sales of $154.3 million and an increase in service costs of sales of $99.3 million. The increase in product costs of sales was primarily due to an increase of approximately $95.6 million associated with the recently acquired BlueHalo product lines and an increase of approximately $20.9 million in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8"/>
          <w:szCs w:val="18"/>
          <w:color w:val="auto"/>
        </w:rPr>
        <w:t>intangible amortization related to the BlueHalo acquisition. For legacy AV business, product cost of sales increased $37.8 million. The increase in legacy product costs of sales was primarily due to an increase of approximately $22 million due to the increase in sales volume and approximately $16 million due to mix shift to a higher proportion of lower margin products driven by the increase in Switchblade production. The increase in service cost of sales was primarily due to an increase of approximately $102.2 million associated with the BlueHalo acquisition, partially offset by a decrease in legacy AV service cost of sales of $2.6 million primarily due to a mix shift of approximately $2 million due to a higher proportion of higher margin services driven by an increase in customer funded R&amp;D. Cost of sales for the three months ended November 1, 2025 included $24.2 million of intangible amortization and other related non-cash purchase accounting expenses as compared to $3.7 million for the three months ended October 26, 2024. As a percentage of revenue, cost of sales increased from 61% to 78% primarily due to increased amortization and other non-cash purchase accounting expenses and an increase in the proportion of service revenue resulting from the effect of the BlueHalo acquisition, resulting in gross margin decreasing from 39% to 22%.</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is equal to revenue minus cost of sales.</w:t>
      </w:r>
    </w:p>
    <w:p>
      <w:pPr>
        <w:spacing w:after="0" w:line="225" w:lineRule="exact"/>
        <w:rPr>
          <w:sz w:val="20"/>
          <w:szCs w:val="20"/>
          <w:color w:val="auto"/>
        </w:rPr>
      </w:pPr>
    </w:p>
    <w:p>
      <w:pPr>
        <w:ind w:left="40" w:right="9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SG&amp;A expense for the three months ended November 1, 2025 was $98.3 million,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21% of revenue, as compared to SG&amp;A expense of $37.9 million, or 20% of revenue, for the three months ended October 26, 2024. The increase in SG&amp;A expense was primarily due to an increase of $22.9 million of intangible amortization expense related to the BlueHalo acquisition, an increase of approximately $11 million of employee related expenses related to the increase in headcount and an increase of $4.6 million of acquisition related expenses related to the BlueHalo acquisition.</w:t>
      </w:r>
    </w:p>
    <w:p>
      <w:pPr>
        <w:spacing w:after="0" w:line="182" w:lineRule="exact"/>
        <w:rPr>
          <w:sz w:val="20"/>
          <w:szCs w:val="20"/>
          <w:color w:val="auto"/>
        </w:rPr>
      </w:pPr>
    </w:p>
    <w:p>
      <w:pPr>
        <w:ind w:left="40" w:right="1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R&amp;D expense for the three months ended November 1, 2025 was $36.0 million, or 8%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as compared to R&amp;D expense of $28.7 million, or 15% of revenue, for the three months ended October 26, 2024. The increase was primarily related to the BlueHalo acquisition. R&amp;D expense is expected to continue to be 7% to 8% of revenue.</w:t>
      </w:r>
    </w:p>
    <w:p>
      <w:pPr>
        <w:spacing w:after="0" w:line="176" w:lineRule="exact"/>
        <w:rPr>
          <w:sz w:val="20"/>
          <w:szCs w:val="20"/>
          <w:color w:val="auto"/>
        </w:rPr>
      </w:pPr>
    </w:p>
    <w:p>
      <w:pPr>
        <w:ind w:left="4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net. </w:t>
      </w:r>
      <w:r>
        <w:rPr>
          <w:rFonts w:ascii="Times New Roman" w:cs="Times New Roman" w:eastAsia="Times New Roman" w:hAnsi="Times New Roman"/>
          <w:sz w:val="18"/>
          <w:szCs w:val="18"/>
          <w:color w:val="auto"/>
        </w:rPr>
        <w:t>Interest income, net for the three months ended November 1, 2025 was $4.7 million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expense, net of $0.7 million for the three months ended October 26, 2024 due to a combination of higher cash and investment balances and lower interest bearing debt balances.</w:t>
      </w:r>
    </w:p>
    <w:p>
      <w:pPr>
        <w:spacing w:after="0" w:line="171" w:lineRule="exact"/>
        <w:rPr>
          <w:sz w:val="20"/>
          <w:szCs w:val="20"/>
          <w:color w:val="auto"/>
        </w:rPr>
      </w:pPr>
    </w:p>
    <w:p>
      <w:pPr>
        <w:ind w:left="4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net. </w:t>
      </w:r>
      <w:r>
        <w:rPr>
          <w:rFonts w:ascii="Times New Roman" w:cs="Times New Roman" w:eastAsia="Times New Roman" w:hAnsi="Times New Roman"/>
          <w:sz w:val="18"/>
          <w:szCs w:val="18"/>
          <w:color w:val="auto"/>
        </w:rPr>
        <w:t>Other income, net, for the three months ended November 1, 2025 was $5.0 million as compared to $16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thousand for the three months ended October 26, 2024. The increase was driven by unrealized gains in equity security investments.</w:t>
      </w:r>
    </w:p>
    <w:p>
      <w:pPr>
        <w:spacing w:after="0" w:line="171" w:lineRule="exact"/>
        <w:rPr>
          <w:sz w:val="20"/>
          <w:szCs w:val="20"/>
          <w:color w:val="auto"/>
        </w:rPr>
      </w:pPr>
    </w:p>
    <w:p>
      <w:pPr>
        <w:ind w:left="40" w:right="17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Benefit from Income Taxes. </w:t>
      </w:r>
      <w:r>
        <w:rPr>
          <w:rFonts w:ascii="Times New Roman" w:cs="Times New Roman" w:eastAsia="Times New Roman" w:hAnsi="Times New Roman"/>
          <w:sz w:val="18"/>
          <w:szCs w:val="18"/>
          <w:color w:val="auto"/>
        </w:rPr>
        <w:t>Our effective income tax rate was (11.2)% for the three months ended November 1, 2025,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(3.5)% for the three months ended October 26, 2024. The decrease in our effective income tax rate was primarily due to an increase in federal R&amp;D tax credits, a decrease in FDII deductions, partially offset by an increase non-deductible acquisition related expenses combined with the net loss before income taxes for the quarter. The effective income tax rate for the three months ended November 1, 2025 was primarily impacted by expected federal R&amp;D tax credits, excess tax benefits from equity awards, and non-deductible acquisition related expenses.</w:t>
      </w:r>
    </w:p>
    <w:p>
      <w:pPr>
        <w:spacing w:after="0" w:line="182" w:lineRule="exact"/>
        <w:rPr>
          <w:sz w:val="20"/>
          <w:szCs w:val="20"/>
          <w:color w:val="auto"/>
        </w:rPr>
      </w:pPr>
    </w:p>
    <w:p>
      <w:pPr>
        <w:ind w:left="4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Method Investment Income, net of Tax. </w:t>
      </w:r>
      <w:r>
        <w:rPr>
          <w:rFonts w:ascii="Times New Roman" w:cs="Times New Roman" w:eastAsia="Times New Roman" w:hAnsi="Times New Roman"/>
          <w:sz w:val="18"/>
          <w:szCs w:val="18"/>
          <w:color w:val="auto"/>
        </w:rPr>
        <w:t>Equity method investment income, net of tax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November 1, 2025 was $1.2 as compared $1.0 million for the three months ended October 26, 2024.</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Autonomous Systems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00" w:type="dxa"/>
            <w:vAlign w:val="bottom"/>
            <w:tcBorders>
              <w:bottom w:val="single" w:sz="8" w:color="CCEEFF"/>
            </w:tcBorders>
          </w:tcPr>
          <w:p>
            <w:pPr>
              <w:spacing w:after="0"/>
              <w:rPr>
                <w:sz w:val="17"/>
                <w:szCs w:val="17"/>
                <w:color w:val="auto"/>
              </w:rPr>
            </w:pPr>
          </w:p>
        </w:tc>
        <w:tc>
          <w:tcPr>
            <w:tcW w:w="19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9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301,573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2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51,438</w:t>
            </w:r>
          </w:p>
        </w:tc>
        <w:tc>
          <w:tcPr>
            <w:tcW w:w="5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right="19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AxS revenue for the three months ended November 1, 2025 was $301.6 million, as compared to $188.5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three months ended October 26, 2024, representing an increase of $113.1 million, or 60%. The increase in revenue was due to an increase in product and service revenues of $98.3 million and $14.8 million, respectively. The increase in product revenue was primarily due to the $58.8 million of product revenue resulting from our acquisition of BlueHalo. Legacy AV product revenue included in the AxS segment increased by $39.4 million driven by an increase in LMS products due to increased global demand for our Switchblade products associated with current global conflicts as well as U.S. D.o.D. resupply and MUAS due to increased domestic and international demand, partially offset by a decrease in SUAS due to a decrease in international sales. The increase in service revenue was primarily due to the $15.3 million of service revenue resulting from our acquisition of BlueHalo. Legacy AV service revenue, included in the AxS segment, remained consistent as, training and repairs service revenue decreased by $0.3 million and customer funded R&amp;D and engineering services decreased by $0.2 million.</w:t>
      </w:r>
    </w:p>
    <w:p>
      <w:pPr>
        <w:spacing w:after="0" w:line="1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AxS Segment Adjusted EBITDA. </w:t>
      </w:r>
      <w:r>
        <w:rPr>
          <w:rFonts w:ascii="Times New Roman" w:cs="Times New Roman" w:eastAsia="Times New Roman" w:hAnsi="Times New Roman"/>
          <w:sz w:val="18"/>
          <w:szCs w:val="18"/>
          <w:color w:val="auto"/>
        </w:rPr>
        <w:t>AxS segment adjusted EBITDA for the three months November 1, 2025 was $51.4</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million, as compared to $25.9 million for the three months ended October 26, 2024, representing an increase of $25.5</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million, or 99%. The increase in AxS segment adjusted EBITDA was primarily due to an increase in revenue of $113.1</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million. The increase in AxS segment adjusted EBITDA was partially offset by an increase in adjusted cost of sales of</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$77.2 million, adjusted SG&amp;A of $7.2 million primarily due employee related costs driven by the increased headcount, and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R&amp;D of $3.4 million. The increase in adjusted cost of sales was primarily due to an increase of approximately $44 million</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associated with the recently acquired BlueHalo product lines, an increase of approximately $22 million due to the increase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 sales volume and approximately $16 million due to mix shift to a higher proportion of lower margin products driven by</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increase in Switchblade production.</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Space, Cyber and Directed Energy</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00" w:type="dxa"/>
            <w:vAlign w:val="bottom"/>
            <w:tcBorders>
              <w:bottom w:val="single" w:sz="8" w:color="CCEEFF"/>
            </w:tcBorders>
          </w:tcPr>
          <w:p>
            <w:pPr>
              <w:spacing w:after="0"/>
              <w:rPr>
                <w:sz w:val="17"/>
                <w:szCs w:val="17"/>
                <w:color w:val="auto"/>
              </w:rPr>
            </w:pPr>
          </w:p>
        </w:tc>
        <w:tc>
          <w:tcPr>
            <w:tcW w:w="19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9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170,935</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2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5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SCDE revenue for the three months ended November 1, 2025 was $170.9 million, as compared to $0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October 26, 2024. The SCDE segment consists of business units obtained in the BlueHalo acquisition on May 1, 2025, and the increase in revenue is a result of the acquisition.</w:t>
      </w:r>
    </w:p>
    <w:p>
      <w:pPr>
        <w:spacing w:after="0" w:line="171" w:lineRule="exact"/>
        <w:rPr>
          <w:sz w:val="20"/>
          <w:szCs w:val="20"/>
          <w:color w:val="auto"/>
        </w:rPr>
      </w:pPr>
    </w:p>
    <w:p>
      <w:pPr>
        <w:ind w:left="40" w:right="1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SCDE Segment Adjusted EBITDA. </w:t>
      </w:r>
      <w:r>
        <w:rPr>
          <w:rFonts w:ascii="Times New Roman" w:cs="Times New Roman" w:eastAsia="Times New Roman" w:hAnsi="Times New Roman"/>
          <w:sz w:val="18"/>
          <w:szCs w:val="18"/>
          <w:color w:val="auto"/>
        </w:rPr>
        <w:t>SCDE segment adjusted EBITDA for the three months November 1, 2025 was $(6.5)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as compared to $0 for the three months ended October 26, 2024. The SCDE segment consists of business units obtained in the BlueHalo acquisition on May 1, 2025, and the increase in segment adjusted EBITDA is a result of the acquisition.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November 1, 2025 Compared to Six Months Ended October 26, 2024</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94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31"/>
              <w:spacing w:after="0" w:line="118" w:lineRule="exact"/>
              <w:rPr>
                <w:sz w:val="20"/>
                <w:szCs w:val="20"/>
                <w:color w:val="auto"/>
              </w:rPr>
            </w:pPr>
            <w:r>
              <w:rPr>
                <w:rFonts w:ascii="Times New Roman" w:cs="Times New Roman" w:eastAsia="Times New Roman" w:hAnsi="Times New Roman"/>
                <w:sz w:val="13"/>
                <w:szCs w:val="13"/>
                <w:b w:val="1"/>
                <w:bCs w:val="1"/>
                <w:color w:val="auto"/>
              </w:rPr>
              <w:t>October 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9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927,184</w:t>
            </w:r>
          </w:p>
        </w:tc>
        <w:tc>
          <w:tcPr>
            <w:tcW w:w="4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7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727,961</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222,836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199,223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229,612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(99,496)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(104,930)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Equity method investment income, net of tax</w:t>
            </w:r>
          </w:p>
        </w:tc>
        <w:tc>
          <w:tcPr>
            <w:tcW w:w="17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(84,473)</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November 1, 2025</w:t>
            </w:r>
          </w:p>
        </w:tc>
        <w:tc>
          <w:tcPr>
            <w:tcW w:w="88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6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AxS</w:t>
            </w:r>
          </w:p>
        </w:tc>
        <w:tc>
          <w:tcPr>
            <w:tcW w:w="2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SCDE</w:t>
            </w:r>
          </w:p>
        </w:tc>
        <w:tc>
          <w:tcPr>
            <w:tcW w:w="26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586,898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340,286</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927,184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16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103,831</w:t>
            </w:r>
          </w:p>
        </w:tc>
        <w:tc>
          <w:tcPr>
            <w:tcW w:w="4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760" w:type="dxa"/>
            <w:vAlign w:val="bottom"/>
            <w:gridSpan w:val="2"/>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101,513</w:t>
            </w: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October 26, 2024</w:t>
            </w:r>
          </w:p>
        </w:tc>
        <w:tc>
          <w:tcPr>
            <w:tcW w:w="88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6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AxS</w:t>
            </w:r>
          </w:p>
        </w:tc>
        <w:tc>
          <w:tcPr>
            <w:tcW w:w="2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SCDE</w:t>
            </w:r>
          </w:p>
        </w:tc>
        <w:tc>
          <w:tcPr>
            <w:tcW w:w="26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377,941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377,941</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360" w:type="dxa"/>
            <w:vAlign w:val="bottom"/>
          </w:tcPr>
          <w:p>
            <w:pPr>
              <w:spacing w:after="0"/>
              <w:rPr>
                <w:sz w:val="19"/>
                <w:szCs w:val="19"/>
                <w:color w:val="auto"/>
              </w:rPr>
            </w:pPr>
          </w:p>
        </w:tc>
        <w:tc>
          <w:tcPr>
            <w:tcW w:w="1680" w:type="dxa"/>
            <w:vAlign w:val="bottom"/>
            <w:gridSpan w:val="2"/>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gridSpan w:val="2"/>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16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63,050</w:t>
            </w:r>
          </w:p>
        </w:tc>
        <w:tc>
          <w:tcPr>
            <w:tcW w:w="4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63,050</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Revenue for the six months ended November 1, 2025 was $927.2 million, as compared to $377.9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six months ended October 26, 2024, representing an increase of $549.3 million, or 145%. The increase in revenue was due to an increase in product revenue of $327.8 million and an increase in service revenue of $221.5 million. The increase in product revenue was primarily due to the $258.1 million of product revenue resulting from our acquisition of BlueHalo in May 2025. Legacy AV product revenue included in the AxS segment increased by $69.7 million driven by an increase in LMS products due to increased global demand for our Switchblade products associated with current global conflicts as well as U.S. D.o.D. resupply and MUAS products due to increased domestic and international demand, partially offset by a decrease in SUAS due to a decrease in international sales. The increase in service revenue was primarily due to the $222.2 million service revenue resulting from our acquisition of BlueHalo. Legacy AV service revenue, included in the AxS segment, remained consistent as training and repairs service revenue decreased by $2.3 million driven by a decrease in SUAS product sales, partially offset by an increase in customer funded R&amp;D and engineering services of $1.6 million. Proportion of service revenue to product revenue is expected to remain higher following the acquisition of BlueHalo.</w:t>
      </w:r>
    </w:p>
    <w:p>
      <w:pPr>
        <w:spacing w:after="0" w:line="190"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w:t>
      </w:r>
      <w:r>
        <w:rPr>
          <w:rFonts w:ascii="Times New Roman" w:cs="Times New Roman" w:eastAsia="Times New Roman" w:hAnsi="Times New Roman"/>
          <w:sz w:val="18"/>
          <w:szCs w:val="18"/>
          <w:color w:val="auto"/>
        </w:rPr>
        <w:t>Cost of sales for the six months ended November 1, 2025 was $728.0 million, as compared to $222.8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six months ended October 26, 2024, representing an increase of $505.2 million, or 227%. The increase in cost of sales was a result of an increase in product cost of sales of $299.5 million and an increase in service costs of sales of $205.7 million. The increase in product costs of sales was primarily due to an increase of approximately $179.0 million associated with the recently acquired BlueHalo product lines and an increase of approximately $49.5 million intangible amortization related to the BlueHalo acquisition. For legacy AV business, product cost of sales increased $71.0 million. The increase in legacy product costs of sales was primarily due to an increase of approximately $38 million due to the increase in sales volume and approximately $33 million due to mix shift to a higher proportion of lower margin products driven by the increase in Switchblade production. The increase in service cost of sales was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254" w:lineRule="auto"/>
        <w:rPr>
          <w:sz w:val="20"/>
          <w:szCs w:val="20"/>
          <w:color w:val="auto"/>
        </w:rPr>
      </w:pPr>
      <w:r>
        <w:rPr>
          <w:rFonts w:ascii="Times New Roman" w:cs="Times New Roman" w:eastAsia="Times New Roman" w:hAnsi="Times New Roman"/>
          <w:sz w:val="18"/>
          <w:szCs w:val="18"/>
          <w:color w:val="auto"/>
        </w:rPr>
        <w:t>primarily due to an increase of approximately $202.9 million associated with the BlueHalo acquisition and an increase of approximately $4.7 million intangible amortization related to the BlueHalo acquisition, partially offset by a decrease in legacy AV service cost of sales of $1.9 million primarily due to a mix shift of approximately $2 million due to a higher proportion of higher margin services driven by customer funded R&amp;D. Cost of sales for the six months ended November 1, 2025 included $61.6 million of intangible amortization and other related non-cash purchase accounting expenses as compared to $7.4 million for the three months ended October 26, 2024. As a percentage of revenue, cost of sales increased from 59% to 79% primarily due to increased amortization and other non-cash purchase accounting expenses and an increase in the proportion of service revenue resulting from the effect of the BlueHalo acquisition, resulting in gross margin decreasing from 41% to 21%.</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is equal to revenue minus cost of sales.</w:t>
      </w:r>
    </w:p>
    <w:p>
      <w:pPr>
        <w:spacing w:after="0" w:line="225" w:lineRule="exact"/>
        <w:rPr>
          <w:sz w:val="20"/>
          <w:szCs w:val="20"/>
          <w:color w:val="auto"/>
        </w:rPr>
      </w:pPr>
    </w:p>
    <w:p>
      <w:pPr>
        <w:ind w:left="40" w:right="7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SG&amp;A expense for the six months ended November 1, 2025 was $229.6 million, 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25% of revenue, as compared to SG&amp;A expense of $71.7 million, or 19% of revenue, for the six months ended October 26, 2024. The increase in SG&amp;A expense was primarily due to an increase of $64.1 million of intangible amortization expense related to the BlueHalo acquisition, an increase of $28.3 million of acquisition related expenses related to the BlueHalo acquisition and an increase of approximately $25 million of employee related expenses related to the increase in headcount.</w:t>
      </w:r>
    </w:p>
    <w:p>
      <w:pPr>
        <w:spacing w:after="0" w:line="164" w:lineRule="exact"/>
        <w:rPr>
          <w:sz w:val="20"/>
          <w:szCs w:val="20"/>
          <w:color w:val="auto"/>
        </w:rPr>
      </w:pPr>
    </w:p>
    <w:p>
      <w:pPr>
        <w:ind w:left="40" w:right="3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R&amp;D expense for the six months ended November 1, 2025 was $69.1 million, or 7%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as compared to R&amp;D expense of $53.3 million, or 14% of revenue, for the six months ended October 26, 2024. The increase was primarily related to the BlueHalo acquisition. R&amp;D expense is expected to continue to be 7% to 8% of revenue.</w:t>
      </w:r>
    </w:p>
    <w:p>
      <w:pPr>
        <w:spacing w:after="0" w:line="176" w:lineRule="exact"/>
        <w:rPr>
          <w:sz w:val="20"/>
          <w:szCs w:val="20"/>
          <w:color w:val="auto"/>
        </w:rPr>
      </w:pPr>
    </w:p>
    <w:p>
      <w:pPr>
        <w:ind w:left="40" w:right="11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Expense, net. </w:t>
      </w:r>
      <w:r>
        <w:rPr>
          <w:rFonts w:ascii="Times New Roman" w:cs="Times New Roman" w:eastAsia="Times New Roman" w:hAnsi="Times New Roman"/>
          <w:sz w:val="17"/>
          <w:szCs w:val="17"/>
          <w:color w:val="auto"/>
        </w:rPr>
        <w:t>Interest expense, net for the six months ended November 1, 2025 was $12.7 million compared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$0.9 million for the six months ended October 26, 2024. The increase was driven by the interest expense related to the Term Loan and Revolver Facility obtained on May 1, 2025 in conjunction with the BlueHalo acquisition and the unamortized debt issuance costs allocated to the Term Loan Facility of $6.7 million, which were expensed upon repayment of the Term Loan Facility in July 2025 using the proceeds from the Notes and common stock issuances in July 2025.</w:t>
      </w:r>
    </w:p>
    <w:p>
      <w:pPr>
        <w:spacing w:after="0" w:line="164" w:lineRule="exact"/>
        <w:rPr>
          <w:sz w:val="20"/>
          <w:szCs w:val="20"/>
          <w:color w:val="auto"/>
        </w:rPr>
      </w:pPr>
    </w:p>
    <w:p>
      <w:pPr>
        <w:ind w:left="4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net. </w:t>
      </w:r>
      <w:r>
        <w:rPr>
          <w:rFonts w:ascii="Times New Roman" w:cs="Times New Roman" w:eastAsia="Times New Roman" w:hAnsi="Times New Roman"/>
          <w:sz w:val="18"/>
          <w:szCs w:val="18"/>
          <w:color w:val="auto"/>
        </w:rPr>
        <w:t>Other income, net, for the six months ended November 1, 2025 was $7.3 million compared to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net of $0.2 million for the six months ended October 26, 2024. The increase was primarily due to unrealized gains associated with the fair market value of our equity security investments.</w:t>
      </w:r>
    </w:p>
    <w:p>
      <w:pPr>
        <w:spacing w:after="0" w:line="171" w:lineRule="exact"/>
        <w:rPr>
          <w:sz w:val="20"/>
          <w:szCs w:val="20"/>
          <w:color w:val="auto"/>
        </w:rPr>
      </w:pPr>
    </w:p>
    <w:p>
      <w:pPr>
        <w:ind w:left="40" w:right="11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(Benefit from) Provision for Income Taxes. </w:t>
      </w:r>
      <w:r>
        <w:rPr>
          <w:rFonts w:ascii="Times New Roman" w:cs="Times New Roman" w:eastAsia="Times New Roman" w:hAnsi="Times New Roman"/>
          <w:sz w:val="18"/>
          <w:szCs w:val="18"/>
          <w:color w:val="auto"/>
        </w:rPr>
        <w:t>Our effective income tax rate was (16.7)% for the six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November 1, 2025, as compared to 4.4% for the six months ended October 26, 2024. The decrease in our effective income tax rate was primarily due to an increase in FDII deductions and excess tax benefits from the vesting of equity awards, partially offset by an increase in excess tax benefits from equity awards. The effective income tax rate for the six months ended November 1, 2025 was primarily impacted by expected federal R&amp;D tax credits and FDII deductions and excess tax benefits from equity awards.</w:t>
      </w:r>
    </w:p>
    <w:p>
      <w:pPr>
        <w:spacing w:after="0" w:line="182" w:lineRule="exact"/>
        <w:rPr>
          <w:sz w:val="20"/>
          <w:szCs w:val="20"/>
          <w:color w:val="auto"/>
        </w:rPr>
      </w:pPr>
    </w:p>
    <w:p>
      <w:pPr>
        <w:ind w:left="4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Method Investment Income, net of Tax. </w:t>
      </w:r>
      <w:r>
        <w:rPr>
          <w:rFonts w:ascii="Times New Roman" w:cs="Times New Roman" w:eastAsia="Times New Roman" w:hAnsi="Times New Roman"/>
          <w:sz w:val="18"/>
          <w:szCs w:val="18"/>
          <w:color w:val="auto"/>
        </w:rPr>
        <w:t>Equity method investment income, net of tax for the six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November 1, 2025 was $3.0 million as compared $1.1 million for the six months ended October 26, 2024.</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Autonomous Systems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87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60" w:type="dxa"/>
            <w:vAlign w:val="bottom"/>
            <w:tcBorders>
              <w:bottom w:val="single" w:sz="8" w:color="CCEEFF"/>
            </w:tcBorders>
          </w:tcPr>
          <w:p>
            <w:pPr>
              <w:spacing w:after="0"/>
              <w:rPr>
                <w:sz w:val="17"/>
                <w:szCs w:val="17"/>
                <w:color w:val="auto"/>
              </w:rPr>
            </w:pPr>
          </w:p>
        </w:tc>
        <w:tc>
          <w:tcPr>
            <w:tcW w:w="26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586,898</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2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103,831</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63,050</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68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8" w:name="page39"/>
    <w:bookmarkEnd w:id="3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right="13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AxS revenue for the six months ended November 1, 2025 was $586.9 million, as compared to $377.9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six months ended October 26, 2024, representing an increase of $209.0 million, or 55%. The increase in revenue was due to an increase in product and service revenues of $179.5 million and $29.5 million, respectively. The increase in product revenue was primarily due to the $109.8 million of product revenue resulting from our acquisition of BlueHalo. Legacy AV product revenue included in the AxS segment increased by $69.7 million driven by an increase in LMS products due to increased global demand for our Switchblade products associated with current global conflicts as well as U.S. D.o.D. resupply and MUAS products due to increased international and domestic demand, partially offset by a decrease in SUAS due to a decrease in international sales. The increase in service revenue was primarily due to the $30.3 million of service revenue resulting from our acquisition of BlueHalo. Legacy AV service revenue, included in the AxS segment, remained consistent as training and repairs service revenue decreased by $2.3 million driven by a decrease in SUAS product sales, partially offset by an increase in customer funded R&amp;D and engineering services of $1.5 million. Proportion of service revenue to product revenue is expected to remain higher following the acquisition of BlueHalo.</w:t>
      </w:r>
    </w:p>
    <w:p>
      <w:pPr>
        <w:spacing w:after="0" w:line="190"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AxS Segment Adjusted EBITDA. </w:t>
      </w:r>
      <w:r>
        <w:rPr>
          <w:rFonts w:ascii="Times New Roman" w:cs="Times New Roman" w:eastAsia="Times New Roman" w:hAnsi="Times New Roman"/>
          <w:sz w:val="18"/>
          <w:szCs w:val="18"/>
          <w:color w:val="auto"/>
        </w:rPr>
        <w:t>AxS segment adjusted EBITDA for the six months November 1, 2025 was $103.8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as compared to $63.1 million for the six months ended October 26, 2024, representing an increase of $40.7 million, or 65%. The increase in AxS segment adjusted EBITDA was primarily due to an increase in revenue of $209.0 million. The increase in AxS segment adjusted EBITDA was partially offset by an increase in adjusted cost of sales of $143.3 million, adjusted SG&amp;A of $15.2 million primarily due employee related costs driven by the increased headcount, and R&amp;D of $8.6 million. The increase in adjusted cost of sales was primarily due to an increase of approximately $81 million associated with the recently acquired BlueHalo product lines, an increase of approximately $38 million due to the increase in sales volume and approximately $33 million due to mix shift to a higher proportion of lower margin products driven by the increase in Switchblade production.</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Space, Cyber and Directed Energy</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October 26,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00" w:type="dxa"/>
            <w:vAlign w:val="bottom"/>
            <w:tcBorders>
              <w:bottom w:val="single" w:sz="8" w:color="CCEEFF"/>
            </w:tcBorders>
          </w:tcPr>
          <w:p>
            <w:pPr>
              <w:spacing w:after="0"/>
              <w:rPr>
                <w:sz w:val="17"/>
                <w:szCs w:val="17"/>
                <w:color w:val="auto"/>
              </w:rPr>
            </w:pPr>
          </w:p>
        </w:tc>
        <w:tc>
          <w:tcPr>
            <w:tcW w:w="19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340,286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2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40" w:right="3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SCDE revenue for the six months ended November 1, 2025 was $340.3 million, as compared to $0 for the six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October 26, 2024. The SCDE segment consists of business units obtained in the BlueHalo acquisition on May 1, 2025, and the increase in revenue is a result of the acquisition.</w:t>
      </w:r>
    </w:p>
    <w:p>
      <w:pPr>
        <w:spacing w:after="0" w:line="171" w:lineRule="exact"/>
        <w:rPr>
          <w:sz w:val="20"/>
          <w:szCs w:val="20"/>
          <w:color w:val="auto"/>
        </w:rPr>
      </w:pPr>
    </w:p>
    <w:p>
      <w:pPr>
        <w:ind w:left="40" w:right="3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SCDE Segment Adjusted EBITDA. </w:t>
      </w:r>
      <w:r>
        <w:rPr>
          <w:rFonts w:ascii="Times New Roman" w:cs="Times New Roman" w:eastAsia="Times New Roman" w:hAnsi="Times New Roman"/>
          <w:sz w:val="18"/>
          <w:szCs w:val="18"/>
          <w:color w:val="auto"/>
        </w:rPr>
        <w:t>SCDE segment adjusted EBITDA for the six months November 1, 2025 was $(2.3)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as compared to $0 for the six months ended October 26, 2024. The SCDE segment consists of business units obtained in the BlueHalo acquisition on May 1, 2025, and the increase in segment adjusted EBITDA is a result of the acquisition.</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left="40" w:right="379"/>
        <w:spacing w:after="0" w:line="266" w:lineRule="auto"/>
        <w:rPr>
          <w:sz w:val="20"/>
          <w:szCs w:val="20"/>
          <w:color w:val="auto"/>
        </w:rPr>
      </w:pPr>
      <w:r>
        <w:rPr>
          <w:rFonts w:ascii="Times New Roman" w:cs="Times New Roman" w:eastAsia="Times New Roman" w:hAnsi="Times New Roman"/>
          <w:sz w:val="18"/>
          <w:szCs w:val="18"/>
          <w:color w:val="auto"/>
        </w:rPr>
        <w:t>Consistent with ASC 606, we define funded backlog as remaining performance obligations under firm orders for which funding is currently appropriated to us under a customer contract. As of November 1, 2025, our funded backlog was approximately $1,092.5 million, as compared to $726.6 million as of April 30, 2025.</w:t>
      </w:r>
    </w:p>
    <w:p>
      <w:pPr>
        <w:spacing w:after="0" w:line="176" w:lineRule="exact"/>
        <w:rPr>
          <w:sz w:val="20"/>
          <w:szCs w:val="20"/>
          <w:color w:val="auto"/>
        </w:rPr>
      </w:pPr>
    </w:p>
    <w:p>
      <w:pPr>
        <w:ind w:left="40" w:right="159"/>
        <w:spacing w:after="0" w:line="256" w:lineRule="auto"/>
        <w:rPr>
          <w:sz w:val="20"/>
          <w:szCs w:val="20"/>
          <w:color w:val="auto"/>
        </w:rPr>
      </w:pPr>
      <w:r>
        <w:rPr>
          <w:rFonts w:ascii="Times New Roman" w:cs="Times New Roman" w:eastAsia="Times New Roman" w:hAnsi="Times New Roman"/>
          <w:sz w:val="18"/>
          <w:szCs w:val="18"/>
          <w:color w:val="auto"/>
        </w:rPr>
        <w:t>In addition to our funded backlog, we also had unfunded backlog of $2,790.0 million as of November 1, 2025. Unfunded backlog does not meet the definition of a performance obligation under ASC 606. We define unfunded backlog as the total remaining potential order amounts under Cost Plus and FFP contracts with (i) multiple one-year options and indefinite delivery, indefinite quantity (“IDIQ”) contracts, or (ii) incremental funding. Unfunded backlog does not obligate the customer to purchase goods or services. There can be no assurance that unfunded backlog will result in any orders in any particular period, if at all.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8"/>
          <w:szCs w:val="18"/>
          <w:color w:val="auto"/>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or are renewed or new contracts are awarded. A majority of our contracts, specifically our IDIQ contracts, do not currently obligate the U.S. government to purchase any goods or services. Additionally, all U.S. government contracts included in backlog, whether or not they are funded, may be terminated at the convenience of the U.S. government.</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8"/>
          <w:szCs w:val="18"/>
          <w:color w:val="auto"/>
        </w:rPr>
        <w:t>On October 4, 2024, we amended the Credit Agreement to increase the Revolving Facility to $200 million, and the Term Loan Facility was repaid in full and removed from the Credit Agreement. Borrowings under the Amended Credit Agreement may be used for working capital and other general corporate purposes, including acquisitions that meet certain parameters. In February 2025, we borrowed $15.0 million under the Revolving Facility. In May 2025, in connection with the consummation of the BlueHalo Acquisition, the Company entered into a Fourth Amendment to Credit Agreement with BofA NA, the administrative agent and the swingline lender, JPM, U.S. Bank, Citibank, BMO, Citizens and RBC. The Amended Credit Agreement provides for an aggregate $700.0 million term loan and an aggregate $350.0 million revolving credit facility. Upon effectiveness of the Amended Credit Agreement, we drew $225.0 million from the amended Revolving Facility and the full $700.0 million of the Term Loan Facility. The proceeds from the Term Loan Facility and the Revolving Facility were used to repay certain outstanding indebtedness of BlueHalo and to pay for certain related transaction costs. In June 2025, we drew an additional $10.0 million under the Revolving Facility.</w:t>
      </w:r>
    </w:p>
    <w:p>
      <w:pPr>
        <w:spacing w:after="0" w:line="192"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8"/>
          <w:szCs w:val="18"/>
          <w:color w:val="auto"/>
        </w:rPr>
        <w:t>In July 2025, we issued 4,057,460 shares of common stock at a public offering price of $248.00 per share (the “Common Stock Offering”) and issued $747,500,000 aggregate principal amount of 0% convertible senior notes due 2030 (the “Notes Offering”). The aggregate net proceeds from the Common Stock Offering and the Notes Offering, after deducting underwriting discounts and debt and equity issuance costs, was approximately $1.70 billion. The Company used approximately $965.3 million of the net proceeds from the Common Stock Offering and the Notes Offering to repay indebtedness under the Term Loan Facility and outstanding borrowings under the Revolving Credit Facility, and the remainder is expected to be used for general corporate purposes, including to increase manufacturing capacity.</w:t>
      </w:r>
    </w:p>
    <w:p>
      <w:pPr>
        <w:spacing w:after="0" w:line="189"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8"/>
          <w:szCs w:val="18"/>
          <w:color w:val="auto"/>
        </w:rPr>
        <w:t>Our ability to borrow under the Revolving Facility is reduced by outstanding letters of credit of $11.7 million as of November 1, 2025. As of November 1, 2025, approximately $338.3 million was available under the Revolving Facility. Refer to Note 9—Debt to our unaudited condensed consolidated financial statements in Part I, Item 1 of this Quarterly Report on Form 10-Q for further details. In addition, Telerob has a line of credit of €7.0 million ($8.1 million) available for issuing letters of credit of which €2.3 million ($2.7 million) was outstanding as of November 1, 2025.</w:t>
      </w:r>
    </w:p>
    <w:p>
      <w:pPr>
        <w:spacing w:after="0" w:line="183"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8"/>
          <w:szCs w:val="18"/>
          <w:color w:val="auto"/>
        </w:rPr>
        <w:t>We anticipate funding our normal recurring trade payables, accrued expenses, ongoing R&amp;D costs and obligations under the Credit Facilities through our existing working capital and funds provided by operating activities including those provided by our acquisition. The majority of our purchase obligations are pursuant to funded contractual arrangements with our customers. We believe that our existing cash, cash equivalents, cash provided by operating activities and other financing sources will be sufficient to meet our anticipated working capital, capital expenditure requirements, and future obligations related to the acquisition during the next twelve months. There can be no assurance, however, that our business will continue to generate cash flow at current levels. If we are unable to generate sufficient cash flow from operations, then we may be required to sell assets, reduce capital expenditures or draw on our Credit Facilities. We anticipate that existing sources of liquidity, Credit Facilities, and cash flows from operations will be sufficient to satisfy our cash needs for the foreseeable future.</w:t>
      </w:r>
    </w:p>
    <w:p>
      <w:pPr>
        <w:spacing w:after="0" w:line="194" w:lineRule="exact"/>
        <w:rPr>
          <w:sz w:val="20"/>
          <w:szCs w:val="20"/>
          <w:color w:val="auto"/>
        </w:rPr>
      </w:pPr>
    </w:p>
    <w:p>
      <w:pPr>
        <w:ind w:left="40" w:right="239"/>
        <w:spacing w:after="0" w:line="256" w:lineRule="auto"/>
        <w:rPr>
          <w:sz w:val="20"/>
          <w:szCs w:val="20"/>
          <w:color w:val="auto"/>
        </w:rPr>
      </w:pPr>
      <w:r>
        <w:rPr>
          <w:rFonts w:ascii="Times New Roman" w:cs="Times New Roman" w:eastAsia="Times New Roman" w:hAnsi="Times New Roman"/>
          <w:sz w:val="18"/>
          <w:szCs w:val="18"/>
          <w:color w:val="auto"/>
        </w:rPr>
        <w:t>Our primary recurring liquidity needs are for financing working capital, investing in capital expenditures, supporting product development efforts, introducing new products and enhancing existing products, marketing acceptance and adoption of our products and services, and possible acquisitions of entities or strategic assets. Our future capital requirements, to a certain extent, are also subject to general conditions in or affecting the defense industry and are subject to general economic, political, financial, competitive, legislative and regulatory factors that are beyond our control. Moreover, to the extent that existing cash, cash equivalents, cash from operations, and cash from our Credit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99"/>
        <w:spacing w:after="0" w:line="261" w:lineRule="auto"/>
        <w:rPr>
          <w:sz w:val="20"/>
          <w:szCs w:val="20"/>
          <w:color w:val="auto"/>
        </w:rPr>
      </w:pPr>
      <w:r>
        <w:rPr>
          <w:rFonts w:ascii="Times New Roman" w:cs="Times New Roman" w:eastAsia="Times New Roman" w:hAnsi="Times New Roman"/>
          <w:sz w:val="18"/>
          <w:szCs w:val="18"/>
          <w:color w:val="auto"/>
        </w:rPr>
        <w:t>Facilities are insufficient to fund our future activities, we may need to raise additional funds through public or private equity or debt financing, subject to the limitations specified in the Amended Credit Agreement. In addition, we may also need to seek additional equity funding or debt financing if we become a party to any agreement or letter of intent for potential investments in, or acquisitions of, businesses, services or technologies.</w:t>
      </w:r>
    </w:p>
    <w:p>
      <w:pPr>
        <w:spacing w:after="0" w:line="180" w:lineRule="exact"/>
        <w:rPr>
          <w:sz w:val="20"/>
          <w:szCs w:val="20"/>
          <w:color w:val="auto"/>
        </w:rPr>
      </w:pPr>
    </w:p>
    <w:p>
      <w:pPr>
        <w:ind w:left="40" w:right="79"/>
        <w:spacing w:after="0" w:line="258" w:lineRule="auto"/>
        <w:rPr>
          <w:sz w:val="20"/>
          <w:szCs w:val="20"/>
          <w:color w:val="auto"/>
        </w:rPr>
      </w:pPr>
      <w:r>
        <w:rPr>
          <w:rFonts w:ascii="Times New Roman" w:cs="Times New Roman" w:eastAsia="Times New Roman" w:hAnsi="Times New Roman"/>
          <w:sz w:val="18"/>
          <w:szCs w:val="18"/>
          <w:color w:val="auto"/>
        </w:rPr>
        <w:t>Our working capital requirements vary by contract type. On Cost Plus and T&amp;M contracts, we typically bill our incurred costs and fees monthly as work progresses, and therefore working capital investment is minimal. On FFP contracts, we typically are paid as we deliver products, and working capital is needed to fund labor and expenses incurred during the lead time from contract award until contract deliveries begin. Certain contracts have negotiated progress payments, which facilitates billing and collection as work is completed.</w:t>
      </w:r>
    </w:p>
    <w:p>
      <w:pPr>
        <w:spacing w:after="0" w:line="183" w:lineRule="exact"/>
        <w:rPr>
          <w:sz w:val="20"/>
          <w:szCs w:val="20"/>
          <w:color w:val="auto"/>
        </w:rPr>
      </w:pPr>
    </w:p>
    <w:p>
      <w:pPr>
        <w:ind w:left="40" w:right="619"/>
        <w:spacing w:after="0" w:line="282" w:lineRule="auto"/>
        <w:rPr>
          <w:sz w:val="20"/>
          <w:szCs w:val="20"/>
          <w:color w:val="auto"/>
        </w:rPr>
      </w:pPr>
      <w:r>
        <w:rPr>
          <w:rFonts w:ascii="Times New Roman" w:cs="Times New Roman" w:eastAsia="Times New Roman" w:hAnsi="Times New Roman"/>
          <w:sz w:val="18"/>
          <w:szCs w:val="18"/>
          <w:color w:val="auto"/>
        </w:rPr>
        <w:t>Due to the OBBBA, which allows R&amp;D expenditures to be deducted, we expect our cash taxes paid for U.S. federal income taxes to be significantly reduced for the fiscal year ending April 30, 2026.</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40" w:right="459"/>
        <w:spacing w:after="0" w:line="282" w:lineRule="auto"/>
        <w:rPr>
          <w:sz w:val="20"/>
          <w:szCs w:val="20"/>
          <w:color w:val="auto"/>
        </w:rPr>
      </w:pPr>
      <w:r>
        <w:rPr>
          <w:rFonts w:ascii="Times New Roman" w:cs="Times New Roman" w:eastAsia="Times New Roman" w:hAnsi="Times New Roman"/>
          <w:sz w:val="18"/>
          <w:szCs w:val="18"/>
          <w:color w:val="auto"/>
        </w:rPr>
        <w:t>The following table provides our cash flow data for the six months ended November 1, 2025 and October 26, 2024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5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41"/>
              <w:spacing w:after="0" w:line="118" w:lineRule="exact"/>
              <w:rPr>
                <w:sz w:val="20"/>
                <w:szCs w:val="20"/>
                <w:color w:val="auto"/>
              </w:rPr>
            </w:pPr>
            <w:r>
              <w:rPr>
                <w:rFonts w:ascii="Times New Roman" w:cs="Times New Roman" w:eastAsia="Times New Roman" w:hAnsi="Times New Roman"/>
                <w:sz w:val="13"/>
                <w:szCs w:val="13"/>
                <w:b w:val="1"/>
                <w:bCs w:val="1"/>
                <w:color w:val="auto"/>
              </w:rPr>
              <w:t>November 1,</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October 26,</w:t>
            </w:r>
          </w:p>
        </w:tc>
        <w:tc>
          <w:tcPr>
            <w:tcW w:w="100" w:type="dxa"/>
            <w:vAlign w:val="bottom"/>
          </w:tcPr>
          <w:p>
            <w:pPr>
              <w:spacing w:after="0"/>
              <w:rPr>
                <w:sz w:val="10"/>
                <w:szCs w:val="10"/>
                <w:color w:val="auto"/>
              </w:rPr>
            </w:pPr>
          </w:p>
        </w:tc>
      </w:tr>
      <w:tr>
        <w:trPr>
          <w:trHeight w:val="173"/>
        </w:trPr>
        <w:tc>
          <w:tcPr>
            <w:tcW w:w="5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29"/>
        </w:trPr>
        <w:tc>
          <w:tcPr>
            <w:tcW w:w="5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gridSpan w:val="4"/>
          </w:tcPr>
          <w:p>
            <w:pPr>
              <w:jc w:val="right"/>
              <w:ind w:right="658"/>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1"/>
                <w:szCs w:val="1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(168,810)</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24,709</w:t>
            </w: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(1,157,721)</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(11,630)</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1,645,325</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(17,471)</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(Used in) Provided by Operating Activities. </w:t>
      </w:r>
      <w:r>
        <w:rPr>
          <w:rFonts w:ascii="Times New Roman" w:cs="Times New Roman" w:eastAsia="Times New Roman" w:hAnsi="Times New Roman"/>
          <w:sz w:val="18"/>
          <w:szCs w:val="18"/>
          <w:color w:val="auto"/>
        </w:rPr>
        <w:t>Net cash used in operating activities for the six months ended November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 2025 increased by $193.5 million to ($168.8) million, as compared to net cash provided by operating activities of $24.7 million for the six months ended October 26, 2024. The increase in net cash used in operating activities was primarily due to a decrease in cash as a result of changes in operating assets and liabilities of $229.3 million, largely related to increases in unbilled receivables and retentions and accounts receivable due to year over year timing differences as well as increases in inventory to meet demand. The increase in cash used in operating activities was also driven by a decrease in net income of $113.2 million, partially offset by an increase in depreciation and amortization of $130.5 million, largely due to the intangibles and acquired property and equipment from the BlueHalo acquisition.</w:t>
      </w:r>
    </w:p>
    <w:p>
      <w:pPr>
        <w:spacing w:after="0" w:line="185" w:lineRule="exact"/>
        <w:rPr>
          <w:sz w:val="20"/>
          <w:szCs w:val="20"/>
          <w:color w:val="auto"/>
        </w:rPr>
      </w:pPr>
    </w:p>
    <w:p>
      <w:pPr>
        <w:ind w:left="40" w:right="1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Used in Investing Activities. </w:t>
      </w:r>
      <w:r>
        <w:rPr>
          <w:rFonts w:ascii="Times New Roman" w:cs="Times New Roman" w:eastAsia="Times New Roman" w:hAnsi="Times New Roman"/>
          <w:sz w:val="18"/>
          <w:szCs w:val="18"/>
          <w:color w:val="auto"/>
        </w:rPr>
        <w:t>Net cash used in investing activities increased by $1,146.1 million to $(1,157.7)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six months ended November 1, 2025, as compared to $(11.6) million for the six months ended October 26, 2024. The increase in net cash used in investing activities was primarily due to the cash consideration for the acquisition of BlueHalo, net of cash acquired of $844.6 million and the purchase of available-for-sale securities of $264.2 million.</w:t>
      </w:r>
    </w:p>
    <w:p>
      <w:pPr>
        <w:spacing w:after="0" w:line="176" w:lineRule="exact"/>
        <w:rPr>
          <w:sz w:val="20"/>
          <w:szCs w:val="20"/>
          <w:color w:val="auto"/>
        </w:rPr>
      </w:pPr>
    </w:p>
    <w:p>
      <w:pPr>
        <w:ind w:left="40" w:right="1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Provided by (Used in) Financing Activities. </w:t>
      </w:r>
      <w:r>
        <w:rPr>
          <w:rFonts w:ascii="Times New Roman" w:cs="Times New Roman" w:eastAsia="Times New Roman" w:hAnsi="Times New Roman"/>
          <w:sz w:val="18"/>
          <w:szCs w:val="18"/>
          <w:color w:val="auto"/>
        </w:rPr>
        <w:t>Net cash provided by financing activities increased by $1,662.8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$1,645.3 million for the six months ended November 1, 2025, as compared to net cash used in financing activities of $(17.5) million for the six months ended October 26, 2024. The increase in net cash provided by financing activities was primarily due to proceeds from issuance of common shares of $968.5 million, net of underwriter costs and proceeds from the issuance of Notes of $726.9 million, net of underwriter costs. Part of the proceeds were used to repay the outstanding balances of the Term Loan Facility and Revolving Facility drawn in conjunction with the acquisition of BlueHalo.</w:t>
      </w:r>
    </w:p>
    <w:p>
      <w:pPr>
        <w:spacing w:after="0" w:line="1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6" w:lineRule="exact"/>
        <w:rPr>
          <w:sz w:val="20"/>
          <w:szCs w:val="20"/>
          <w:color w:val="auto"/>
        </w:rPr>
      </w:pPr>
    </w:p>
    <w:p>
      <w:pPr>
        <w:jc w:val="both"/>
        <w:ind w:left="40" w:right="339"/>
        <w:spacing w:after="0" w:line="289" w:lineRule="auto"/>
        <w:rPr>
          <w:sz w:val="20"/>
          <w:szCs w:val="20"/>
          <w:color w:val="auto"/>
        </w:rPr>
      </w:pPr>
      <w:r>
        <w:rPr>
          <w:rFonts w:ascii="Times New Roman" w:cs="Times New Roman" w:eastAsia="Times New Roman" w:hAnsi="Times New Roman"/>
          <w:sz w:val="17"/>
          <w:szCs w:val="17"/>
          <w:color w:val="auto"/>
        </w:rPr>
        <w:t>In the ordinary course of business, we are exposed to various market risk factors, including fluctuations in interest rates, changes in general economic conditions, domestic and foreign competition, and foreign currency exchange rates. For a discussion of market risks at April 30, 2025, refer to Item 7A in our 2025 annual report on Form 10-K. During the six</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59"/>
        <w:spacing w:after="0" w:line="282" w:lineRule="auto"/>
        <w:rPr>
          <w:sz w:val="20"/>
          <w:szCs w:val="20"/>
          <w:color w:val="auto"/>
        </w:rPr>
      </w:pPr>
      <w:r>
        <w:rPr>
          <w:rFonts w:ascii="Times New Roman" w:cs="Times New Roman" w:eastAsia="Times New Roman" w:hAnsi="Times New Roman"/>
          <w:sz w:val="18"/>
          <w:szCs w:val="18"/>
          <w:color w:val="auto"/>
        </w:rPr>
        <w:t>months ended November 1, 2025, there were no material changes or developments that would materially alter the market risk assessment performed as of April 30, 2025, except as discussed below.</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16" w:lineRule="exact"/>
        <w:rPr>
          <w:sz w:val="20"/>
          <w:szCs w:val="20"/>
          <w:color w:val="auto"/>
        </w:rPr>
      </w:pPr>
    </w:p>
    <w:p>
      <w:pPr>
        <w:ind w:left="40" w:right="319"/>
        <w:spacing w:after="0" w:line="266" w:lineRule="auto"/>
        <w:rPr>
          <w:sz w:val="20"/>
          <w:szCs w:val="20"/>
          <w:color w:val="auto"/>
        </w:rPr>
      </w:pPr>
      <w:r>
        <w:rPr>
          <w:rFonts w:ascii="Times New Roman" w:cs="Times New Roman" w:eastAsia="Times New Roman" w:hAnsi="Times New Roman"/>
          <w:sz w:val="18"/>
          <w:szCs w:val="18"/>
          <w:color w:val="auto"/>
        </w:rPr>
        <w:t>In July 2025, we issued $747.5 million of Notes. The Notes have a zero percent coupon rate. We used the proceeds from the Notes Offering as well as the Common Stock Offering to repay indebtedness under our Term Loan Facility and outstanding borrowings under the Revolving Facility. The Revolving Facility has no current outstanding balance.</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16"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83" w:lineRule="exact"/>
        <w:rPr>
          <w:sz w:val="20"/>
          <w:szCs w:val="20"/>
          <w:color w:val="auto"/>
        </w:rPr>
      </w:pPr>
    </w:p>
    <w:p>
      <w:pPr>
        <w:ind w:left="40" w:right="139"/>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66" w:lineRule="exact"/>
        <w:rPr>
          <w:sz w:val="20"/>
          <w:szCs w:val="20"/>
          <w:color w:val="auto"/>
        </w:rPr>
      </w:pPr>
    </w:p>
    <w:p>
      <w:pPr>
        <w:ind w:left="40" w:right="99"/>
        <w:spacing w:after="0" w:line="261" w:lineRule="auto"/>
        <w:rPr>
          <w:sz w:val="20"/>
          <w:szCs w:val="20"/>
          <w:color w:val="auto"/>
        </w:rPr>
      </w:pPr>
      <w:r>
        <w:rPr>
          <w:rFonts w:ascii="Times New Roman" w:cs="Times New Roman" w:eastAsia="Times New Roman" w:hAnsi="Times New Roman"/>
          <w:sz w:val="18"/>
          <w:szCs w:val="18"/>
          <w:color w:val="auto"/>
        </w:rPr>
        <w:t>As required by Rule 13a-15(b) under the Exchange Act, we carried out an evaluation, under the supervision and with the participation of our management, including our Chief Executive Officer and Chief Financial Officer, of the effectiveness of the design and operation of our disclosure controls and procedures, as of November 1, 2025, the end of the period covered by this Quarterly Report on Form 10-Q.</w:t>
      </w:r>
    </w:p>
    <w:p>
      <w:pPr>
        <w:spacing w:after="0" w:line="166" w:lineRule="exact"/>
        <w:rPr>
          <w:sz w:val="20"/>
          <w:szCs w:val="20"/>
          <w:color w:val="auto"/>
        </w:rPr>
      </w:pPr>
    </w:p>
    <w:p>
      <w:pPr>
        <w:ind w:left="40" w:right="59"/>
        <w:spacing w:after="0" w:line="257" w:lineRule="auto"/>
        <w:rPr>
          <w:sz w:val="20"/>
          <w:szCs w:val="20"/>
          <w:color w:val="auto"/>
        </w:rPr>
      </w:pPr>
      <w:r>
        <w:rPr>
          <w:rFonts w:ascii="Times New Roman" w:cs="Times New Roman" w:eastAsia="Times New Roman" w:hAnsi="Times New Roman"/>
          <w:sz w:val="18"/>
          <w:szCs w:val="18"/>
          <w:color w:val="auto"/>
        </w:rPr>
        <w:t>Based on the foregoing, our Chief Executive Officer and Chief Financial Officer concluded that, as of November 1, 2025, the end of the period covered by this Quarterly Report on Form 10-Q, our disclosure controls and procedures were effective and were operating at a reasonable assurance level. As part of the ongoing integration of BlueHalo, we are in</w:t>
      </w:r>
    </w:p>
    <w:p>
      <w:pPr>
        <w:spacing w:after="0" w:line="1" w:lineRule="exact"/>
        <w:rPr>
          <w:sz w:val="20"/>
          <w:szCs w:val="20"/>
          <w:color w:val="auto"/>
        </w:rPr>
      </w:pPr>
    </w:p>
    <w:p>
      <w:pPr>
        <w:ind w:left="40" w:right="199"/>
        <w:spacing w:after="0" w:line="253" w:lineRule="auto"/>
        <w:rPr>
          <w:sz w:val="20"/>
          <w:szCs w:val="20"/>
          <w:color w:val="auto"/>
        </w:rPr>
      </w:pPr>
      <w:r>
        <w:rPr>
          <w:rFonts w:ascii="Times New Roman" w:cs="Times New Roman" w:eastAsia="Times New Roman" w:hAnsi="Times New Roman"/>
          <w:sz w:val="18"/>
          <w:szCs w:val="18"/>
          <w:color w:val="auto"/>
        </w:rPr>
        <w:t>process of incorporating the disclosure controls and procedures of BlueHalo. Management’s evaluation of our disclosure controls and procedures as of November 1, 2025 excludes an evaluation of BlueHalo’s disclosure controls and procedures that are subsumed by its internal control over financial reporting of BlueHalo. Notwithstanding the material weaknesses, management has concluded that the financial statements included in this Quarterly Report present fairly, in all material respects, our financial position, results of operations and cash flows in conformity with U.S. GAAP.</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BlueHalo</w:t>
      </w:r>
    </w:p>
    <w:p>
      <w:pPr>
        <w:spacing w:after="0" w:line="229" w:lineRule="exact"/>
        <w:rPr>
          <w:sz w:val="20"/>
          <w:szCs w:val="20"/>
          <w:color w:val="auto"/>
        </w:rPr>
      </w:pPr>
    </w:p>
    <w:p>
      <w:pPr>
        <w:ind w:left="40" w:right="79"/>
        <w:spacing w:after="0" w:line="252" w:lineRule="auto"/>
        <w:rPr>
          <w:sz w:val="20"/>
          <w:szCs w:val="20"/>
          <w:color w:val="auto"/>
        </w:rPr>
      </w:pPr>
      <w:r>
        <w:rPr>
          <w:rFonts w:ascii="Times New Roman" w:cs="Times New Roman" w:eastAsia="Times New Roman" w:hAnsi="Times New Roman"/>
          <w:sz w:val="18"/>
          <w:szCs w:val="18"/>
          <w:color w:val="auto"/>
        </w:rPr>
        <w:t>On May 1, 2025, we completed the acquisition of BlueHalo, a U.S. non-public reporting company. Prior to the acquisition, in connection with the preparation of its audited consolidated financial statements for the year ended December 31, 2024, BlueHalo identified three material weaknesses in its internal control over financial reporting.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First, BlueHalo did not design and maintain effective information technology (“IT”) general controls for information systems that are relevant to the preparation of its financial statements. Specifically, BlueHalo did not design and maintain: (i) program change management controls to ensure that program and data changes are identified, tested, authorized, and implemented appropriately; (ii) user access controls to ensure appropriate segregation of duties and to adequately restrict user and privileged access to appropriate personnel. Second, BlueHalo did not design and maintain an effective control environment commensurate with our financial reporting requirements. Specifically, it did not maintain a sufficient complement of personnel with an appropriate degree of internal controls and accounting knowledge, experience, and training commensurate with its accounting and financial reporting requirements. The limited personnel resulted in an inability to consistently establish appropriate authorities and responsibilities in pursuit of financial reporting objectives, as demonstrated by, among other things, insufficient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spacing w:after="0" w:line="266" w:lineRule="auto"/>
        <w:rPr>
          <w:sz w:val="20"/>
          <w:szCs w:val="20"/>
          <w:color w:val="auto"/>
        </w:rPr>
      </w:pPr>
      <w:r>
        <w:rPr>
          <w:rFonts w:ascii="Times New Roman" w:cs="Times New Roman" w:eastAsia="Times New Roman" w:hAnsi="Times New Roman"/>
          <w:sz w:val="18"/>
          <w:szCs w:val="18"/>
          <w:color w:val="auto"/>
        </w:rPr>
        <w:t>segregation of duties in the finance and accounting functions. Third, BlueHalo did not design and maintain effective monitoring activities of the design and operation of controls on a timely basis, or take necessary corrective action to ensure that controls continue to operate effectively and are modified for changes in conditions as appropriate.</w:t>
      </w:r>
    </w:p>
    <w:p>
      <w:pPr>
        <w:spacing w:after="0" w:line="176" w:lineRule="exact"/>
        <w:rPr>
          <w:sz w:val="20"/>
          <w:szCs w:val="20"/>
          <w:color w:val="auto"/>
        </w:rPr>
      </w:pPr>
    </w:p>
    <w:p>
      <w:pPr>
        <w:ind w:left="40" w:right="199"/>
        <w:spacing w:after="0" w:line="266" w:lineRule="auto"/>
        <w:rPr>
          <w:sz w:val="20"/>
          <w:szCs w:val="20"/>
          <w:color w:val="auto"/>
        </w:rPr>
      </w:pPr>
      <w:r>
        <w:rPr>
          <w:rFonts w:ascii="Times New Roman" w:cs="Times New Roman" w:eastAsia="Times New Roman" w:hAnsi="Times New Roman"/>
          <w:sz w:val="18"/>
          <w:szCs w:val="18"/>
          <w:color w:val="auto"/>
        </w:rPr>
        <w:t>As of the date of this report, management’s remediation efforts are ongoing, and management has committed to a remediation plan to address the deficiencies and enhance the internal control environment. The remediation plan includes, but is not limited to:</w:t>
      </w:r>
    </w:p>
    <w:p>
      <w:pPr>
        <w:spacing w:after="0" w:line="176" w:lineRule="exact"/>
        <w:rPr>
          <w:sz w:val="20"/>
          <w:szCs w:val="20"/>
          <w:color w:val="auto"/>
        </w:rPr>
      </w:pPr>
    </w:p>
    <w:p>
      <w:pPr>
        <w:ind w:left="720" w:right="499" w:hanging="325"/>
        <w:spacing w:after="0" w:line="261"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restricted administrator level access to financial systems, ensuring that elevated privileges are limited to authorized personnel with a documented business need;</w:t>
      </w:r>
    </w:p>
    <w:p>
      <w:pPr>
        <w:ind w:left="720" w:right="719" w:hanging="325"/>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periodic user access reviews to confirm that access rights remain appropriate and promptly removing access for terminated or transferred employees;</w:t>
      </w:r>
    </w:p>
    <w:p>
      <w:pPr>
        <w:ind w:left="720" w:right="439" w:hanging="325"/>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a process to utilize the ticketing system to document, approve, and track changes, configuration updates and data modifications;</w:t>
      </w:r>
    </w:p>
    <w:p>
      <w:pPr>
        <w:ind w:left="720" w:hanging="325"/>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management review of audit logs of select data such as vendor master changes, user roles and rates;</w:t>
      </w:r>
    </w:p>
    <w:p>
      <w:pPr>
        <w:spacing w:after="0" w:line="9" w:lineRule="exact"/>
        <w:rPr>
          <w:rFonts w:ascii="Times New Roman" w:cs="Times New Roman" w:eastAsia="Times New Roman" w:hAnsi="Times New Roman"/>
          <w:sz w:val="18"/>
          <w:szCs w:val="18"/>
          <w:color w:val="auto"/>
        </w:rPr>
      </w:pPr>
    </w:p>
    <w:p>
      <w:pPr>
        <w:ind w:left="720" w:right="519" w:hanging="325"/>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a process to utilize the Okta and Single Sign On (SSO) to centralize authentication, strengthen password and multi factor authentication controls, and improve monitoring of user activity;</w:t>
      </w:r>
    </w:p>
    <w:p>
      <w:pPr>
        <w:ind w:left="720" w:right="159" w:hanging="325"/>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segregation of duties review within key business cycles to ensure that no single individual has control over all aspects of a financial transaction;</w:t>
      </w:r>
    </w:p>
    <w:p>
      <w:pPr>
        <w:ind w:left="720" w:right="339" w:hanging="325"/>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targeted training to personnel on internal control requirements, documentation standards, and change management protocols;</w:t>
      </w:r>
    </w:p>
    <w:p>
      <w:pPr>
        <w:ind w:left="720" w:right="199" w:hanging="325"/>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employee’s skill set and actively recruiting experienced personnel with knowledge of internal control and accounting;</w:t>
      </w:r>
    </w:p>
    <w:p>
      <w:pPr>
        <w:ind w:left="720" w:right="959" w:hanging="325"/>
        <w:spacing w:after="0" w:line="26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systems to integrate with our enterprise-wide monitoring tools, enabling real-time alerts for unauthorized access or unusual activity.</w:t>
      </w:r>
    </w:p>
    <w:p>
      <w:pPr>
        <w:spacing w:after="0" w:line="181" w:lineRule="exact"/>
        <w:rPr>
          <w:sz w:val="20"/>
          <w:szCs w:val="20"/>
          <w:color w:val="auto"/>
        </w:rPr>
      </w:pPr>
    </w:p>
    <w:p>
      <w:pPr>
        <w:ind w:left="40" w:right="79"/>
        <w:spacing w:after="0" w:line="258" w:lineRule="auto"/>
        <w:rPr>
          <w:sz w:val="20"/>
          <w:szCs w:val="20"/>
          <w:color w:val="auto"/>
        </w:rPr>
      </w:pPr>
      <w:r>
        <w:rPr>
          <w:rFonts w:ascii="Times New Roman" w:cs="Times New Roman" w:eastAsia="Times New Roman" w:hAnsi="Times New Roman"/>
          <w:sz w:val="18"/>
          <w:szCs w:val="18"/>
          <w:color w:val="auto"/>
        </w:rPr>
        <w:t>However, remedial controls must operate for a sufficient period of time for a definitive conclusion, through testing, that the deficiencies have been fully remediated and, as such, management can give no assurance that the measures it has undertaken have fully remediated the material weaknesses that it has identified or that additional material weaknesses will not arise in the future. Management will continue to monitor the effectiveness of these and other processes, procedures, and controls and will make any further changes that management determines to be appropriate.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16" w:lineRule="exact"/>
        <w:rPr>
          <w:sz w:val="20"/>
          <w:szCs w:val="20"/>
          <w:color w:val="auto"/>
        </w:rPr>
      </w:pPr>
    </w:p>
    <w:p>
      <w:pPr>
        <w:ind w:left="40" w:right="239"/>
        <w:spacing w:after="0" w:line="26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or in other factors identified in connection with the evaluation required by paragraph (d) of Rules 13a-15 or 15d-15 under the Exchange Act that occurred during the quarter ended November 1, 2025 that have materially affected, or are reasonably likely to materially affect, our internal control over financial reporting (as defined in Rules 13a-15(f) and 15d-15(f) under the Exchange Act).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40" w:right="199"/>
        <w:spacing w:after="0" w:line="258" w:lineRule="auto"/>
        <w:rPr>
          <w:sz w:val="20"/>
          <w:szCs w:val="20"/>
          <w:color w:val="auto"/>
        </w:rPr>
      </w:pPr>
      <w:r>
        <w:rPr>
          <w:rFonts w:ascii="Times New Roman" w:cs="Times New Roman" w:eastAsia="Times New Roman" w:hAnsi="Times New Roman"/>
          <w:sz w:val="18"/>
          <w:szCs w:val="18"/>
          <w:color w:val="auto"/>
        </w:rPr>
        <w:t>On August 9, 2021, a former employee filed a class action complaint against AeroVironment in California Superior Court in Los Angeles, California alleging various claims pursuant to the California Labor Code related to wages, meal breaks, overtime, unreimbursed business expenses and other recordkeeping matters. The complaint seeks a jury trial and payment of various alleged unpaid wages, penalties, interest and attorneys’ fees in unspecified amounts. We filed our answer on December 16, 2021.</w:t>
      </w:r>
    </w:p>
    <w:p>
      <w:pPr>
        <w:spacing w:after="0" w:line="183" w:lineRule="exact"/>
        <w:rPr>
          <w:sz w:val="20"/>
          <w:szCs w:val="20"/>
          <w:color w:val="auto"/>
        </w:rPr>
      </w:pPr>
    </w:p>
    <w:p>
      <w:pPr>
        <w:ind w:left="40" w:right="59"/>
        <w:spacing w:after="0" w:line="261" w:lineRule="auto"/>
        <w:rPr>
          <w:sz w:val="20"/>
          <w:szCs w:val="20"/>
          <w:color w:val="auto"/>
        </w:rPr>
      </w:pPr>
      <w:r>
        <w:rPr>
          <w:rFonts w:ascii="Times New Roman" w:cs="Times New Roman" w:eastAsia="Times New Roman" w:hAnsi="Times New Roman"/>
          <w:sz w:val="18"/>
          <w:szCs w:val="18"/>
          <w:color w:val="auto"/>
        </w:rPr>
        <w:t>On March 29, 2024, a former employee filed a complaint against AeroVironment in the Ventura County Superior Court in California, alleging violations of the California Labor Code related to wages, meal breaks, overtime, unreimbursed business expenses and other recordkeeping matters and seeking penalties recoverable under California Labor Code section 2698, et. seq., Private Attorney General Act of 2004 (“PAGA”) and all other remedies available under PAGA.</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59"/>
        <w:spacing w:after="0" w:line="282" w:lineRule="auto"/>
        <w:rPr>
          <w:sz w:val="20"/>
          <w:szCs w:val="20"/>
          <w:color w:val="auto"/>
        </w:rPr>
      </w:pPr>
      <w:r>
        <w:rPr>
          <w:rFonts w:ascii="Times New Roman" w:cs="Times New Roman" w:eastAsia="Times New Roman" w:hAnsi="Times New Roman"/>
          <w:sz w:val="18"/>
          <w:szCs w:val="18"/>
          <w:color w:val="auto"/>
        </w:rPr>
        <w:t>The complaint seeks civil penalties on behalf of the plaintiff and similarly situations persons pursuant to PAGA. We filed our answer on June 20, 2024.</w:t>
      </w:r>
    </w:p>
    <w:p>
      <w:pPr>
        <w:spacing w:after="0" w:line="175"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8"/>
          <w:szCs w:val="18"/>
          <w:color w:val="auto"/>
        </w:rPr>
        <w:t>On June 11, 2025, the parties reached an agreement in principle to settle all claims in the class action complaint and PAGA complaint pursuant to a mediator’s proposal made on such a date by the mediator from a May 8, 2025 mediation session held for the class action litigation. A court must approve the terms of the settlement before we will pay any amounts pursuant to the settlement. The parties are currently working on a written settlement agreement to present to the court for approval. The estimated settlement was accrued in our consolidated statements of income(loss) for the year ended April 30, 2025.</w:t>
      </w:r>
    </w:p>
    <w:p>
      <w:pPr>
        <w:spacing w:after="0" w:line="187" w:lineRule="exact"/>
        <w:rPr>
          <w:sz w:val="20"/>
          <w:szCs w:val="20"/>
          <w:color w:val="auto"/>
        </w:rPr>
      </w:pPr>
    </w:p>
    <w:p>
      <w:pPr>
        <w:jc w:val="both"/>
        <w:ind w:left="40" w:right="139"/>
        <w:spacing w:after="0" w:line="289" w:lineRule="auto"/>
        <w:rPr>
          <w:sz w:val="20"/>
          <w:szCs w:val="20"/>
          <w:color w:val="auto"/>
        </w:rPr>
      </w:pPr>
      <w:r>
        <w:rPr>
          <w:rFonts w:ascii="Times New Roman" w:cs="Times New Roman" w:eastAsia="Times New Roman" w:hAnsi="Times New Roman"/>
          <w:sz w:val="17"/>
          <w:szCs w:val="17"/>
          <w:color w:val="auto"/>
        </w:rPr>
        <w:t>We are subject to lawsuits, government investigations, audits and other legal proceedings from time to time in the ordinary course of our business. It is not possible to predict the outcome of any legal proceeding with any certainty. The outcome or costs we incur in connection with a legal proceeding could adversely impact our operating results and financial position.</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40" w:right="379"/>
        <w:spacing w:after="0" w:line="266" w:lineRule="auto"/>
        <w:rPr>
          <w:sz w:val="20"/>
          <w:szCs w:val="20"/>
          <w:color w:val="auto"/>
        </w:rPr>
      </w:pPr>
      <w:r>
        <w:rPr>
          <w:rFonts w:ascii="Times New Roman" w:cs="Times New Roman" w:eastAsia="Times New Roman" w:hAnsi="Times New Roman"/>
          <w:sz w:val="18"/>
          <w:szCs w:val="18"/>
          <w:color w:val="auto"/>
        </w:rPr>
        <w:t>Except as set forth below, there have been no material changes to the risk factors disclosed under Part I, Item 1A, “Risk Factors,” of our Annual Report on Form 10-K for the fiscal year ended April 30, 2025. Please refer to that section for disclosures regarding the risks and uncertainties related to our business.</w:t>
      </w:r>
    </w:p>
    <w:p>
      <w:pPr>
        <w:spacing w:after="0" w:line="64" w:lineRule="exact"/>
        <w:rPr>
          <w:sz w:val="20"/>
          <w:szCs w:val="20"/>
          <w:color w:val="auto"/>
        </w:rPr>
      </w:pPr>
    </w:p>
    <w:p>
      <w:pPr>
        <w:ind w:left="4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indebtedness represented by our Notes could limit the cash flow available for our operations, expose us to risks that could adversely affect our business, financial condition and results of operations and impair our ability to satisfy our obligations under the Notes.</w:t>
      </w:r>
    </w:p>
    <w:p>
      <w:pPr>
        <w:spacing w:after="0" w:line="67" w:lineRule="exact"/>
        <w:rPr>
          <w:sz w:val="20"/>
          <w:szCs w:val="20"/>
          <w:color w:val="auto"/>
        </w:rPr>
      </w:pPr>
    </w:p>
    <w:p>
      <w:pPr>
        <w:ind w:left="40" w:right="79"/>
        <w:spacing w:after="0" w:line="258" w:lineRule="auto"/>
        <w:rPr>
          <w:sz w:val="20"/>
          <w:szCs w:val="20"/>
          <w:color w:val="auto"/>
        </w:rPr>
      </w:pPr>
      <w:r>
        <w:rPr>
          <w:rFonts w:ascii="Times New Roman" w:cs="Times New Roman" w:eastAsia="Times New Roman" w:hAnsi="Times New Roman"/>
          <w:sz w:val="18"/>
          <w:szCs w:val="18"/>
          <w:color w:val="auto"/>
        </w:rPr>
        <w:t>As of November 1, 2025, we had total indebtedness of approximately $727 million consisting of aggregate principal of our Notes. We may incur additional indebtedness to meet future financing needs. We may incur additional indebtedness to meet future financing needs. The indebtedness represented by our Notes and obligations under the Indenture pursuant to which the Notes were issued could have significant negative consequences for our security holders and our business, results of operations and financial condition by, among other things:</w:t>
      </w:r>
    </w:p>
    <w:p>
      <w:pPr>
        <w:spacing w:after="0" w:line="183" w:lineRule="exact"/>
        <w:rPr>
          <w:sz w:val="20"/>
          <w:szCs w:val="20"/>
          <w:color w:val="auto"/>
        </w:rPr>
      </w:pPr>
    </w:p>
    <w:p>
      <w:pPr>
        <w:ind w:left="720" w:hanging="325"/>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27"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w:t>
      </w:r>
    </w:p>
    <w:p>
      <w:pPr>
        <w:spacing w:after="0" w:line="9" w:lineRule="exact"/>
        <w:rPr>
          <w:rFonts w:ascii="Times New Roman" w:cs="Times New Roman" w:eastAsia="Times New Roman" w:hAnsi="Times New Roman"/>
          <w:sz w:val="18"/>
          <w:szCs w:val="18"/>
          <w:color w:val="auto"/>
        </w:rPr>
      </w:pPr>
    </w:p>
    <w:p>
      <w:pPr>
        <w:ind w:left="720" w:right="439" w:hanging="325"/>
        <w:spacing w:after="0" w:line="250"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service our indebtedness, which will reduce the amount of cash available for other purposes;</w:t>
      </w:r>
    </w:p>
    <w:p>
      <w:pPr>
        <w:ind w:left="720" w:hanging="325"/>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w:t>
      </w:r>
    </w:p>
    <w:p>
      <w:pPr>
        <w:spacing w:after="0" w:line="9" w:lineRule="exact"/>
        <w:rPr>
          <w:rFonts w:ascii="Times New Roman" w:cs="Times New Roman" w:eastAsia="Times New Roman" w:hAnsi="Times New Roman"/>
          <w:sz w:val="18"/>
          <w:szCs w:val="18"/>
          <w:color w:val="auto"/>
        </w:rPr>
      </w:pPr>
    </w:p>
    <w:p>
      <w:pPr>
        <w:ind w:left="720" w:right="799" w:hanging="325"/>
        <w:spacing w:after="0" w:line="250"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interests of our existing stockholders as a result of issuing shares of our common stock upon conversion of the Notes; and</w:t>
      </w:r>
    </w:p>
    <w:p>
      <w:pPr>
        <w:ind w:left="720" w:right="259" w:hanging="325"/>
        <w:spacing w:after="0" w:line="260"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with competitors that are less leveraged than us or have better access to capital.</w:t>
      </w:r>
    </w:p>
    <w:p>
      <w:pPr>
        <w:spacing w:after="0" w:line="73" w:lineRule="exact"/>
        <w:rPr>
          <w:sz w:val="20"/>
          <w:szCs w:val="20"/>
          <w:color w:val="auto"/>
        </w:rPr>
      </w:pPr>
    </w:p>
    <w:p>
      <w:pPr>
        <w:ind w:left="40" w:right="159"/>
        <w:spacing w:after="0" w:line="255" w:lineRule="auto"/>
        <w:rPr>
          <w:sz w:val="20"/>
          <w:szCs w:val="20"/>
          <w:color w:val="auto"/>
        </w:rPr>
      </w:pPr>
      <w:r>
        <w:rPr>
          <w:rFonts w:ascii="Times New Roman" w:cs="Times New Roman" w:eastAsia="Times New Roman" w:hAnsi="Times New Roman"/>
          <w:sz w:val="18"/>
          <w:szCs w:val="18"/>
          <w:color w:val="auto"/>
        </w:rPr>
        <w:t>Our business may not generate sufficient funds, and we may otherwise be unable to maintain sufficient cash reserves, to pay amounts due under our indebtedness, including the Notes, and our cash needs may increase in the future. In addition, the Indenture contains, and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185" w:lineRule="exact"/>
        <w:rPr>
          <w:sz w:val="20"/>
          <w:szCs w:val="20"/>
          <w:color w:val="auto"/>
        </w:rPr>
      </w:pPr>
    </w:p>
    <w:p>
      <w:pPr>
        <w:ind w:left="4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or sale of shares of our common stock, or rights to acquire shares of our common stock, could depress the trading price of our common stock and the Notes.</w:t>
      </w:r>
    </w:p>
    <w:p>
      <w:pPr>
        <w:spacing w:after="0" w:line="159" w:lineRule="exact"/>
        <w:rPr>
          <w:sz w:val="20"/>
          <w:szCs w:val="20"/>
          <w:color w:val="auto"/>
        </w:rPr>
      </w:pPr>
    </w:p>
    <w:p>
      <w:pPr>
        <w:ind w:left="40" w:right="119"/>
        <w:spacing w:after="0" w:line="261" w:lineRule="auto"/>
        <w:rPr>
          <w:sz w:val="20"/>
          <w:szCs w:val="20"/>
          <w:color w:val="auto"/>
        </w:rPr>
      </w:pPr>
      <w:r>
        <w:rPr>
          <w:rFonts w:ascii="Times New Roman" w:cs="Times New Roman" w:eastAsia="Times New Roman" w:hAnsi="Times New Roman"/>
          <w:sz w:val="18"/>
          <w:szCs w:val="18"/>
          <w:color w:val="auto"/>
        </w:rPr>
        <w:t>We may conduct future offerings of common stock, preferred stock or other securities that are convertible into, or exercisable or exchangeable for, our common stock to finance our operations or fund acquisitions, or for other purposes. In addition, we have shares reserved and available for issuance pursuant to our 2023 Employee Stock Purchase Plan and our Amended and Restated 2021 Equity Incentive Plan and issued 17,425,849 shares of common stock as consideration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79"/>
        <w:spacing w:after="0" w:line="282" w:lineRule="auto"/>
        <w:rPr>
          <w:sz w:val="20"/>
          <w:szCs w:val="20"/>
          <w:color w:val="auto"/>
        </w:rPr>
      </w:pPr>
      <w:r>
        <w:rPr>
          <w:rFonts w:ascii="Times New Roman" w:cs="Times New Roman" w:eastAsia="Times New Roman" w:hAnsi="Times New Roman"/>
          <w:sz w:val="18"/>
          <w:szCs w:val="18"/>
          <w:color w:val="auto"/>
        </w:rPr>
        <w:t>for the BlueHalo acquisition, substantially all of which are subject to a lock-up but will be eligible for resale upon expiration of the applicable lock-up period.</w:t>
      </w:r>
    </w:p>
    <w:p>
      <w:pPr>
        <w:spacing w:after="0" w:line="54" w:lineRule="exact"/>
        <w:rPr>
          <w:sz w:val="20"/>
          <w:szCs w:val="20"/>
          <w:color w:val="auto"/>
        </w:rPr>
      </w:pPr>
    </w:p>
    <w:p>
      <w:pPr>
        <w:ind w:left="40" w:right="139"/>
        <w:spacing w:after="0" w:line="256" w:lineRule="auto"/>
        <w:rPr>
          <w:sz w:val="20"/>
          <w:szCs w:val="20"/>
          <w:color w:val="auto"/>
        </w:rPr>
      </w:pPr>
      <w:r>
        <w:rPr>
          <w:rFonts w:ascii="Times New Roman" w:cs="Times New Roman" w:eastAsia="Times New Roman" w:hAnsi="Times New Roman"/>
          <w:sz w:val="18"/>
          <w:szCs w:val="18"/>
          <w:color w:val="auto"/>
        </w:rPr>
        <w:t>The Indenture for the Notes does not restrict our ability to issue additional equity securities in the future. If we issue additional shares of our common stock or rights to acquire shares of our common stock, if any of our existing stockholders sell a substantial amount of our common stock, or if the market perceives that such issuances or sales may occur, then the trading price of our common stock and, accordingly, the Notes may significantly decline. In addition, any issuance of additional shares of common stock will dilute the ownership interests of our existing common stockholders, including Noteholders who have received shares of our common stock upon conversion of their Notes.</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The conversion of Notes could impair our financial position and liquidity.</w:t>
      </w:r>
    </w:p>
    <w:p>
      <w:pPr>
        <w:spacing w:after="0" w:line="121"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8"/>
          <w:szCs w:val="18"/>
          <w:color w:val="auto"/>
        </w:rPr>
        <w:t>Because we must settle at least a portion of our conversion obligation in cash, the conversion of Notes could materially and adversely affect our financial position and liquidity. Before April 15, 2030, Noteholders will have the right to convert their Notes only upon the occurrence of certain events. From and after April 15, 2030, Noteholders may convert their Notes at any time at their election until the close of business on the second scheduled trading day immediately before the maturity date. However, many of the conditions that permit the conversion of Notes before April 15, 2030 are beyond our control. We could be required to expend a significant amount of cash to settle conversions, which could significantly harm our financial position and liquidity.</w:t>
      </w:r>
    </w:p>
    <w:p>
      <w:pPr>
        <w:spacing w:after="0" w:line="185" w:lineRule="exact"/>
        <w:rPr>
          <w:sz w:val="20"/>
          <w:szCs w:val="20"/>
          <w:color w:val="auto"/>
        </w:rPr>
      </w:pPr>
    </w:p>
    <w:p>
      <w:pPr>
        <w:ind w:left="4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decline in the U.S. and other government budgets, changes in spending or budgetary priorities, delays in contract awards or in the release of approved funds may significantly and adversely affect our future revenue.</w:t>
      </w:r>
    </w:p>
    <w:p>
      <w:pPr>
        <w:spacing w:after="0" w:line="159" w:lineRule="exact"/>
        <w:rPr>
          <w:sz w:val="20"/>
          <w:szCs w:val="20"/>
          <w:color w:val="auto"/>
        </w:rPr>
      </w:pPr>
    </w:p>
    <w:p>
      <w:pPr>
        <w:ind w:left="40" w:right="79"/>
        <w:spacing w:after="0" w:line="252" w:lineRule="auto"/>
        <w:rPr>
          <w:sz w:val="20"/>
          <w:szCs w:val="20"/>
          <w:color w:val="auto"/>
        </w:rPr>
      </w:pPr>
      <w:r>
        <w:rPr>
          <w:rFonts w:ascii="Times New Roman" w:cs="Times New Roman" w:eastAsia="Times New Roman" w:hAnsi="Times New Roman"/>
          <w:sz w:val="18"/>
          <w:szCs w:val="18"/>
          <w:color w:val="auto"/>
        </w:rPr>
        <w:t>Because we generate a significant portion of our total sales from the U.S. government and its agencies and from foreign governments, our results of operations could be adversely affected by government spending caps, delays in the government budget process, program starts, the award of contracts or orders under existing contracts, or in the release of funds by the federal government. Delays in the definitization of a contract could result in delayed funding, billing and payment. Our business may be adversely impacted by shifts in the political environment and resulting changes in government and agency leadership positions and priorities for funding. We cannot assure you that current levels of congressional funding for our products and services will continue and that our business will not decline, or that such funding will be accessible consistent with previously realized timelines due to federal budgetary review activities and potential freezes on or cancellation of various governmental programs from time to time. If annual budget appropriations or continuing resolutions are not enacted timely, we could face U.S. government shutdowns, which could adversely impact our programs and contracts with the U.S. government, our ability to receive timely payment from U.S. government entities, our ability to provide services to the U.S. government resulting in lost or delayed revenue under our services contracts (the volume of which materially increased with our BlueHalo acquisition), and our ability to timely obtain export licenses for our products and services to fulfill contracts with our international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Trading Plan</w:t>
      </w:r>
    </w:p>
    <w:p>
      <w:pPr>
        <w:spacing w:after="0" w:line="229" w:lineRule="exact"/>
        <w:rPr>
          <w:sz w:val="20"/>
          <w:szCs w:val="20"/>
          <w:color w:val="auto"/>
        </w:rPr>
      </w:pPr>
    </w:p>
    <w:p>
      <w:pPr>
        <w:ind w:left="40" w:right="79"/>
        <w:spacing w:after="0" w:line="252" w:lineRule="auto"/>
        <w:rPr>
          <w:sz w:val="20"/>
          <w:szCs w:val="20"/>
          <w:color w:val="auto"/>
        </w:rPr>
      </w:pPr>
      <w:r>
        <w:rPr>
          <w:rFonts w:ascii="Times New Roman" w:cs="Times New Roman" w:eastAsia="Times New Roman" w:hAnsi="Times New Roman"/>
          <w:sz w:val="18"/>
          <w:szCs w:val="18"/>
          <w:color w:val="auto"/>
        </w:rPr>
        <w:t>On September 30, 2025, Brian Shackley, our Vice President and Chief Accounting Officer, and Stephen Page, Director, each adopted a trading arrangement (the “Shackley Rule 10b5-1 Trading Plan” and “Page Rule 10b5-1 Trading Plan”, respectively) for the sale of shares of Common Stock that is intended to satisfy the affirmative defense conditions of Exchange Act Rule 10b5-1(c). The Shackley Rule 10b5-1 Trading Plan, which has a term of approximately 15 months, provides for the sale of shares of Common Stock issuable under the terms of certain restricted stock unit (“RSU”) awards granted to Mr. Shackley by the Company (“RSU Shares”). The aggregate number of RSU Shares that will be available for sale under the Shackley Rule 10b5-1 Trading Plan is not yet determinable because the shares available will be net of shares sold to satisfy tax withholding obligations that arise in connection with the vesting and settlement of such RSU awards. Additionally, certain provisions within the Shackley Rule 10b5-1 Trading Plan specify a certain percentage of the net shares that can be sold at the vesting date of the underlying equity award. As such, for purposes of this disclosure, the aggregate number of shares of Common Stock of that will be subject to sale pursuant to the terms of the Shackley 10b5-1 Trading Plan is 988 (plus max PRSU to vest in June 2026) reflecting the aggregate maximum number of gross shares underlying the equity awards subject to the Shackley Rule 10b5-1 Trading Plan. The Page Rule 10b5-1 Trading Plan, which has a term of approximately 15 months, provides for the sale of shares of Common Stock issuable under the terms of certain RSU awards granted to Mr. Page by the Company. The aggregate number of shares of Common Stock that will be subject to sale pursuant to the terms of the Page Rule 10b5-1 Trading Plan, is a maximum of 11,000 (plus July 11, 2026 vesting amount) with sales contingent on future vesting of equity awards.</w:t>
      </w:r>
    </w:p>
    <w:p>
      <w:pPr>
        <w:spacing w:after="0" w:line="193" w:lineRule="exact"/>
        <w:rPr>
          <w:sz w:val="20"/>
          <w:szCs w:val="20"/>
          <w:color w:val="auto"/>
        </w:rPr>
      </w:pPr>
    </w:p>
    <w:p>
      <w:pPr>
        <w:ind w:left="40" w:right="319"/>
        <w:spacing w:after="0" w:line="261" w:lineRule="auto"/>
        <w:rPr>
          <w:sz w:val="20"/>
          <w:szCs w:val="20"/>
          <w:color w:val="auto"/>
        </w:rPr>
      </w:pPr>
      <w:r>
        <w:rPr>
          <w:rFonts w:ascii="Times New Roman" w:cs="Times New Roman" w:eastAsia="Times New Roman" w:hAnsi="Times New Roman"/>
          <w:sz w:val="18"/>
          <w:szCs w:val="18"/>
          <w:color w:val="auto"/>
        </w:rPr>
        <w:t>Other than with respect to the Shackley Rule 10b5-1 Trading Plan and Page Rule 10b5-1 Trading Plan, none of our directors or officers informed us of the adoption, modification or termination of a “Rule 10b5-1 trading arrangement” or “non-Rule 10b5-1 trading arrangement,” as those terms are defined in Regulation S-K, Item 408 during the three-month period ended November 1, 2025.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00" w:type="dxa"/>
            <w:vAlign w:val="bottom"/>
            <w:gridSpan w:val="16"/>
          </w:tcPr>
          <w:p>
            <w:pPr>
              <w:ind w:left="8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6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220" w:type="dxa"/>
            <w:vAlign w:val="bottom"/>
          </w:tcPr>
          <w:p>
            <w:pPr>
              <w:spacing w:after="0"/>
              <w:rPr>
                <w:sz w:val="14"/>
                <w:szCs w:val="14"/>
                <w:color w:val="auto"/>
              </w:rPr>
            </w:pPr>
          </w:p>
        </w:tc>
        <w:tc>
          <w:tcPr>
            <w:tcW w:w="7880" w:type="dxa"/>
            <w:vAlign w:val="bottom"/>
            <w:tcBorders>
              <w:top w:val="single" w:sz="8" w:color="auto"/>
              <w:bottom w:val="single" w:sz="8" w:color="0000EE"/>
            </w:tcBorders>
            <w:gridSpan w:val="16"/>
          </w:tcPr>
          <w:p>
            <w:pPr>
              <w:spacing w:after="0" w:line="169"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Amended and Restated Certificate of Incorporation of AeroVironment, Inc. (incorporated by reference herein</w:t>
              </w:r>
            </w:hyperlink>
          </w:p>
        </w:tc>
        <w:tc>
          <w:tcPr>
            <w:tcW w:w="140" w:type="dxa"/>
            <w:vAlign w:val="bottom"/>
            <w:tcBorders>
              <w:top w:val="single" w:sz="8" w:color="auto"/>
            </w:tcBorders>
            <w:gridSpan w:val="3"/>
          </w:tcPr>
          <w:p>
            <w:pPr>
              <w:spacing w:after="0"/>
              <w:rPr>
                <w:sz w:val="14"/>
                <w:szCs w:val="14"/>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20" w:type="dxa"/>
            <w:vAlign w:val="bottom"/>
            <w:gridSpan w:val="19"/>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to Exhibit 3.1 to the Company’s Current Report on Form 8-K filed with the SEC on October 3, 2024)</w:t>
              </w:r>
            </w:hyperlink>
          </w:p>
        </w:tc>
      </w:tr>
      <w:tr>
        <w:trPr>
          <w:trHeight w:val="196"/>
        </w:trPr>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220" w:type="dxa"/>
            <w:vAlign w:val="bottom"/>
          </w:tcPr>
          <w:p>
            <w:pPr>
              <w:spacing w:after="0"/>
              <w:rPr>
                <w:sz w:val="17"/>
                <w:szCs w:val="17"/>
                <w:color w:val="auto"/>
              </w:rPr>
            </w:pPr>
          </w:p>
        </w:tc>
        <w:tc>
          <w:tcPr>
            <w:tcW w:w="728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Sixth Amended and Restated Bylaws of AeroVironment, Inc., amended as of November 20, 2025.</w:t>
              </w:r>
            </w:hyperlink>
          </w:p>
        </w:tc>
        <w:tc>
          <w:tcPr>
            <w:tcW w:w="740" w:type="dxa"/>
            <w:vAlign w:val="bottom"/>
            <w:gridSpan w:val="10"/>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20" w:type="dxa"/>
            <w:vAlign w:val="bottom"/>
            <w:gridSpan w:val="19"/>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(incorporated by reference herein to Exhibit 3.1 to the Company’s Current Report on Form 8-K filed with the</w:t>
              </w:r>
            </w:hyperlink>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SEC on November 25, 2025)</w:t>
              </w:r>
            </w:hyperlink>
          </w:p>
        </w:tc>
        <w:tc>
          <w:tcPr>
            <w:tcW w:w="5760" w:type="dxa"/>
            <w:vAlign w:val="bottom"/>
            <w:tcBorders>
              <w:top w:val="single" w:sz="8" w:color="0000EE"/>
            </w:tcBorders>
            <w:gridSpan w:val="14"/>
          </w:tcPr>
          <w:p>
            <w:pPr>
              <w:spacing w:after="0"/>
              <w:rPr>
                <w:sz w:val="17"/>
                <w:szCs w:val="17"/>
                <w:color w:val="auto"/>
              </w:rPr>
            </w:pPr>
          </w:p>
        </w:tc>
        <w:tc>
          <w:tcPr>
            <w:tcW w:w="160" w:type="dxa"/>
            <w:vAlign w:val="bottom"/>
            <w:gridSpan w:val="4"/>
          </w:tcPr>
          <w:p>
            <w:pPr>
              <w:spacing w:after="0"/>
              <w:rPr>
                <w:sz w:val="17"/>
                <w:szCs w:val="17"/>
                <w:color w:val="auto"/>
              </w:rPr>
            </w:pPr>
          </w:p>
        </w:tc>
      </w:tr>
      <w:tr>
        <w:trPr>
          <w:trHeight w:val="196"/>
        </w:trPr>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220" w:type="dxa"/>
            <w:vAlign w:val="bottom"/>
          </w:tcPr>
          <w:p>
            <w:pPr>
              <w:spacing w:after="0"/>
              <w:rPr>
                <w:sz w:val="17"/>
                <w:szCs w:val="17"/>
                <w:color w:val="auto"/>
              </w:rPr>
            </w:pPr>
          </w:p>
        </w:tc>
        <w:tc>
          <w:tcPr>
            <w:tcW w:w="76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Indenture, dated as of July 3, 2025, between AeroVironment, Inc. and U.S. Bank Trust Company, National</w:t>
              </w:r>
            </w:hyperlink>
          </w:p>
        </w:tc>
        <w:tc>
          <w:tcPr>
            <w:tcW w:w="340" w:type="dxa"/>
            <w:vAlign w:val="bottom"/>
            <w:gridSpan w:val="6"/>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Association, as trustee (incorporated by reference to Exhibit 4.1 to the Company’s Current Report on Form 8-</w:t>
              </w:r>
            </w:hyperlink>
          </w:p>
        </w:tc>
        <w:tc>
          <w:tcPr>
            <w:tcW w:w="120" w:type="dxa"/>
            <w:vAlign w:val="bottom"/>
            <w:gridSpan w:val="2"/>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20" w:type="dxa"/>
            <w:vAlign w:val="bottom"/>
            <w:gridSpan w:val="19"/>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K filed with the SEC on July 3, 2025)</w:t>
              </w:r>
            </w:hyperlink>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220" w:type="dxa"/>
            <w:vAlign w:val="bottom"/>
          </w:tcPr>
          <w:p>
            <w:pPr>
              <w:spacing w:after="0"/>
              <w:rPr>
                <w:sz w:val="17"/>
                <w:szCs w:val="17"/>
                <w:color w:val="auto"/>
              </w:rPr>
            </w:pPr>
          </w:p>
        </w:tc>
        <w:tc>
          <w:tcPr>
            <w:tcW w:w="76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First Supplemental Indenture, dated as of July 3, 2025, between AeroVironment, Inc. and U.S. Bank Trust</w:t>
              </w:r>
            </w:hyperlink>
          </w:p>
        </w:tc>
        <w:tc>
          <w:tcPr>
            <w:tcW w:w="380" w:type="dxa"/>
            <w:vAlign w:val="bottom"/>
            <w:gridSpan w:val="7"/>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20" w:type="dxa"/>
            <w:vAlign w:val="bottom"/>
            <w:gridSpan w:val="19"/>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Company, National Association, as trustee (incorporated by reference to Exhibit 4.2 to the Company’s Current</w:t>
              </w:r>
            </w:hyperlink>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4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Report on Form 8-K filed with the SEC on July 3, 2025)</w:t>
              </w:r>
            </w:hyperlink>
          </w:p>
        </w:tc>
        <w:tc>
          <w:tcPr>
            <w:tcW w:w="8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r>
      <w:tr>
        <w:trPr>
          <w:trHeight w:val="196"/>
        </w:trPr>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7"/>
                <w:szCs w:val="17"/>
                <w:color w:val="auto"/>
              </w:rPr>
            </w:pPr>
          </w:p>
        </w:tc>
        <w:tc>
          <w:tcPr>
            <w:tcW w:w="72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Amended and Restated 2021 Equity Incentive Plan (incorporated by reference to Appendix A to the</w:t>
              </w:r>
            </w:hyperlink>
          </w:p>
        </w:tc>
        <w:tc>
          <w:tcPr>
            <w:tcW w:w="820" w:type="dxa"/>
            <w:vAlign w:val="bottom"/>
            <w:gridSpan w:val="11"/>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Company’s Definitive Proxy Statement on Schedule 14A filed August 13, 2025)</w:t>
              </w:r>
            </w:hyperlink>
          </w:p>
        </w:tc>
        <w:tc>
          <w:tcPr>
            <w:tcW w:w="2220" w:type="dxa"/>
            <w:vAlign w:val="bottom"/>
            <w:gridSpan w:val="13"/>
          </w:tcPr>
          <w:p>
            <w:pPr>
              <w:spacing w:after="0"/>
              <w:rPr>
                <w:sz w:val="17"/>
                <w:szCs w:val="17"/>
                <w:color w:val="auto"/>
              </w:rPr>
            </w:pPr>
          </w:p>
        </w:tc>
      </w:tr>
      <w:tr>
        <w:trPr>
          <w:trHeight w:val="196"/>
        </w:trPr>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7"/>
                <w:szCs w:val="17"/>
                <w:color w:val="auto"/>
              </w:rPr>
            </w:pPr>
          </w:p>
        </w:tc>
        <w:tc>
          <w:tcPr>
            <w:tcW w:w="75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Rule 13a-14(a) and Rule 15d-14(a) of the Securities</w:t>
            </w:r>
          </w:p>
        </w:tc>
        <w:tc>
          <w:tcPr>
            <w:tcW w:w="500" w:type="dxa"/>
            <w:vAlign w:val="bottom"/>
            <w:gridSpan w:val="8"/>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of 1934, as amended.</w:t>
            </w:r>
          </w:p>
        </w:tc>
        <w:tc>
          <w:tcPr>
            <w:tcW w:w="5420" w:type="dxa"/>
            <w:vAlign w:val="bottom"/>
            <w:gridSpan w:val="17"/>
          </w:tcPr>
          <w:p>
            <w:pPr>
              <w:spacing w:after="0"/>
              <w:rPr>
                <w:sz w:val="17"/>
                <w:szCs w:val="17"/>
                <w:color w:val="auto"/>
              </w:rPr>
            </w:pPr>
          </w:p>
        </w:tc>
      </w:tr>
      <w:tr>
        <w:trPr>
          <w:trHeight w:val="196"/>
        </w:trPr>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17"/>
                <w:szCs w:val="17"/>
                <w:color w:val="auto"/>
              </w:rPr>
            </w:pPr>
          </w:p>
        </w:tc>
        <w:tc>
          <w:tcPr>
            <w:tcW w:w="80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Rule 13a-14(a) and Rule 15d-14(a) of the Securities</w:t>
            </w: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of 1934, as amended.</w:t>
            </w:r>
          </w:p>
        </w:tc>
        <w:tc>
          <w:tcPr>
            <w:tcW w:w="4860" w:type="dxa"/>
            <w:vAlign w:val="bottom"/>
            <w:tcBorders>
              <w:top w:val="single" w:sz="8" w:color="0000EE"/>
            </w:tcBorders>
            <w:gridSpan w:val="8"/>
          </w:tcPr>
          <w:p>
            <w:pPr>
              <w:spacing w:after="0"/>
              <w:rPr>
                <w:sz w:val="17"/>
                <w:szCs w:val="17"/>
                <w:color w:val="auto"/>
              </w:rPr>
            </w:pPr>
          </w:p>
        </w:tc>
        <w:tc>
          <w:tcPr>
            <w:tcW w:w="560" w:type="dxa"/>
            <w:vAlign w:val="bottom"/>
            <w:gridSpan w:val="9"/>
          </w:tcPr>
          <w:p>
            <w:pPr>
              <w:spacing w:after="0"/>
              <w:rPr>
                <w:sz w:val="17"/>
                <w:szCs w:val="17"/>
                <w:color w:val="auto"/>
              </w:rPr>
            </w:pPr>
          </w:p>
        </w:tc>
      </w:tr>
      <w:tr>
        <w:trPr>
          <w:trHeight w:val="196"/>
        </w:trPr>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32#</w:t>
            </w:r>
          </w:p>
        </w:tc>
        <w:tc>
          <w:tcPr>
            <w:tcW w:w="220" w:type="dxa"/>
            <w:vAlign w:val="bottom"/>
          </w:tcPr>
          <w:p>
            <w:pPr>
              <w:spacing w:after="0"/>
              <w:rPr>
                <w:sz w:val="17"/>
                <w:szCs w:val="17"/>
                <w:color w:val="auto"/>
              </w:rPr>
            </w:pPr>
          </w:p>
        </w:tc>
        <w:tc>
          <w:tcPr>
            <w:tcW w:w="77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and Chief Financial Officer pursuant to 18 U.S.C. Section 1350, as</w:t>
            </w:r>
          </w:p>
        </w:tc>
        <w:tc>
          <w:tcPr>
            <w:tcW w:w="280" w:type="dxa"/>
            <w:vAlign w:val="bottom"/>
            <w:gridSpan w:val="5"/>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906 of the Sarbanes-Oxley Act of 2002.</w:t>
            </w:r>
          </w:p>
        </w:tc>
      </w:tr>
      <w:tr>
        <w:trPr>
          <w:trHeight w:val="20"/>
        </w:trPr>
        <w:tc>
          <w:tcPr>
            <w:tcW w:w="900" w:type="dxa"/>
            <w:vAlign w:val="bottom"/>
            <w:gridSpan w:val="2"/>
          </w:tcPr>
          <w:p>
            <w:pPr>
              <w:spacing w:after="0" w:line="20" w:lineRule="exact"/>
              <w:rPr>
                <w:sz w:val="1"/>
                <w:szCs w:val="1"/>
                <w:color w:val="auto"/>
              </w:rPr>
            </w:pPr>
          </w:p>
        </w:tc>
        <w:tc>
          <w:tcPr>
            <w:tcW w:w="4920" w:type="dxa"/>
            <w:vAlign w:val="bottom"/>
            <w:gridSpan w:val="5"/>
            <w:shd w:val="clear" w:color="auto" w:fill="0000EE"/>
          </w:tcPr>
          <w:p>
            <w:pPr>
              <w:spacing w:after="0" w:line="20" w:lineRule="exact"/>
              <w:rPr>
                <w:sz w:val="1"/>
                <w:szCs w:val="1"/>
                <w:color w:val="auto"/>
              </w:rPr>
            </w:pPr>
          </w:p>
        </w:tc>
        <w:tc>
          <w:tcPr>
            <w:tcW w:w="3100" w:type="dxa"/>
            <w:vAlign w:val="bottom"/>
            <w:gridSpan w:val="14"/>
          </w:tcPr>
          <w:p>
            <w:pPr>
              <w:spacing w:after="0" w:line="20" w:lineRule="exact"/>
              <w:rPr>
                <w:sz w:val="1"/>
                <w:szCs w:val="1"/>
                <w:color w:val="auto"/>
              </w:rPr>
            </w:pPr>
          </w:p>
        </w:tc>
      </w:tr>
      <w:tr>
        <w:trPr>
          <w:trHeight w:val="218"/>
        </w:trPr>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80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Files because its</w:t>
            </w:r>
          </w:p>
        </w:tc>
      </w:tr>
      <w:tr>
        <w:trPr>
          <w:trHeight w:val="216"/>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r>
      <w:tr>
        <w:trPr>
          <w:trHeight w:val="216"/>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80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80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80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80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80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40" w:right="1659" w:firstLine="211"/>
        <w:spacing w:after="0" w:line="482" w:lineRule="auto"/>
        <w:tabs>
          <w:tab w:leader="none" w:pos="93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spacing w:after="0" w:line="1" w:lineRule="exact"/>
        <w:rPr>
          <w:sz w:val="20"/>
          <w:szCs w:val="20"/>
          <w:color w:val="auto"/>
        </w:rPr>
      </w:pPr>
    </w:p>
    <w:p>
      <w:pPr>
        <w:ind w:left="360" w:right="79" w:hanging="316"/>
        <w:spacing w:after="0" w:line="258" w:lineRule="auto"/>
        <w:tabs>
          <w:tab w:leader="none" w:pos="34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Exhibit 32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Exchange Act (including this report), unless the Company specifically incorporates the foregoing information into those documents by reference.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4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40"/>
        <w:spacing w:after="0"/>
        <w:tabs>
          <w:tab w:leader="none" w:pos="4860" w:val="left"/>
        </w:tabs>
        <w:rPr>
          <w:sz w:val="20"/>
          <w:szCs w:val="20"/>
          <w:color w:val="auto"/>
        </w:rPr>
      </w:pPr>
      <w:r>
        <w:rPr>
          <w:rFonts w:ascii="Times New Roman" w:cs="Times New Roman" w:eastAsia="Times New Roman" w:hAnsi="Times New Roman"/>
          <w:sz w:val="18"/>
          <w:szCs w:val="18"/>
          <w:color w:val="auto"/>
        </w:rPr>
        <w:t>Date: December 9, 2025</w:t>
      </w:r>
      <w:r>
        <w:rPr>
          <w:sz w:val="20"/>
          <w:szCs w:val="20"/>
          <w:color w:val="auto"/>
        </w:rPr>
        <w:tab/>
      </w:r>
      <w:r>
        <w:rPr>
          <w:rFonts w:ascii="Times New Roman" w:cs="Times New Roman" w:eastAsia="Times New Roman" w:hAnsi="Times New Roman"/>
          <w:sz w:val="17"/>
          <w:szCs w:val="17"/>
          <w:color w:val="auto"/>
        </w:rPr>
        <w:t>AEROVIRONMENT, INC.</w:t>
      </w:r>
    </w:p>
    <w:p>
      <w:pPr>
        <w:spacing w:after="0" w:line="27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26035</wp:posOffset>
            </wp:positionV>
            <wp:extent cx="25888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Wahid Nawabi</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26035</wp:posOffset>
            </wp:positionV>
            <wp:extent cx="25888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Kevin P. McDonnell</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7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 Brian C. Shackley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26035</wp:posOffset>
            </wp:positionV>
            <wp:extent cx="25888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Brian C. Shackley</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Vice President and Chief Accounting Officer</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13a-14(a)/15d-14(a) of the Securities Exchange Act of 1934</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 Wahid Nawabi, certify that:</w:t>
      </w:r>
    </w:p>
    <w:p>
      <w:pPr>
        <w:spacing w:after="0" w:line="225" w:lineRule="exact"/>
        <w:rPr>
          <w:sz w:val="20"/>
          <w:szCs w:val="20"/>
          <w:color w:val="auto"/>
        </w:rPr>
      </w:pPr>
    </w:p>
    <w:p>
      <w:pPr>
        <w:ind w:left="360" w:hanging="316"/>
        <w:spacing w:after="0"/>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AeroVironment, Inc.;</w:t>
      </w:r>
    </w:p>
    <w:p>
      <w:pPr>
        <w:spacing w:after="0" w:line="225" w:lineRule="exact"/>
        <w:rPr>
          <w:rFonts w:ascii="Times New Roman" w:cs="Times New Roman" w:eastAsia="Times New Roman" w:hAnsi="Times New Roman"/>
          <w:sz w:val="18"/>
          <w:szCs w:val="18"/>
          <w:color w:val="auto"/>
        </w:rPr>
      </w:pPr>
    </w:p>
    <w:p>
      <w:pPr>
        <w:jc w:val="both"/>
        <w:ind w:left="360" w:right="119" w:hanging="316"/>
        <w:spacing w:after="0" w:line="266" w:lineRule="auto"/>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60" w:right="79" w:hanging="316"/>
        <w:spacing w:after="0" w:line="258" w:lineRule="auto"/>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Times New Roman" w:cs="Times New Roman" w:eastAsia="Times New Roman" w:hAnsi="Times New Roman"/>
          <w:sz w:val="18"/>
          <w:szCs w:val="18"/>
          <w:color w:val="auto"/>
        </w:rPr>
      </w:pPr>
    </w:p>
    <w:p>
      <w:pPr>
        <w:jc w:val="both"/>
        <w:ind w:left="360" w:right="239" w:hanging="316"/>
        <w:spacing w:after="0" w:line="258" w:lineRule="auto"/>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700" w:right="359" w:hanging="332"/>
        <w:spacing w:after="0" w:line="261" w:lineRule="auto"/>
        <w:tabs>
          <w:tab w:leader="none" w:pos="7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ind w:left="700" w:right="79" w:hanging="332"/>
        <w:spacing w:after="0" w:line="261" w:lineRule="auto"/>
        <w:tabs>
          <w:tab w:leader="none" w:pos="7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jc w:val="both"/>
        <w:ind w:left="700" w:right="199" w:hanging="332"/>
        <w:spacing w:after="0" w:line="266" w:lineRule="auto"/>
        <w:tabs>
          <w:tab w:leader="none" w:pos="7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700" w:right="99" w:hanging="332"/>
        <w:spacing w:after="0" w:line="261" w:lineRule="auto"/>
        <w:tabs>
          <w:tab w:leader="none" w:pos="7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jc w:val="both"/>
        <w:ind w:left="360" w:right="319" w:hanging="316"/>
        <w:spacing w:after="0" w:line="266" w:lineRule="auto"/>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700" w:right="159" w:hanging="332"/>
        <w:spacing w:after="0" w:line="258" w:lineRule="auto"/>
        <w:tabs>
          <w:tab w:leader="none" w:pos="7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Times New Roman" w:cs="Times New Roman" w:eastAsia="Times New Roman" w:hAnsi="Times New Roman"/>
          <w:sz w:val="18"/>
          <w:szCs w:val="18"/>
          <w:color w:val="auto"/>
        </w:rPr>
      </w:pPr>
    </w:p>
    <w:p>
      <w:pPr>
        <w:ind w:left="700" w:right="239" w:hanging="332"/>
        <w:spacing w:after="0" w:line="266" w:lineRule="auto"/>
        <w:tabs>
          <w:tab w:leader="none" w:pos="7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December 9, 2025</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Wahid Nawabi</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9" w:name="page50"/>
    <w:bookmarkEnd w:id="4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13a-14(a)/15d-14(a) of the Securities Exchange Act of 1934</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 Kevin P. McDonnell, certify that:</w:t>
      </w:r>
    </w:p>
    <w:p>
      <w:pPr>
        <w:spacing w:after="0" w:line="225" w:lineRule="exact"/>
        <w:rPr>
          <w:sz w:val="20"/>
          <w:szCs w:val="20"/>
          <w:color w:val="auto"/>
        </w:rPr>
      </w:pPr>
    </w:p>
    <w:p>
      <w:pPr>
        <w:ind w:left="360" w:hanging="316"/>
        <w:spacing w:after="0"/>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AeroVironment, Inc.;</w:t>
      </w:r>
    </w:p>
    <w:p>
      <w:pPr>
        <w:spacing w:after="0" w:line="225" w:lineRule="exact"/>
        <w:rPr>
          <w:rFonts w:ascii="Times New Roman" w:cs="Times New Roman" w:eastAsia="Times New Roman" w:hAnsi="Times New Roman"/>
          <w:sz w:val="18"/>
          <w:szCs w:val="18"/>
          <w:color w:val="auto"/>
        </w:rPr>
      </w:pPr>
    </w:p>
    <w:p>
      <w:pPr>
        <w:jc w:val="both"/>
        <w:ind w:left="360" w:right="119" w:hanging="316"/>
        <w:spacing w:after="0" w:line="266" w:lineRule="auto"/>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60" w:right="79" w:hanging="316"/>
        <w:spacing w:after="0" w:line="258" w:lineRule="auto"/>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Times New Roman" w:cs="Times New Roman" w:eastAsia="Times New Roman" w:hAnsi="Times New Roman"/>
          <w:sz w:val="18"/>
          <w:szCs w:val="18"/>
          <w:color w:val="auto"/>
        </w:rPr>
      </w:pPr>
    </w:p>
    <w:p>
      <w:pPr>
        <w:jc w:val="both"/>
        <w:ind w:left="360" w:right="239" w:hanging="316"/>
        <w:spacing w:after="0" w:line="258" w:lineRule="auto"/>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700" w:right="359" w:hanging="332"/>
        <w:spacing w:after="0" w:line="261" w:lineRule="auto"/>
        <w:tabs>
          <w:tab w:leader="none" w:pos="7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ind w:left="700" w:right="79" w:hanging="332"/>
        <w:spacing w:after="0" w:line="261" w:lineRule="auto"/>
        <w:tabs>
          <w:tab w:leader="none" w:pos="7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jc w:val="both"/>
        <w:ind w:left="700" w:right="199" w:hanging="332"/>
        <w:spacing w:after="0" w:line="266" w:lineRule="auto"/>
        <w:tabs>
          <w:tab w:leader="none" w:pos="7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700" w:right="99" w:hanging="332"/>
        <w:spacing w:after="0" w:line="261" w:lineRule="auto"/>
        <w:tabs>
          <w:tab w:leader="none" w:pos="7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jc w:val="both"/>
        <w:ind w:left="360" w:right="319" w:hanging="316"/>
        <w:spacing w:after="0" w:line="266" w:lineRule="auto"/>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700" w:right="159" w:hanging="332"/>
        <w:spacing w:after="0" w:line="258" w:lineRule="auto"/>
        <w:tabs>
          <w:tab w:leader="none" w:pos="7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Times New Roman" w:cs="Times New Roman" w:eastAsia="Times New Roman" w:hAnsi="Times New Roman"/>
          <w:sz w:val="18"/>
          <w:szCs w:val="18"/>
          <w:color w:val="auto"/>
        </w:rPr>
      </w:pPr>
    </w:p>
    <w:p>
      <w:pPr>
        <w:ind w:left="700" w:right="239" w:hanging="332"/>
        <w:spacing w:after="0" w:line="266" w:lineRule="auto"/>
        <w:tabs>
          <w:tab w:leader="none" w:pos="7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December 9, 2025</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Kevin P. McDonnell</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0" w:name="page51"/>
    <w:bookmarkEnd w:id="5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05" w:lineRule="exact"/>
        <w:rPr>
          <w:sz w:val="20"/>
          <w:szCs w:val="20"/>
          <w:color w:val="auto"/>
        </w:rPr>
      </w:pPr>
    </w:p>
    <w:p>
      <w:pPr>
        <w:jc w:val="both"/>
        <w:ind w:left="40" w:right="119" w:firstLine="486"/>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“Act”), each of the undersigned officers of AeroVironment, Inc., a Delaware corporation (the “Company”), does hereby certify, to each such officer’s knowledge, that:</w:t>
      </w:r>
    </w:p>
    <w:p>
      <w:pPr>
        <w:spacing w:after="0" w:line="176" w:lineRule="exact"/>
        <w:rPr>
          <w:sz w:val="20"/>
          <w:szCs w:val="20"/>
          <w:color w:val="auto"/>
        </w:rPr>
      </w:pPr>
    </w:p>
    <w:p>
      <w:pPr>
        <w:ind w:left="40" w:right="59" w:firstLine="486"/>
        <w:spacing w:after="0" w:line="255" w:lineRule="auto"/>
        <w:rPr>
          <w:sz w:val="20"/>
          <w:szCs w:val="20"/>
          <w:color w:val="auto"/>
        </w:rPr>
      </w:pPr>
      <w:r>
        <w:rPr>
          <w:rFonts w:ascii="Times New Roman" w:cs="Times New Roman" w:eastAsia="Times New Roman" w:hAnsi="Times New Roman"/>
          <w:sz w:val="18"/>
          <w:szCs w:val="18"/>
          <w:color w:val="auto"/>
        </w:rPr>
        <w:t>The Quarterly Report on Form 10-Q for the quarter ended November 1, 2025 (the “Periodic Report”) of the Company fully complies with the requirements of Section 13(a) or 15(d) of the Securities Exchange Act of 1934 (15 U.S.C. 78m or 78o(d)) and information contained in the Periodic Report fairly presents, in all material respects, the financial condition and results of operations of the Company.</w:t>
      </w:r>
    </w:p>
    <w:p>
      <w:pPr>
        <w:spacing w:after="0" w:line="20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Wahid Nawabi</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Kevin P. McDonnell</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Dated: December, 9 2025</w:t>
      </w:r>
    </w:p>
    <w:p>
      <w:pPr>
        <w:spacing w:after="0" w:line="225" w:lineRule="exact"/>
        <w:rPr>
          <w:sz w:val="20"/>
          <w:szCs w:val="20"/>
          <w:color w:val="auto"/>
        </w:rPr>
      </w:pPr>
    </w:p>
    <w:p>
      <w:pPr>
        <w:ind w:left="40" w:right="299" w:firstLine="486"/>
        <w:spacing w:after="0" w:line="254"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347345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7"/>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lvl w:ilvl="1">
      <w:lvlJc w:val="left"/>
      <w:lvlText w:val="%2"/>
      <w:numFmt w:val="decimal"/>
      <w:start w:val="104"/>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84" Type="http://schemas.openxmlformats.org/officeDocument/2006/relationships/hyperlink" Target="https://www.sec.gov/Archives/edgar/data/1368622/000110465924105632/tm2425465d1_ex3-1.htm" TargetMode="External"/><Relationship Id="rId85" Type="http://schemas.openxmlformats.org/officeDocument/2006/relationships/hyperlink" Target="https://www.sec.gov/Archives/edgar/data/1368622/000110465925115756/tm2532104d1_ex3-1.htm" TargetMode="External"/><Relationship Id="rId86" Type="http://schemas.openxmlformats.org/officeDocument/2006/relationships/hyperlink" Target="https://www.sec.gov/Archives/edgar/data/1368622/000110465925065778/tm2519048d11_ex4-1.htm" TargetMode="External"/><Relationship Id="rId87" Type="http://schemas.openxmlformats.org/officeDocument/2006/relationships/hyperlink" Target="https://www.sec.gov/Archives/edgar/data/1368622/000110465925065778/tm2519048d11_ex4-2.htm" TargetMode="External"/><Relationship Id="rId88" Type="http://schemas.openxmlformats.org/officeDocument/2006/relationships/hyperlink" Target="https://www.sec.gov/ix?doc=/Archives/edgar/data/1368622/000110465925077059/tm2522088-1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2025-12-10T05:09:41Z</dcterms:created>
  <dcterms:modified xsi:type="dcterms:W3CDTF">2025-12-10T05:09:41Z</dcterms:modified>
</cp:coreProperties>
</file>