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90" w:lineRule="exact"/>
        <w:rPr>
          <w:sz w:val="24"/>
          <w:szCs w:val="24"/>
          <w:color w:val="auto"/>
        </w:rPr>
      </w:pPr>
    </w:p>
    <w:p>
      <w:pPr>
        <w:ind w:left="1360" w:hanging="765"/>
        <w:spacing w:after="0"/>
        <w:tabs>
          <w:tab w:leader="none" w:pos="1360" w:val="left"/>
        </w:tabs>
        <w:numPr>
          <w:ilvl w:val="0"/>
          <w:numId w:val="1"/>
        </w:numPr>
        <w:rPr>
          <w:rFonts w:ascii="Arial" w:cs="Arial" w:eastAsia="Arial" w:hAnsi="Arial"/>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jc w:val="center"/>
        <w:spacing w:after="0" w:line="215" w:lineRule="auto"/>
        <w:rPr>
          <w:sz w:val="20"/>
          <w:szCs w:val="20"/>
          <w:color w:val="auto"/>
        </w:rPr>
      </w:pPr>
      <w:r>
        <w:rPr>
          <w:rFonts w:ascii="Times New Roman" w:cs="Times New Roman" w:eastAsia="Times New Roman" w:hAnsi="Times New Roman"/>
          <w:sz w:val="13"/>
          <w:szCs w:val="13"/>
          <w:b w:val="1"/>
          <w:bCs w:val="1"/>
          <w:color w:val="auto"/>
        </w:rPr>
        <w:t>For the fiscal year ended April 30, 2024</w:t>
      </w:r>
    </w:p>
    <w:p>
      <w:pPr>
        <w:ind w:left="1360" w:hanging="765"/>
        <w:spacing w:after="0" w:line="216" w:lineRule="auto"/>
        <w:tabs>
          <w:tab w:leader="none" w:pos="1360" w:val="left"/>
        </w:tabs>
        <w:numPr>
          <w:ilvl w:val="0"/>
          <w:numId w:val="2"/>
        </w:numPr>
        <w:rPr>
          <w:rFonts w:ascii="Arial" w:cs="Arial" w:eastAsia="Arial" w:hAnsi="Arial"/>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66"/>
        </w:trPr>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44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w:t>
            </w:r>
          </w:p>
        </w:tc>
      </w:tr>
      <w:tr>
        <w:trPr>
          <w:trHeight w:val="257"/>
        </w:trPr>
        <w:tc>
          <w:tcPr>
            <w:tcW w:w="2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720" w:type="dxa"/>
            <w:vAlign w:val="bottom"/>
            <w:gridSpan w:val="2"/>
          </w:tcPr>
          <w:p>
            <w:pPr>
              <w:jc w:val="center"/>
              <w:ind w:right="3458"/>
              <w:spacing w:after="0"/>
              <w:rPr>
                <w:sz w:val="20"/>
                <w:szCs w:val="20"/>
                <w:color w:val="auto"/>
              </w:rPr>
            </w:pPr>
            <w:r>
              <w:rPr>
                <w:rFonts w:ascii="Times New Roman" w:cs="Times New Roman" w:eastAsia="Times New Roman" w:hAnsi="Times New Roman"/>
                <w:sz w:val="18"/>
                <w:szCs w:val="18"/>
                <w:b w:val="1"/>
                <w:bCs w:val="1"/>
                <w:color w:val="auto"/>
              </w:rPr>
              <w:t>Commission file number 001-33261</w:t>
            </w:r>
          </w:p>
        </w:tc>
      </w:tr>
      <w:tr>
        <w:trPr>
          <w:trHeight w:val="346"/>
        </w:trPr>
        <w:tc>
          <w:tcPr>
            <w:tcW w:w="2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20" w:type="dxa"/>
            <w:vAlign w:val="bottom"/>
            <w:gridSpan w:val="2"/>
          </w:tcPr>
          <w:p>
            <w:pPr>
              <w:jc w:val="center"/>
              <w:ind w:right="3458"/>
              <w:spacing w:after="0"/>
              <w:rPr>
                <w:sz w:val="20"/>
                <w:szCs w:val="20"/>
                <w:color w:val="auto"/>
              </w:rPr>
            </w:pPr>
            <w:r>
              <w:rPr>
                <w:rFonts w:ascii="Times New Roman" w:cs="Times New Roman" w:eastAsia="Times New Roman" w:hAnsi="Times New Roman"/>
                <w:sz w:val="25"/>
                <w:szCs w:val="25"/>
                <w:b w:val="1"/>
                <w:bCs w:val="1"/>
                <w:color w:val="auto"/>
              </w:rPr>
              <w:t>AEROVIRONMENT, INC.</w:t>
            </w:r>
          </w:p>
        </w:tc>
      </w:tr>
      <w:tr>
        <w:trPr>
          <w:trHeight w:val="234"/>
        </w:trPr>
        <w:tc>
          <w:tcPr>
            <w:tcW w:w="2880" w:type="dxa"/>
            <w:vAlign w:val="bottom"/>
          </w:tcPr>
          <w:p>
            <w:pPr>
              <w:spacing w:after="0"/>
              <w:rPr>
                <w:sz w:val="20"/>
                <w:szCs w:val="20"/>
                <w:color w:val="auto"/>
              </w:rPr>
            </w:pPr>
          </w:p>
        </w:tc>
        <w:tc>
          <w:tcPr>
            <w:tcW w:w="7340" w:type="dxa"/>
            <w:vAlign w:val="bottom"/>
            <w:gridSpan w:val="4"/>
          </w:tcPr>
          <w:p>
            <w:pPr>
              <w:jc w:val="center"/>
              <w:ind w:right="283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11"/>
        </w:trPr>
        <w:tc>
          <w:tcPr>
            <w:tcW w:w="2880" w:type="dxa"/>
            <w:vAlign w:val="bottom"/>
          </w:tcPr>
          <w:p>
            <w:pPr>
              <w:jc w:val="center"/>
              <w:ind w:left="2158"/>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80" w:type="dxa"/>
            <w:vAlign w:val="bottom"/>
          </w:tcPr>
          <w:p>
            <w:pPr>
              <w:jc w:val="right"/>
              <w:ind w:right="2198"/>
              <w:spacing w:after="0"/>
              <w:rPr>
                <w:sz w:val="20"/>
                <w:szCs w:val="20"/>
                <w:color w:val="auto"/>
              </w:rPr>
            </w:pPr>
            <w:r>
              <w:rPr>
                <w:rFonts w:ascii="Times New Roman" w:cs="Times New Roman" w:eastAsia="Times New Roman" w:hAnsi="Times New Roman"/>
                <w:sz w:val="13"/>
                <w:szCs w:val="13"/>
                <w:b w:val="1"/>
                <w:bCs w:val="1"/>
                <w:color w:val="auto"/>
              </w:rPr>
              <w:t>95-2705790</w:t>
            </w:r>
          </w:p>
        </w:tc>
      </w:tr>
      <w:tr>
        <w:trPr>
          <w:trHeight w:val="133"/>
        </w:trPr>
        <w:tc>
          <w:tcPr>
            <w:tcW w:w="5740" w:type="dxa"/>
            <w:vAlign w:val="bottom"/>
            <w:gridSpan w:val="4"/>
          </w:tcPr>
          <w:p>
            <w:pPr>
              <w:jc w:val="center"/>
              <w:ind w:right="561"/>
              <w:spacing w:after="0" w:line="133" w:lineRule="exact"/>
              <w:rPr>
                <w:sz w:val="20"/>
                <w:szCs w:val="20"/>
                <w:color w:val="auto"/>
              </w:rPr>
            </w:pPr>
            <w:r>
              <w:rPr>
                <w:rFonts w:ascii="Times New Roman" w:cs="Times New Roman" w:eastAsia="Times New Roman" w:hAnsi="Times New Roman"/>
                <w:sz w:val="13"/>
                <w:szCs w:val="13"/>
                <w:color w:val="auto"/>
                <w:w w:val="97"/>
              </w:rPr>
              <w:t>(State or other jurisdiction of incorporation or organization)</w:t>
            </w:r>
          </w:p>
        </w:tc>
        <w:tc>
          <w:tcPr>
            <w:tcW w:w="4480" w:type="dxa"/>
            <w:vAlign w:val="bottom"/>
          </w:tcPr>
          <w:p>
            <w:pPr>
              <w:jc w:val="center"/>
              <w:ind w:right="578"/>
              <w:spacing w:after="0" w:line="133" w:lineRule="exact"/>
              <w:rPr>
                <w:sz w:val="20"/>
                <w:szCs w:val="20"/>
                <w:color w:val="auto"/>
              </w:rPr>
            </w:pPr>
            <w:r>
              <w:rPr>
                <w:rFonts w:ascii="Times New Roman" w:cs="Times New Roman" w:eastAsia="Times New Roman" w:hAnsi="Times New Roman"/>
                <w:sz w:val="13"/>
                <w:szCs w:val="13"/>
                <w:color w:val="auto"/>
                <w:w w:val="97"/>
              </w:rPr>
              <w:t>(I.R.S. Employer Identification No.)</w:t>
            </w:r>
          </w:p>
        </w:tc>
      </w:tr>
      <w:tr>
        <w:trPr>
          <w:trHeight w:val="135"/>
        </w:trPr>
        <w:tc>
          <w:tcPr>
            <w:tcW w:w="5740" w:type="dxa"/>
            <w:vAlign w:val="bottom"/>
            <w:gridSpan w:val="4"/>
          </w:tcPr>
          <w:p>
            <w:pPr>
              <w:jc w:val="center"/>
              <w:ind w:right="561"/>
              <w:spacing w:after="0" w:line="135" w:lineRule="exact"/>
              <w:rPr>
                <w:sz w:val="20"/>
                <w:szCs w:val="20"/>
                <w:color w:val="auto"/>
              </w:rPr>
            </w:pPr>
            <w:r>
              <w:rPr>
                <w:rFonts w:ascii="Times New Roman" w:cs="Times New Roman" w:eastAsia="Times New Roman" w:hAnsi="Times New Roman"/>
                <w:sz w:val="13"/>
                <w:szCs w:val="13"/>
                <w:b w:val="1"/>
                <w:bCs w:val="1"/>
                <w:color w:val="auto"/>
                <w:w w:val="96"/>
              </w:rPr>
              <w:t>241 18th Street South, Suite 415</w:t>
            </w:r>
          </w:p>
        </w:tc>
        <w:tc>
          <w:tcPr>
            <w:tcW w:w="4480" w:type="dxa"/>
            <w:vAlign w:val="bottom"/>
          </w:tcPr>
          <w:p>
            <w:pPr>
              <w:spacing w:after="0"/>
              <w:rPr>
                <w:sz w:val="11"/>
                <w:szCs w:val="11"/>
                <w:color w:val="auto"/>
              </w:rPr>
            </w:pPr>
          </w:p>
        </w:tc>
      </w:tr>
      <w:tr>
        <w:trPr>
          <w:trHeight w:val="137"/>
        </w:trPr>
        <w:tc>
          <w:tcPr>
            <w:tcW w:w="5740" w:type="dxa"/>
            <w:vAlign w:val="bottom"/>
            <w:gridSpan w:val="4"/>
          </w:tcPr>
          <w:p>
            <w:pPr>
              <w:jc w:val="center"/>
              <w:ind w:right="561"/>
              <w:spacing w:after="0" w:line="137" w:lineRule="exact"/>
              <w:rPr>
                <w:sz w:val="20"/>
                <w:szCs w:val="20"/>
                <w:color w:val="auto"/>
              </w:rPr>
            </w:pPr>
            <w:r>
              <w:rPr>
                <w:rFonts w:ascii="Times New Roman" w:cs="Times New Roman" w:eastAsia="Times New Roman" w:hAnsi="Times New Roman"/>
                <w:sz w:val="13"/>
                <w:szCs w:val="13"/>
                <w:b w:val="1"/>
                <w:bCs w:val="1"/>
                <w:color w:val="auto"/>
                <w:w w:val="93"/>
              </w:rPr>
              <w:t>Arlington, VA</w:t>
            </w:r>
          </w:p>
        </w:tc>
        <w:tc>
          <w:tcPr>
            <w:tcW w:w="4480" w:type="dxa"/>
            <w:vAlign w:val="bottom"/>
          </w:tcPr>
          <w:p>
            <w:pPr>
              <w:jc w:val="right"/>
              <w:ind w:right="2338"/>
              <w:spacing w:after="0" w:line="137" w:lineRule="exact"/>
              <w:rPr>
                <w:sz w:val="20"/>
                <w:szCs w:val="20"/>
                <w:color w:val="auto"/>
              </w:rPr>
            </w:pPr>
            <w:r>
              <w:rPr>
                <w:rFonts w:ascii="Times New Roman" w:cs="Times New Roman" w:eastAsia="Times New Roman" w:hAnsi="Times New Roman"/>
                <w:sz w:val="13"/>
                <w:szCs w:val="13"/>
                <w:b w:val="1"/>
                <w:bCs w:val="1"/>
                <w:color w:val="auto"/>
              </w:rPr>
              <w:t>22202</w:t>
            </w:r>
          </w:p>
        </w:tc>
      </w:tr>
      <w:tr>
        <w:trPr>
          <w:trHeight w:val="133"/>
        </w:trPr>
        <w:tc>
          <w:tcPr>
            <w:tcW w:w="5740" w:type="dxa"/>
            <w:vAlign w:val="bottom"/>
            <w:gridSpan w:val="4"/>
          </w:tcPr>
          <w:p>
            <w:pPr>
              <w:jc w:val="center"/>
              <w:ind w:right="561"/>
              <w:spacing w:after="0" w:line="133" w:lineRule="exact"/>
              <w:rPr>
                <w:sz w:val="20"/>
                <w:szCs w:val="20"/>
                <w:color w:val="auto"/>
              </w:rPr>
            </w:pPr>
            <w:r>
              <w:rPr>
                <w:rFonts w:ascii="Times New Roman" w:cs="Times New Roman" w:eastAsia="Times New Roman" w:hAnsi="Times New Roman"/>
                <w:sz w:val="13"/>
                <w:szCs w:val="13"/>
                <w:color w:val="auto"/>
                <w:w w:val="97"/>
              </w:rPr>
              <w:t>(Address of Principal Executive Offices)</w:t>
            </w:r>
          </w:p>
        </w:tc>
        <w:tc>
          <w:tcPr>
            <w:tcW w:w="4480" w:type="dxa"/>
            <w:vAlign w:val="bottom"/>
          </w:tcPr>
          <w:p>
            <w:pPr>
              <w:jc w:val="center"/>
              <w:ind w:right="578"/>
              <w:spacing w:after="0" w:line="133" w:lineRule="exact"/>
              <w:rPr>
                <w:sz w:val="20"/>
                <w:szCs w:val="20"/>
                <w:color w:val="auto"/>
              </w:rPr>
            </w:pPr>
            <w:r>
              <w:rPr>
                <w:rFonts w:ascii="Times New Roman" w:cs="Times New Roman" w:eastAsia="Times New Roman" w:hAnsi="Times New Roman"/>
                <w:sz w:val="13"/>
                <w:szCs w:val="13"/>
                <w:color w:val="auto"/>
                <w:w w:val="97"/>
              </w:rPr>
              <w:t>(Zip Code)</w:t>
            </w:r>
          </w:p>
        </w:tc>
      </w:tr>
      <w:tr>
        <w:trPr>
          <w:trHeight w:val="166"/>
        </w:trPr>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60" w:type="dxa"/>
            <w:vAlign w:val="bottom"/>
            <w:gridSpan w:val="3"/>
          </w:tcPr>
          <w:p>
            <w:pPr>
              <w:jc w:val="center"/>
              <w:ind w:right="3318"/>
              <w:spacing w:after="0"/>
              <w:rPr>
                <w:sz w:val="20"/>
                <w:szCs w:val="20"/>
                <w:color w:val="auto"/>
              </w:rPr>
            </w:pPr>
            <w:r>
              <w:rPr>
                <w:rFonts w:ascii="Times New Roman" w:cs="Times New Roman" w:eastAsia="Times New Roman" w:hAnsi="Times New Roman"/>
                <w:sz w:val="13"/>
                <w:szCs w:val="13"/>
                <w:color w:val="auto"/>
                <w:w w:val="96"/>
              </w:rPr>
              <w:t xml:space="preserve">Registrant’s telephone number, including area code: </w:t>
            </w:r>
            <w:r>
              <w:rPr>
                <w:rFonts w:ascii="Times New Roman" w:cs="Times New Roman" w:eastAsia="Times New Roman" w:hAnsi="Times New Roman"/>
                <w:sz w:val="13"/>
                <w:szCs w:val="13"/>
                <w:b w:val="1"/>
                <w:bCs w:val="1"/>
                <w:color w:val="auto"/>
                <w:w w:val="96"/>
              </w:rPr>
              <w:t>(805) 520-8350</w:t>
            </w:r>
          </w:p>
        </w:tc>
      </w:tr>
      <w:tr>
        <w:trPr>
          <w:trHeight w:val="286"/>
        </w:trPr>
        <w:tc>
          <w:tcPr>
            <w:tcW w:w="2880" w:type="dxa"/>
            <w:vAlign w:val="bottom"/>
          </w:tcPr>
          <w:p>
            <w:pPr>
              <w:spacing w:after="0"/>
              <w:rPr>
                <w:sz w:val="24"/>
                <w:szCs w:val="24"/>
                <w:color w:val="auto"/>
              </w:rPr>
            </w:pPr>
          </w:p>
        </w:tc>
        <w:tc>
          <w:tcPr>
            <w:tcW w:w="7340" w:type="dxa"/>
            <w:vAlign w:val="bottom"/>
            <w:gridSpan w:val="4"/>
          </w:tcPr>
          <w:p>
            <w:pPr>
              <w:jc w:val="center"/>
              <w:ind w:right="2838"/>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203"/>
        </w:trPr>
        <w:tc>
          <w:tcPr>
            <w:tcW w:w="2880" w:type="dxa"/>
            <w:vAlign w:val="bottom"/>
            <w:tcBorders>
              <w:bottom w:val="single" w:sz="8" w:color="auto"/>
            </w:tcBorders>
          </w:tcPr>
          <w:p>
            <w:pPr>
              <w:jc w:val="center"/>
              <w:ind w:left="418"/>
              <w:spacing w:after="0"/>
              <w:rPr>
                <w:sz w:val="20"/>
                <w:szCs w:val="20"/>
                <w:color w:val="auto"/>
              </w:rPr>
            </w:pPr>
            <w:r>
              <w:rPr>
                <w:rFonts w:ascii="Times New Roman" w:cs="Times New Roman" w:eastAsia="Times New Roman" w:hAnsi="Times New Roman"/>
                <w:sz w:val="11"/>
                <w:szCs w:val="11"/>
                <w:b w:val="1"/>
                <w:bCs w:val="1"/>
                <w:color w:val="auto"/>
                <w:w w:val="97"/>
              </w:rPr>
              <w:t>Title of Class</w:t>
            </w:r>
          </w:p>
        </w:tc>
        <w:tc>
          <w:tcPr>
            <w:tcW w:w="4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tcBorders>
              <w:bottom w:val="single" w:sz="8" w:color="auto"/>
            </w:tcBorders>
          </w:tcPr>
          <w:p>
            <w:pPr>
              <w:jc w:val="center"/>
              <w:ind w:left="1021"/>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4480" w:type="dxa"/>
            <w:vAlign w:val="bottom"/>
            <w:tcBorders>
              <w:bottom w:val="single" w:sz="8" w:color="auto"/>
            </w:tcBorders>
          </w:tcPr>
          <w:p>
            <w:pPr>
              <w:jc w:val="center"/>
              <w:ind w:left="1058"/>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44"/>
        </w:trPr>
        <w:tc>
          <w:tcPr>
            <w:tcW w:w="2880" w:type="dxa"/>
            <w:vAlign w:val="bottom"/>
          </w:tcPr>
          <w:p>
            <w:pPr>
              <w:jc w:val="center"/>
              <w:ind w:left="398"/>
              <w:spacing w:after="0" w:line="144" w:lineRule="exact"/>
              <w:rPr>
                <w:sz w:val="20"/>
                <w:szCs w:val="20"/>
                <w:color w:val="auto"/>
              </w:rPr>
            </w:pPr>
            <w:r>
              <w:rPr>
                <w:rFonts w:ascii="Times New Roman" w:cs="Times New Roman" w:eastAsia="Times New Roman" w:hAnsi="Times New Roman"/>
                <w:sz w:val="13"/>
                <w:szCs w:val="13"/>
                <w:b w:val="1"/>
                <w:bCs w:val="1"/>
                <w:color w:val="auto"/>
                <w:w w:val="96"/>
              </w:rPr>
              <w:t>Common Stock, par value $0.0001 per share</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tcPr>
          <w:p>
            <w:pPr>
              <w:jc w:val="center"/>
              <w:ind w:left="1021"/>
              <w:spacing w:after="0" w:line="144" w:lineRule="exact"/>
              <w:rPr>
                <w:sz w:val="20"/>
                <w:szCs w:val="20"/>
                <w:color w:val="auto"/>
              </w:rPr>
            </w:pPr>
            <w:r>
              <w:rPr>
                <w:rFonts w:ascii="Times New Roman" w:cs="Times New Roman" w:eastAsia="Times New Roman" w:hAnsi="Times New Roman"/>
                <w:sz w:val="13"/>
                <w:szCs w:val="13"/>
                <w:b w:val="1"/>
                <w:bCs w:val="1"/>
                <w:color w:val="auto"/>
                <w:w w:val="79"/>
              </w:rPr>
              <w:t>AVAV</w:t>
            </w:r>
          </w:p>
        </w:tc>
        <w:tc>
          <w:tcPr>
            <w:tcW w:w="4480" w:type="dxa"/>
            <w:vAlign w:val="bottom"/>
          </w:tcPr>
          <w:p>
            <w:pPr>
              <w:jc w:val="center"/>
              <w:ind w:left="1038"/>
              <w:spacing w:after="0" w:line="144" w:lineRule="exact"/>
              <w:rPr>
                <w:sz w:val="20"/>
                <w:szCs w:val="20"/>
                <w:color w:val="auto"/>
              </w:rPr>
            </w:pPr>
            <w:r>
              <w:rPr>
                <w:rFonts w:ascii="Times New Roman" w:cs="Times New Roman" w:eastAsia="Times New Roman" w:hAnsi="Times New Roman"/>
                <w:sz w:val="13"/>
                <w:szCs w:val="13"/>
                <w:b w:val="1"/>
                <w:bCs w:val="1"/>
                <w:color w:val="auto"/>
                <w:w w:val="96"/>
              </w:rPr>
              <w:t>The NASDAQ Stock Market LLC</w:t>
            </w: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40" w:lineRule="exact"/>
        <w:rPr>
          <w:sz w:val="24"/>
          <w:szCs w:val="24"/>
          <w:color w:val="auto"/>
        </w:rPr>
      </w:pPr>
    </w:p>
    <w:p>
      <w:pPr>
        <w:ind w:left="640" w:right="6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3" w:lineRule="exact"/>
        <w:rPr>
          <w:sz w:val="24"/>
          <w:szCs w:val="24"/>
          <w:color w:val="auto"/>
        </w:rPr>
      </w:pPr>
    </w:p>
    <w:p>
      <w:pPr>
        <w:ind w:right="280" w:firstLine="648"/>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9" w:lineRule="exact"/>
        <w:rPr>
          <w:sz w:val="24"/>
          <w:szCs w:val="24"/>
          <w:color w:val="auto"/>
        </w:rPr>
      </w:pPr>
    </w:p>
    <w:p>
      <w:pPr>
        <w:ind w:right="4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ind w:left="64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p>
    <w:p>
      <w:pPr>
        <w:spacing w:after="0" w:line="62" w:lineRule="exact"/>
        <w:rPr>
          <w:sz w:val="24"/>
          <w:szCs w:val="24"/>
          <w:color w:val="auto"/>
        </w:rPr>
      </w:pPr>
    </w:p>
    <w:p>
      <w:pPr>
        <w:sectPr>
          <w:pgSz w:w="11900" w:h="16838" w:orient="portrait"/>
          <w:cols w:equalWidth="0" w:num="3">
            <w:col w:w="3160" w:space="720"/>
            <w:col w:w="2520" w:space="720"/>
            <w:col w:w="3100"/>
          </w:cols>
          <w:pgMar w:left="840" w:top="661" w:right="839" w:bottom="1440" w:gutter="0" w:footer="0" w:header="0"/>
          <w:type w:val="continuous"/>
        </w:sectPr>
      </w:pPr>
    </w:p>
    <w:p>
      <w:pPr>
        <w:spacing w:after="0" w:line="2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Unicode MS" w:cs="Arial Unicode MS" w:eastAsia="Arial Unicode MS" w:hAnsi="Arial Unicode MS"/>
          <w:sz w:val="18"/>
          <w:szCs w:val="18"/>
          <w:color w:val="auto"/>
        </w:rPr>
        <w:t>☐</w:t>
      </w:r>
    </w:p>
    <w:p>
      <w:pPr>
        <w:spacing w:after="0" w:line="200" w:lineRule="exact"/>
        <w:rPr>
          <w:sz w:val="24"/>
          <w:szCs w:val="24"/>
          <w:color w:val="auto"/>
        </w:rPr>
      </w:pPr>
    </w:p>
    <w:p>
      <w:pPr>
        <w:sectPr>
          <w:pgSz w:w="11900" w:h="16838" w:orient="portrait"/>
          <w:cols w:equalWidth="0" w:num="3">
            <w:col w:w="2160" w:space="140"/>
            <w:col w:w="860" w:space="720"/>
            <w:col w:w="6340"/>
          </w:cols>
          <w:pgMar w:left="840" w:top="661" w:right="839" w:bottom="1440" w:gutter="0" w:footer="0" w:header="0"/>
          <w:type w:val="continuous"/>
        </w:sectPr>
      </w:pPr>
    </w:p>
    <w:p>
      <w:pPr>
        <w:spacing w:after="0" w:line="79" w:lineRule="exact"/>
        <w:rPr>
          <w:sz w:val="24"/>
          <w:szCs w:val="24"/>
          <w:color w:val="auto"/>
        </w:rPr>
      </w:pPr>
    </w:p>
    <w:p>
      <w:pPr>
        <w:ind w:right="340" w:firstLine="648"/>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35" w:lineRule="exact"/>
        <w:rPr>
          <w:sz w:val="24"/>
          <w:szCs w:val="24"/>
          <w:color w:val="auto"/>
        </w:rPr>
      </w:pPr>
    </w:p>
    <w:p>
      <w:pPr>
        <w:ind w:right="48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22" w:lineRule="exact"/>
        <w:rPr>
          <w:sz w:val="24"/>
          <w:szCs w:val="24"/>
          <w:color w:val="auto"/>
        </w:rPr>
      </w:pPr>
    </w:p>
    <w:p>
      <w:pPr>
        <w:ind w:firstLine="648"/>
        <w:spacing w:after="0" w:line="240"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8"/>
          <w:szCs w:val="18"/>
          <w:color w:val="auto"/>
        </w:rPr>
        <w:t>☐</w:t>
      </w:r>
    </w:p>
    <w:p>
      <w:pPr>
        <w:spacing w:after="0" w:line="21" w:lineRule="exact"/>
        <w:rPr>
          <w:sz w:val="24"/>
          <w:szCs w:val="24"/>
          <w:color w:val="auto"/>
        </w:rPr>
      </w:pPr>
    </w:p>
    <w:p>
      <w:pPr>
        <w:ind w:right="20" w:firstLine="648"/>
        <w:spacing w:after="0" w:line="240"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Arial Unicode MS" w:cs="Arial Unicode MS" w:eastAsia="Arial Unicode MS" w:hAnsi="Arial Unicode MS"/>
          <w:sz w:val="18"/>
          <w:szCs w:val="18"/>
          <w:color w:val="auto"/>
        </w:rPr>
        <w:t>☐</w:t>
      </w:r>
    </w:p>
    <w:p>
      <w:pPr>
        <w:ind w:left="64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based on the closing price on the NASDAQ Global Select Market on October 28, 2023 was approximately $3,173.5 million.</w:t>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As of June 19, 2024, the issuer had 28,133,862 shares of common stock, par value $0.0001 per share, issued and outstanding.</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81" w:lineRule="exact"/>
        <w:rPr>
          <w:sz w:val="24"/>
          <w:szCs w:val="24"/>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to be filed with the Securities and Exchange Commission pursuant to Regulation 14A not later than 120 days after the conclusion of the registrant’s fiscal year ended April 30, 2024,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440690</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63500</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46355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60" w:type="dxa"/>
            <w:vAlign w:val="bottom"/>
            <w:gridSpan w:val="12"/>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9"/>
              </w:rPr>
              <w:t>AEROVIRONMENT, INC.</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60" w:type="dxa"/>
            <w:vAlign w:val="bottom"/>
            <w:gridSpan w:val="12"/>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INDEX TO FORM 10-K</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2"/>
              </w:rPr>
              <w:t>PART I</w:t>
            </w:r>
          </w:p>
        </w:tc>
        <w:tc>
          <w:tcPr>
            <w:tcW w:w="620" w:type="dxa"/>
            <w:vAlign w:val="bottom"/>
            <w:gridSpan w:val="7"/>
            <w:vMerge w:val="restart"/>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580" w:type="dxa"/>
            <w:vAlign w:val="bottom"/>
            <w:tcBorders>
              <w:bottom w:val="single" w:sz="8" w:color="0000EE"/>
            </w:tcBorders>
            <w:gridSpan w:val="2"/>
            <w:vMerge w:val="continue"/>
          </w:tcPr>
          <w:p>
            <w:pPr>
              <w:spacing w:after="0"/>
              <w:rPr>
                <w:sz w:val="13"/>
                <w:szCs w:val="13"/>
                <w:color w:val="auto"/>
              </w:rPr>
            </w:pPr>
          </w:p>
        </w:tc>
        <w:tc>
          <w:tcPr>
            <w:tcW w:w="620" w:type="dxa"/>
            <w:vAlign w:val="bottom"/>
            <w:gridSpan w:val="7"/>
            <w:vMerge w:val="continue"/>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700" w:type="dxa"/>
            <w:vAlign w:val="bottom"/>
            <w:gridSpan w:val="8"/>
          </w:tcPr>
          <w:p>
            <w:pPr>
              <w:spacing w:after="0"/>
              <w:rPr>
                <w:sz w:val="18"/>
                <w:szCs w:val="18"/>
                <w:color w:val="auto"/>
              </w:rPr>
            </w:pPr>
          </w:p>
        </w:tc>
        <w:tc>
          <w:tcPr>
            <w:tcW w:w="6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6460" w:type="dxa"/>
            <w:vAlign w:val="bottom"/>
            <w:gridSpan w:val="23"/>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540" w:type="dxa"/>
            <w:vAlign w:val="bottom"/>
            <w:gridSpan w:val="4"/>
          </w:tcPr>
          <w:p>
            <w:pPr>
              <w:spacing w:after="0"/>
              <w:rPr>
                <w:sz w:val="17"/>
                <w:szCs w:val="17"/>
                <w:color w:val="auto"/>
              </w:rPr>
            </w:pPr>
          </w:p>
        </w:tc>
        <w:tc>
          <w:tcPr>
            <w:tcW w:w="7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1B.</w:t>
            </w:r>
          </w:p>
        </w:tc>
        <w:tc>
          <w:tcPr>
            <w:tcW w:w="540" w:type="dxa"/>
            <w:vAlign w:val="bottom"/>
            <w:gridSpan w:val="4"/>
          </w:tcPr>
          <w:p>
            <w:pPr>
              <w:spacing w:after="0"/>
              <w:rPr>
                <w:sz w:val="17"/>
                <w:szCs w:val="17"/>
                <w:color w:val="auto"/>
              </w:rPr>
            </w:pPr>
          </w:p>
        </w:tc>
        <w:tc>
          <w:tcPr>
            <w:tcW w:w="7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1C.</w:t>
            </w:r>
          </w:p>
        </w:tc>
        <w:tc>
          <w:tcPr>
            <w:tcW w:w="540" w:type="dxa"/>
            <w:vAlign w:val="bottom"/>
            <w:gridSpan w:val="4"/>
          </w:tcPr>
          <w:p>
            <w:pPr>
              <w:spacing w:after="0"/>
              <w:rPr>
                <w:sz w:val="17"/>
                <w:szCs w:val="17"/>
                <w:color w:val="auto"/>
              </w:rPr>
            </w:pPr>
          </w:p>
        </w:tc>
        <w:tc>
          <w:tcPr>
            <w:tcW w:w="20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5060" w:type="dxa"/>
            <w:vAlign w:val="bottom"/>
            <w:gridSpan w:val="1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2.</w:t>
            </w:r>
          </w:p>
        </w:tc>
        <w:tc>
          <w:tcPr>
            <w:tcW w:w="120" w:type="dxa"/>
            <w:vAlign w:val="bottom"/>
            <w:tcBorders>
              <w:top w:val="single" w:sz="8" w:color="0000EE"/>
            </w:tcBorders>
            <w:gridSpan w:val="3"/>
          </w:tcPr>
          <w:p>
            <w:pPr>
              <w:spacing w:after="0"/>
              <w:rPr>
                <w:sz w:val="17"/>
                <w:szCs w:val="17"/>
                <w:color w:val="auto"/>
              </w:rPr>
            </w:pPr>
          </w:p>
        </w:tc>
        <w:tc>
          <w:tcPr>
            <w:tcW w:w="580" w:type="dxa"/>
            <w:vAlign w:val="bottom"/>
            <w:gridSpan w:val="5"/>
          </w:tcPr>
          <w:p>
            <w:pPr>
              <w:spacing w:after="0"/>
              <w:rPr>
                <w:sz w:val="17"/>
                <w:szCs w:val="17"/>
                <w:color w:val="auto"/>
              </w:rPr>
            </w:pPr>
          </w:p>
        </w:tc>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100" w:type="dxa"/>
            <w:vAlign w:val="bottom"/>
            <w:gridSpan w:val="2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3.</w:t>
            </w:r>
          </w:p>
        </w:tc>
        <w:tc>
          <w:tcPr>
            <w:tcW w:w="700" w:type="dxa"/>
            <w:vAlign w:val="bottom"/>
            <w:gridSpan w:val="8"/>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760" w:type="dxa"/>
            <w:vAlign w:val="bottom"/>
            <w:gridSpan w:val="1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12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7"/>
              </w:rPr>
              <w:t>PART II</w:t>
            </w:r>
          </w:p>
        </w:tc>
        <w:tc>
          <w:tcPr>
            <w:tcW w:w="52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of Equity Securities</w:t>
            </w:r>
          </w:p>
        </w:tc>
        <w:tc>
          <w:tcPr>
            <w:tcW w:w="5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700" w:type="dxa"/>
            <w:vAlign w:val="bottom"/>
            <w:gridSpan w:val="8"/>
          </w:tcPr>
          <w:p>
            <w:pPr>
              <w:spacing w:after="0"/>
              <w:rPr>
                <w:sz w:val="17"/>
                <w:szCs w:val="17"/>
                <w:color w:val="auto"/>
              </w:rPr>
            </w:pPr>
          </w:p>
        </w:tc>
        <w:tc>
          <w:tcPr>
            <w:tcW w:w="14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5680" w:type="dxa"/>
            <w:vAlign w:val="bottom"/>
            <w:gridSpan w:val="1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7.</w:t>
            </w:r>
          </w:p>
        </w:tc>
        <w:tc>
          <w:tcPr>
            <w:tcW w:w="700" w:type="dxa"/>
            <w:vAlign w:val="bottom"/>
            <w:gridSpan w:val="8"/>
          </w:tcPr>
          <w:p>
            <w:pPr>
              <w:spacing w:after="0"/>
              <w:rPr>
                <w:sz w:val="17"/>
                <w:szCs w:val="17"/>
                <w:color w:val="auto"/>
              </w:rPr>
            </w:pPr>
          </w:p>
        </w:tc>
        <w:tc>
          <w:tcPr>
            <w:tcW w:w="64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64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7A.</w:t>
            </w:r>
          </w:p>
        </w:tc>
        <w:tc>
          <w:tcPr>
            <w:tcW w:w="540" w:type="dxa"/>
            <w:vAlign w:val="bottom"/>
            <w:gridSpan w:val="4"/>
          </w:tcPr>
          <w:p>
            <w:pPr>
              <w:spacing w:after="0"/>
              <w:rPr>
                <w:sz w:val="17"/>
                <w:szCs w:val="17"/>
                <w:color w:val="auto"/>
              </w:rPr>
            </w:pPr>
          </w:p>
        </w:tc>
        <w:tc>
          <w:tcPr>
            <w:tcW w:w="43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74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6"/>
        </w:trPr>
        <w:tc>
          <w:tcPr>
            <w:tcW w:w="5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0"/>
              </w:rPr>
              <w:t>Item 8.</w:t>
            </w:r>
          </w:p>
        </w:tc>
        <w:tc>
          <w:tcPr>
            <w:tcW w:w="700" w:type="dxa"/>
            <w:vAlign w:val="bottom"/>
            <w:gridSpan w:val="8"/>
          </w:tcPr>
          <w:p>
            <w:pPr>
              <w:spacing w:after="0"/>
              <w:rPr>
                <w:sz w:val="17"/>
                <w:szCs w:val="17"/>
                <w:color w:val="auto"/>
              </w:rPr>
            </w:pPr>
          </w:p>
        </w:tc>
        <w:tc>
          <w:tcPr>
            <w:tcW w:w="7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0"/>
              </w:rPr>
              <w:t>Item 9.</w:t>
            </w:r>
          </w:p>
        </w:tc>
        <w:tc>
          <w:tcPr>
            <w:tcW w:w="700" w:type="dxa"/>
            <w:vAlign w:val="bottom"/>
            <w:gridSpan w:val="8"/>
          </w:tcPr>
          <w:p>
            <w:pPr>
              <w:spacing w:after="0"/>
              <w:rPr>
                <w:sz w:val="17"/>
                <w:szCs w:val="17"/>
                <w:color w:val="auto"/>
              </w:rPr>
            </w:pPr>
          </w:p>
        </w:tc>
        <w:tc>
          <w:tcPr>
            <w:tcW w:w="64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62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96"/>
        </w:trPr>
        <w:tc>
          <w:tcPr>
            <w:tcW w:w="6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9A.</w:t>
            </w:r>
          </w:p>
        </w:tc>
        <w:tc>
          <w:tcPr>
            <w:tcW w:w="540" w:type="dxa"/>
            <w:vAlign w:val="bottom"/>
            <w:gridSpan w:val="4"/>
          </w:tcPr>
          <w:p>
            <w:pPr>
              <w:spacing w:after="0"/>
              <w:rPr>
                <w:sz w:val="17"/>
                <w:szCs w:val="17"/>
                <w:color w:val="auto"/>
              </w:rPr>
            </w:pPr>
          </w:p>
        </w:tc>
        <w:tc>
          <w:tcPr>
            <w:tcW w:w="7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9B.</w:t>
            </w:r>
          </w:p>
        </w:tc>
        <w:tc>
          <w:tcPr>
            <w:tcW w:w="540" w:type="dxa"/>
            <w:vAlign w:val="bottom"/>
            <w:gridSpan w:val="4"/>
          </w:tcPr>
          <w:p>
            <w:pPr>
              <w:spacing w:after="0"/>
              <w:rPr>
                <w:sz w:val="17"/>
                <w:szCs w:val="17"/>
                <w:color w:val="auto"/>
              </w:rPr>
            </w:pPr>
          </w:p>
        </w:tc>
        <w:tc>
          <w:tcPr>
            <w:tcW w:w="13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5"/>
          </w:tcPr>
          <w:p>
            <w:pPr>
              <w:spacing w:after="0"/>
              <w:rPr>
                <w:sz w:val="17"/>
                <w:szCs w:val="17"/>
                <w:color w:val="auto"/>
              </w:rPr>
            </w:pPr>
          </w:p>
        </w:tc>
        <w:tc>
          <w:tcPr>
            <w:tcW w:w="5340" w:type="dxa"/>
            <w:vAlign w:val="bottom"/>
            <w:gridSpan w:val="1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6"/>
        </w:trPr>
        <w:tc>
          <w:tcPr>
            <w:tcW w:w="6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9C.</w:t>
            </w:r>
          </w:p>
        </w:tc>
        <w:tc>
          <w:tcPr>
            <w:tcW w:w="540" w:type="dxa"/>
            <w:vAlign w:val="bottom"/>
            <w:gridSpan w:val="4"/>
          </w:tcPr>
          <w:p>
            <w:pPr>
              <w:spacing w:after="0"/>
              <w:rPr>
                <w:sz w:val="17"/>
                <w:szCs w:val="17"/>
                <w:color w:val="auto"/>
              </w:rPr>
            </w:pPr>
          </w:p>
        </w:tc>
        <w:tc>
          <w:tcPr>
            <w:tcW w:w="49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214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6"/>
        </w:trPr>
        <w:tc>
          <w:tcPr>
            <w:tcW w:w="7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10.</w:t>
            </w:r>
          </w:p>
        </w:tc>
        <w:tc>
          <w:tcPr>
            <w:tcW w:w="600" w:type="dxa"/>
            <w:vAlign w:val="bottom"/>
            <w:gridSpan w:val="6"/>
          </w:tcPr>
          <w:p>
            <w:pPr>
              <w:spacing w:after="0"/>
              <w:rPr>
                <w:sz w:val="17"/>
                <w:szCs w:val="17"/>
                <w:color w:val="auto"/>
              </w:rPr>
            </w:pPr>
          </w:p>
        </w:tc>
        <w:tc>
          <w:tcPr>
            <w:tcW w:w="41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3000" w:type="dxa"/>
            <w:vAlign w:val="bottom"/>
            <w:gridSpan w:val="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96"/>
        </w:trPr>
        <w:tc>
          <w:tcPr>
            <w:tcW w:w="12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Item 11.</w:t>
            </w:r>
          </w:p>
        </w:tc>
        <w:tc>
          <w:tcPr>
            <w:tcW w:w="7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12.</w:t>
            </w:r>
          </w:p>
        </w:tc>
        <w:tc>
          <w:tcPr>
            <w:tcW w:w="600" w:type="dxa"/>
            <w:vAlign w:val="bottom"/>
            <w:gridSpan w:val="6"/>
          </w:tcPr>
          <w:p>
            <w:pPr>
              <w:spacing w:after="0"/>
              <w:rPr>
                <w:sz w:val="17"/>
                <w:szCs w:val="17"/>
                <w:color w:val="auto"/>
              </w:rPr>
            </w:pPr>
          </w:p>
        </w:tc>
        <w:tc>
          <w:tcPr>
            <w:tcW w:w="57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w:t>
            </w:r>
          </w:p>
        </w:tc>
        <w:tc>
          <w:tcPr>
            <w:tcW w:w="1320" w:type="dxa"/>
            <w:vAlign w:val="bottom"/>
            <w:gridSpan w:val="4"/>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Stockholder Matters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13.</w:t>
            </w:r>
          </w:p>
        </w:tc>
        <w:tc>
          <w:tcPr>
            <w:tcW w:w="600" w:type="dxa"/>
            <w:vAlign w:val="bottom"/>
            <w:gridSpan w:val="6"/>
          </w:tcPr>
          <w:p>
            <w:pPr>
              <w:spacing w:after="0"/>
              <w:rPr>
                <w:sz w:val="17"/>
                <w:szCs w:val="17"/>
                <w:color w:val="auto"/>
              </w:rPr>
            </w:pPr>
          </w:p>
        </w:tc>
        <w:tc>
          <w:tcPr>
            <w:tcW w:w="71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14.</w:t>
            </w:r>
          </w:p>
        </w:tc>
        <w:tc>
          <w:tcPr>
            <w:tcW w:w="600" w:type="dxa"/>
            <w:vAlign w:val="bottom"/>
            <w:gridSpan w:val="6"/>
          </w:tcPr>
          <w:p>
            <w:pPr>
              <w:spacing w:after="0"/>
              <w:rPr>
                <w:sz w:val="17"/>
                <w:szCs w:val="17"/>
                <w:color w:val="auto"/>
              </w:rPr>
            </w:pPr>
          </w:p>
        </w:tc>
        <w:tc>
          <w:tcPr>
            <w:tcW w:w="54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166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5"/>
              </w:rPr>
              <w:t>PART IV</w:t>
            </w:r>
          </w:p>
        </w:tc>
        <w:tc>
          <w:tcPr>
            <w:tcW w:w="48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15.</w:t>
            </w:r>
          </w:p>
        </w:tc>
        <w:tc>
          <w:tcPr>
            <w:tcW w:w="600" w:type="dxa"/>
            <w:vAlign w:val="bottom"/>
            <w:gridSpan w:val="6"/>
          </w:tcPr>
          <w:p>
            <w:pPr>
              <w:spacing w:after="0"/>
              <w:rPr>
                <w:sz w:val="17"/>
                <w:szCs w:val="17"/>
                <w:color w:val="auto"/>
              </w:rPr>
            </w:pPr>
          </w:p>
        </w:tc>
        <w:tc>
          <w:tcPr>
            <w:tcW w:w="29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4200" w:type="dxa"/>
            <w:vAlign w:val="bottom"/>
            <w:gridSpan w:val="1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which reflect our current views about future events and financial results. We have made these statements in reliance on the safe harbor created by the Private Securities Litigation Reform Act of 1995 (set forth in Section 27A of the Securities Act of 1933, as amended (the “Securities Act”) and Section 21E of the Securities Exchange Act of 1934, as amended (the “Exchange Act”)). Forward-looking statements include our views on future financial results, financing sources, product development, capital requirements, market growth and the like, and are generally identified by terms including, but not limited to, “may,” “will,” “should,” “could,” “targets,” “projects,” “predicts,” “contemplates,” “anticipates,” “believes,” “estimates,” “expects,” “intends,” “plans,” “forecasts,” “seeks” and similar words. Forward-looking statements are merely predictions and therefore inherently subject to uncertainties and other factors which could cause the actual results to differ materially from the forward-looking statement. These uncertainties and other factors include, among other things:</w:t>
      </w:r>
    </w:p>
    <w:p>
      <w:pPr>
        <w:spacing w:after="0" w:line="194" w:lineRule="exact"/>
        <w:rPr>
          <w:sz w:val="20"/>
          <w:szCs w:val="20"/>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technical and marketing difficulties inherent in major research and product development efforts;</w:t>
      </w:r>
    </w:p>
    <w:p>
      <w:pPr>
        <w:spacing w:after="0" w:line="225"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U.S. government and allied government funding for defense procurement and research and development (“R&amp;D”) programs and the changes in the timing and/or amount of government spending;</w:t>
      </w:r>
    </w:p>
    <w:p>
      <w:pPr>
        <w:spacing w:after="0" w:line="161" w:lineRule="exact"/>
        <w:rPr>
          <w:rFonts w:ascii="Times New Roman" w:cs="Times New Roman" w:eastAsia="Times New Roman" w:hAnsi="Times New Roman"/>
          <w:sz w:val="18"/>
          <w:szCs w:val="18"/>
          <w:color w:val="auto"/>
        </w:rPr>
      </w:pPr>
    </w:p>
    <w:p>
      <w:pPr>
        <w:ind w:left="1040" w:right="55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certain customers, including the U.S. government and allied foreign governments, for a significant portion of our revenues;</w:t>
      </w:r>
    </w:p>
    <w:p>
      <w:pPr>
        <w:spacing w:after="0" w:line="161"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regulatory requirements governing our contracts with the U.S. government and international customers and the results of any audit or investigation of our compliance therewith;</w:t>
      </w:r>
    </w:p>
    <w:p>
      <w:pPr>
        <w:spacing w:after="0" w:line="161"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a market innovator, to create new market opportunities and/or to expand into new markets;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need for changes in our long-term strategy in response to future developments;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skilled employees;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significant operating expenses, including components and raw materials;</w:t>
      </w:r>
    </w:p>
    <w:p>
      <w:pPr>
        <w:spacing w:after="0" w:line="225"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disruptions or threatened disruptions to our relationships with our distributors, suppliers, customers and employees, including shortages in components for our products;</w:t>
      </w:r>
    </w:p>
    <w:p>
      <w:pPr>
        <w:spacing w:after="0" w:line="161" w:lineRule="exact"/>
        <w:rPr>
          <w:rFonts w:ascii="Times New Roman" w:cs="Times New Roman" w:eastAsia="Times New Roman" w:hAnsi="Times New Roman"/>
          <w:sz w:val="18"/>
          <w:szCs w:val="18"/>
          <w:color w:val="auto"/>
        </w:rPr>
      </w:pPr>
    </w:p>
    <w:p>
      <w:pPr>
        <w:ind w:left="1040" w:right="29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supply, demand and/or prices for our products and services and our ability to perform under existing contracts and obtain new contracts;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from firms that have substantially greater resources than we have and, in the uncrewed systems market, from lower-cost consumer drone manufacturers who may seek to enhance their systems’ capabilities over time;</w:t>
      </w:r>
    </w:p>
    <w:p>
      <w:pPr>
        <w:spacing w:after="0" w:line="175" w:lineRule="exact"/>
        <w:rPr>
          <w:rFonts w:ascii="Times New Roman" w:cs="Times New Roman" w:eastAsia="Times New Roman" w:hAnsi="Times New Roman"/>
          <w:sz w:val="18"/>
          <w:szCs w:val="18"/>
          <w:color w:val="auto"/>
        </w:rPr>
      </w:pPr>
    </w:p>
    <w:p>
      <w:pPr>
        <w:ind w:left="1040" w:right="6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and uncertainty of obtaining and conducting international business, including export compliance and other reporting and compliance requirements;</w:t>
      </w:r>
    </w:p>
    <w:p>
      <w:pPr>
        <w:spacing w:after="0" w:line="161" w:lineRule="exact"/>
        <w:rPr>
          <w:rFonts w:ascii="Times New Roman" w:cs="Times New Roman" w:eastAsia="Times New Roman" w:hAnsi="Times New Roman"/>
          <w:sz w:val="18"/>
          <w:szCs w:val="18"/>
          <w:color w:val="auto"/>
        </w:rPr>
      </w:pPr>
    </w:p>
    <w:p>
      <w:pPr>
        <w:ind w:left="1040" w:right="3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potential security and cyber threats or the risk of unauthorized access to our, our customers’ and/or our suppliers’ information and systems;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81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and the consequences to our financial position, business and reputation that could result from failing to comply with such regulatory requirements;</w:t>
      </w:r>
    </w:p>
    <w:p>
      <w:pPr>
        <w:spacing w:after="0" w:line="161" w:lineRule="exact"/>
        <w:rPr>
          <w:rFonts w:ascii="Times New Roman" w:cs="Times New Roman" w:eastAsia="Times New Roman" w:hAnsi="Times New Roman"/>
          <w:sz w:val="18"/>
          <w:szCs w:val="18"/>
          <w:color w:val="auto"/>
        </w:rPr>
      </w:pPr>
    </w:p>
    <w:p>
      <w:pPr>
        <w:ind w:left="1040" w:right="179" w:hanging="315"/>
        <w:spacing w:after="0" w:line="266"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integrate acquired companies into our operations, including the ability to timely and sufficiently integrate international operations into our ongoing business and compliance programs;</w:t>
      </w:r>
    </w:p>
    <w:p>
      <w:pPr>
        <w:spacing w:after="0" w:line="175" w:lineRule="exact"/>
        <w:rPr>
          <w:rFonts w:ascii="Times New Roman" w:cs="Times New Roman" w:eastAsia="Times New Roman" w:hAnsi="Times New Roman"/>
          <w:sz w:val="18"/>
          <w:szCs w:val="18"/>
          <w:color w:val="auto"/>
        </w:rPr>
      </w:pPr>
    </w:p>
    <w:p>
      <w:pPr>
        <w:ind w:left="1040" w:right="199" w:hanging="315"/>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and adapt to unexpected legal, regulatory and government budgetary changes, such as supply chain disruptions, public health crises, curtailments of trade, diversions of government resources to non-defense priorities, and other business restrictions affecting our ability to manufacture and sell our products and provide our services;</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new products or integrate new technology into current products;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results in legal proceedings;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covenants in our loan documents;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and maintain effective internal control over financial reporting; and</w:t>
      </w:r>
    </w:p>
    <w:p>
      <w:pPr>
        <w:spacing w:after="0" w:line="225"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the United States and elsewhere in the world, including the impact of inflation.</w:t>
      </w:r>
    </w:p>
    <w:p>
      <w:pPr>
        <w:spacing w:after="0" w:line="162"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Set forth below in Item 1A, “Risk Factors” are additional significant uncertainties and other factors affecting forward-looking statements. The reader should understand that the uncertainties and other factors identified in this Annual Report are not a comprehensive list of all the uncertainties and other factors that may affect forward-looking statements. We do not undertake any obligation to update or revise any forward-looking statements or the list of uncertainties and other factors that could affect those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design, develop, produce, deliver and support a technologically-advanced portfolio of intelligent, multi-domain robotic systems and related services for government agencies and businesses. We supply uncrewed aircraft and ground robot systems, loitering munitions systems and related services primarily to organizations within or supplying the U.S. Department of Defense (“DoD”), other federal agencies and to international allied governments. We derive the majority of our revenue from these business areas, and we believe that the markets for these solutions offer the potential for significant long-term growth. In addition, we believe that some of the innovative potential products, services and technologies in our R&amp;D pipeline will emerge as new growth platforms in the future, creating additional market opportunities.</w:t>
      </w:r>
    </w:p>
    <w:p>
      <w:pPr>
        <w:spacing w:after="0" w:line="192"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success of our current product and service offerings stems from our investments in R&amp;D to invent and deliver advanced solutions, our utilization of proprietary and commercially available technologies, and our acquisitions of leading businesses that help our customers achieve their desired outcomes. We develop and acquire these highly innovative solutions by working closely with our key customers to solve their most important challenges related to our areas of expertise. Our core technological capabilities, developed through more than 50 years of innovation, include robotics and robotics systems autonomy; modular open systems architecture; sensor design, development, miniaturization and integration; embedded software and firmware; miniature, low power, secure wireless digital communications and networks; lightweight aerostructures; high-altitude systems design, integration and operations; machine vision, machine learning and autonomy; land, maritime and air deployment of munitions and aircraft systems; design and qualification for robotics in extreme terrestrial and space environments; munitions systems warhead integration; low SWaP (Size, Weight and Power) system design and integration; collaborative multi-robotic crewed and uncrewed mission operation; power electronics and electric propulsion systems; efficient electric power conversion,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storage systems and high density energy packaging; controls and systems integration; vertical takeoff and landing for fixed wing and hybrid aircraft and rotocraft systems; image stabilization and target tracking; advanced flight control systems; fluid dynamics; human-machine interface development; modular dismounted, networked multi-domain robotic control interfaces and analytic processing architecture; and integrated mission solutions for austere environments.</w:t>
      </w:r>
    </w:p>
    <w:p>
      <w:pPr>
        <w:spacing w:after="0" w:line="180"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Our business focuses primarily on the design, development, production, marketing, support and operation of our innovative uncrewed systems (“UxS”) and loitering munitions systems (“LMS”) products and services that provide situational awareness, remote sensing, multi-band communications, force protection and other information and mission effects to increase the safety and effectiveness of our customers’ operations.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As a leader in defense technology, our strategy is to grow our business by delivering innovative, safe and reliable multi-domain solutions and unique capabilities to our customers. Delivering these capabilities enables us to create new markets or market segments, gain share in existing markets, and grow as market adoption increases. We believe that by introducing new solutions, or acquiring differentiated solutions developed by others, we provide customers with compelling value while growing our business profitably, in both new and existing markets. By providing differentiated solutions we believe we can compete effectively against large, incumbent competitors that may possess advantages in scope, scale, resources and relationships.</w:t>
      </w:r>
    </w:p>
    <w:p>
      <w:pPr>
        <w:spacing w:after="0" w:line="189" w:lineRule="exact"/>
        <w:rPr>
          <w:sz w:val="20"/>
          <w:szCs w:val="20"/>
          <w:color w:val="auto"/>
        </w:rPr>
      </w:pPr>
    </w:p>
    <w:p>
      <w:pPr>
        <w:jc w:val="both"/>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We intend to grow our business by preserving a leadership position in our core UxS (inclusive of aircraft and ground vehicles), and LMS markets by creating or acquiring new solutions and capabilities that enable us to establish leadership positions in new markets. Key components of this strategy include the following:</w:t>
      </w:r>
    </w:p>
    <w:p>
      <w:pPr>
        <w:spacing w:after="0" w:line="172" w:lineRule="exact"/>
        <w:rPr>
          <w:sz w:val="20"/>
          <w:szCs w:val="20"/>
          <w:color w:val="auto"/>
        </w:rPr>
      </w:pPr>
    </w:p>
    <w:p>
      <w:pPr>
        <w:ind w:left="60" w:right="99" w:firstLine="97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the market penetration of existing products and services. </w:t>
      </w:r>
      <w:r>
        <w:rPr>
          <w:rFonts w:ascii="Times New Roman" w:cs="Times New Roman" w:eastAsia="Times New Roman" w:hAnsi="Times New Roman"/>
          <w:sz w:val="18"/>
          <w:szCs w:val="18"/>
          <w:color w:val="auto"/>
        </w:rPr>
        <w:t>Our UxS business, comprised of Small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Uncrewed Aircraft Systems (“SUAS”), Medium Uncrewed Aircraft Systems (“MUAS”), and Uncrewed ground vehicles (“UGV”); our LMS business; and our MacCready Works business (“MW”), comprised of proprietary programs, advanced research, Ingenuity Mars Helicopter and High Altitude Pseudo-Satellites (“HAPS”) businesses, have gained reputations as performance leaders and technology innovators in their respective markets. We intend to increase the penetration of our products and services within the U.S. military, the military of allied nations, other government agencies and non-government organizations, including commercial entities. We believe that broad adoption of our solutions by the U.S. military will continue to spur demand from allied nations, and that our pursuit of new applications will create opportunities beyond the early adopter military market.</w:t>
      </w:r>
    </w:p>
    <w:p>
      <w:pPr>
        <w:spacing w:after="0" w:line="188" w:lineRule="exact"/>
        <w:rPr>
          <w:sz w:val="20"/>
          <w:szCs w:val="20"/>
          <w:color w:val="auto"/>
        </w:rPr>
      </w:pPr>
    </w:p>
    <w:p>
      <w:pPr>
        <w:ind w:left="60" w:right="179" w:firstLine="97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Deliver innovative new solutions into existing and new markets. </w:t>
      </w:r>
      <w:r>
        <w:rPr>
          <w:rFonts w:ascii="Times New Roman" w:cs="Times New Roman" w:eastAsia="Times New Roman" w:hAnsi="Times New Roman"/>
          <w:sz w:val="18"/>
          <w:szCs w:val="18"/>
          <w:color w:val="auto"/>
        </w:rPr>
        <w:t>Customer-focused innovation is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primary driver of our growth. We plan to continue investing in internally-funded R&amp;D projects while expanding our pursuit of customer-funded R&amp;D projects to generate revenue and develop better, more capable products, services and business models, both in response to and in anticipation of emerging customer needs. In some cases, these innovations result in upgrades to existing offerings while expanding their value among existing customers and markets. In other cases, these innovations become entirely new solutions that position us to address new markets, customers and business opportunities. We believe focused R&amp;D investments will allow us to deliver innovative new products and services that address market needs within and outside of our current target markets by enabling us to create new opportunities for growth. We view strategic partnerships as a means by which to further the reach of our innovative solutions by accessing new markets, customers, and complementary capabilities. We also consider acquisitions as a method to obtain valuable products, capabilities or technologies that can further enable our growth strategy.</w:t>
      </w:r>
    </w:p>
    <w:p>
      <w:pPr>
        <w:spacing w:after="0" w:line="182" w:lineRule="exact"/>
        <w:rPr>
          <w:sz w:val="20"/>
          <w:szCs w:val="20"/>
          <w:color w:val="auto"/>
        </w:rPr>
      </w:pPr>
    </w:p>
    <w:p>
      <w:pPr>
        <w:ind w:left="60" w:right="159" w:firstLine="97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Foster our entrepreneurial culture and continue to attract, develop and retain highly-skilled personnel. </w:t>
      </w:r>
      <w:r>
        <w:rPr>
          <w:rFonts w:ascii="Times New Roman" w:cs="Times New Roman" w:eastAsia="Times New Roman" w:hAnsi="Times New Roman"/>
          <w:sz w:val="18"/>
          <w:szCs w:val="18"/>
          <w:color w:val="auto"/>
        </w:rPr>
        <w:t>Our company culture encourages innovation and entrepreneurship, which helps to attract and retain highly-skilled professionals. This culture encourages the development of innovative, highly technical system solutions and business models that give us our competitive advantage. Our values of “customer commitment,” “trust and teamwork,” “innovate and simplify,” and “ownership and results” serve as the foundation of our culture. We believe that our values help to guide the behavior of our team members and serve to maintain a positive work environment that inspires loyalty among our personnel and customers. We also believe that our values facilitate the integration of new team members who join us as a result of acquisitions.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79" w:firstLine="97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Preserve our agility and flexibility. </w:t>
      </w:r>
      <w:r>
        <w:rPr>
          <w:rFonts w:ascii="Times New Roman" w:cs="Times New Roman" w:eastAsia="Times New Roman" w:hAnsi="Times New Roman"/>
          <w:sz w:val="18"/>
          <w:szCs w:val="18"/>
          <w:color w:val="auto"/>
        </w:rPr>
        <w:t>We respond rapidly to evolving markets, solve complicated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problems, and strive to deliver new products, services and capabilities quickly, efficiently and affordably compared to available alternatives. We believe our agility and flexibility help us to strengthen our relationships with customers and partners. Our agility and flexibility are important differentiators when competing against organizations with more extensive resources.</w:t>
      </w:r>
    </w:p>
    <w:p>
      <w:pPr>
        <w:spacing w:after="0" w:line="179" w:lineRule="exact"/>
        <w:rPr>
          <w:sz w:val="20"/>
          <w:szCs w:val="20"/>
          <w:color w:val="auto"/>
        </w:rPr>
      </w:pPr>
    </w:p>
    <w:p>
      <w:pPr>
        <w:ind w:left="60" w:right="179" w:firstLine="97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Effectively manage our growth portfolio for long-term value creation. </w:t>
      </w:r>
      <w:r>
        <w:rPr>
          <w:rFonts w:ascii="Times New Roman" w:cs="Times New Roman" w:eastAsia="Times New Roman" w:hAnsi="Times New Roman"/>
          <w:sz w:val="18"/>
          <w:szCs w:val="18"/>
          <w:color w:val="auto"/>
        </w:rPr>
        <w:t>Our production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programs and services present numerous investment opportunities that will deliver long-term growth by providing our customers with valuable new capabilities. We evaluate each opportunity independently and against other investment opportunities, to determine its relative cost, timing and potential for generation of returns. This process helps us to make informed decisions regarding potential growth capital requirements and supports our allocation of resources based on relative risks and returns to maximize long-term value creation, which is the key objective of our growth strategy. We also review our portfolio on a regular basis to determine if and when to narrow our focus on the highest potential growth opportunities and exit unattractive or non-core product lines.</w:t>
      </w:r>
    </w:p>
    <w:p>
      <w:pPr>
        <w:spacing w:after="0" w:line="185" w:lineRule="exact"/>
        <w:rPr>
          <w:sz w:val="20"/>
          <w:szCs w:val="20"/>
          <w:color w:val="auto"/>
        </w:rPr>
      </w:pPr>
    </w:p>
    <w:p>
      <w:pPr>
        <w:ind w:left="60" w:right="279" w:firstLine="972"/>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Stay intimate with our key defense customers. </w:t>
      </w:r>
      <w:r>
        <w:rPr>
          <w:rFonts w:ascii="Times New Roman" w:cs="Times New Roman" w:eastAsia="Times New Roman" w:hAnsi="Times New Roman"/>
          <w:sz w:val="17"/>
          <w:szCs w:val="17"/>
          <w:color w:val="auto"/>
        </w:rPr>
        <w:t>We receive support from members within AeroVironment’s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Strategic Advisory Group (“SAG”), which provides executive level advice to AeroVironment’s senior leaders on all matters relating to the DoD. SAG members are highly qualified former members of the U.S. DoD, including retired General Officers and Senior Executive Service members, each with many decades of experience. We also have a government relations team comprised of individuals with prior military, government and policy making experience who regularly meet with key decision makers within the Pentagon, Congress and other key organizations within the U.S. government. Our global business development organization, that seeks to understand customer needs, responds to information requests, submits proposals, solicits feedback on the performance of our products, furnishes spares, and provides training and customer support. Finally, our project and program managers work intimately with customers to oversee the design, development, testing, manufacturing and delivery of solutions the customers want and need.</w:t>
      </w:r>
    </w:p>
    <w:p>
      <w:pPr>
        <w:spacing w:after="0" w:line="1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sell the majority of our UxS products and services to organizations within the U.S. DoD, including the U.S. Army, Marine Corps, Special Operations Command, Air Force and Navy, to public safety agencies and to allied governments, or to companies that serve these customers. We sell our LMS products and services to organizations within the U.S. DoD and allied military forces. We also develop HAPS systems in conjunction with SoftBank Corp (“SoftBank”) for commercial customers and maintain exclusive rights to market and sell HAPS systems for defense applications globally except for Japan, which includes the sale of select products and services to the National Aeronautics and Space Administration (“NASA”) and U.S. DoD.</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During our fiscal year ended April 30, 2024, we generated approximately 11% of our revenue from the U.S. Army pursuant to orders placed under contract by the U.S. Army on behalf of itself as well as for several other organizations within the U.S. DoD. Other U.S. government agencies and government subcontractors accounted for 26% of our sales revenue. Sales revenue to foreign customers, inclusive of foreign military sales made through the U.S. DoD, commercial and consumer customers accounted for the remaining 63% of sales revenue during our fiscal year ended April 30, 2024, of which Ukraine accounted for 38% of our total sales revenue.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22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are subject to various federal, state, local and non-U.S. laws and regulations relating to environmental protection, including the discharge, treatment, storage, disposal and remediation of hazardous substances and wastes. We could also be affected by future laws and regulations relating to climate change, including laws related to greenhouse gas emissions and regulating energy efficiency. These laws and regulations could lead to increased environmental compliance expenditures, increased energy and raw materials costs and new and/or additional investment in designs and technologies. We continually assess our compliance status and management of environmental matters to ensure our operations are in compliance with all applicable environmental laws and regulations. Investigation, remediation and operation and maintenance costs associated with environmental compliance and management of sites are a normal, recurring part of our operations. These costs often are allowable costs under our contracts with the U.S. government. While environmental protection regulations have not had a significant adverse effect on our overall operations, it is possible that costs incurred to ensure continued environmental compliance in the future could have a material impact on our results of operations, financial condition or cash flows if additional work requirements or more stringent clean-up standards are imposed by regulators, new areas of soil, air and groundwater contamination are discovered and/or expansion of work scope are prompted as a result of investigations.</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Technology, Research and Development</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Technological Competence and Intellectual Property</w:t>
      </w:r>
    </w:p>
    <w:p>
      <w:pPr>
        <w:spacing w:after="0" w:line="22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company was founded by the late Dr. Paul B. MacCready, Jr., formerly chairman of our board of directors and an internationally renowned innovator who was instrumental in establishing our entrepreneurial and creative culture. This culture has consistently enabled us to attract and retain highly-motivated, talented employees and helped to establish our reputation as an innovative leader in the industries in which we compete.</w:t>
      </w:r>
    </w:p>
    <w:p>
      <w:pPr>
        <w:spacing w:after="0" w:line="18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innovations developed by our company and our founder include, among others: the world’s first effective human-powered and crewed solar-powered airplanes; the first modern passenger electric car, the EV1 prototype for General Motors; the world’s highest flying airplane in level flight (Helios™), a solar-powered uncrewed aircraft system (“UAS”) that reached over 96,000 feet above sea level in 2001; Global Observer, the world’s first liquid hydrogen-fueled UAS; the Nano Hummingbird™, the world’s first flapping wing UAS capable of precise hover and omni-directional flight; and Blackwing™, the first submarine-launched UAS deployed by the U.S. Navy; and a considerable portion of JPL/NASA’s Mars Ingenuity Helicopter, the first aircraft to perform a powered flight on another planet (Mars). The Smithsonian Institution possesses eight vehicles developed by our company or our founder in its permanent collection. Our history of innovation excellence is the result of our talented, creative and skilled employees whom we encourage to invent and develop unique, new solutions to address the challenges of today and tomorrow.</w:t>
      </w:r>
    </w:p>
    <w:p>
      <w:pPr>
        <w:spacing w:after="0" w:line="194"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A component of our ongoing innovation is a screening process that helps our business managers identify early market needs, which assists us in making timely investments into critical technologies necessary to develop solutions to address these needs. Similarly, we manage new product and business concepts through a commercialization process that balances spending, resources, time and intellectual property considerations against market requirements and potential returns on investment. Strongly linking our technology and business development activities to customer needs in attractive growth markets constitutes an important element of this process. We constantly revisit our customer requirement assumptions to evaluate continued investment and to seek to ensure that our products and services deliver high value and, conversely, high returns.</w:t>
      </w:r>
    </w:p>
    <w:p>
      <w:pPr>
        <w:spacing w:after="0" w:line="19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As of April 30, 2024, we had issued and retained 316 U.S. patents, as well as 79 pending U.S. patent applications; an active Patent Cooperation Treaty application; and numerous foreign patents and pending applications. In many cases, when appropriate and to preserve confidentiality, we opt to protect our intellectual property through trade secrets as opposed to filing for patent protection.</w:t>
      </w:r>
    </w:p>
    <w:p>
      <w:pPr>
        <w:spacing w:after="0" w:line="180"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U.S. government has licenses to some of our intellectual property that was specifically developed in performance of government contracts and may use or authorize others to use this intellectual property. In some cases, we fund the development of certain intellectual property to maximize its value and limit its use by potential competitors.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While we consider the development and protection of our intellectual property to be integral to the future success of our business, at this time we do not believe that a loss or limitation of rights to any particular piece of our intellectual property would have a material adverse effect on our overall business.</w:t>
      </w:r>
    </w:p>
    <w:p>
      <w:pPr>
        <w:spacing w:after="0" w:line="17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Research, Development and Commercialization of Projects</w:t>
      </w:r>
    </w:p>
    <w:p>
      <w:pPr>
        <w:spacing w:after="0" w:line="229" w:lineRule="exact"/>
        <w:rPr>
          <w:sz w:val="20"/>
          <w:szCs w:val="20"/>
          <w:color w:val="auto"/>
        </w:rPr>
      </w:pPr>
    </w:p>
    <w:p>
      <w:pPr>
        <w:ind w:left="60" w:right="439" w:firstLine="648"/>
        <w:spacing w:after="0" w:line="277" w:lineRule="auto"/>
        <w:rPr>
          <w:sz w:val="20"/>
          <w:szCs w:val="20"/>
          <w:color w:val="auto"/>
        </w:rPr>
      </w:pPr>
      <w:r>
        <w:rPr>
          <w:rFonts w:ascii="Times New Roman" w:cs="Times New Roman" w:eastAsia="Times New Roman" w:hAnsi="Times New Roman"/>
          <w:sz w:val="17"/>
          <w:szCs w:val="17"/>
          <w:color w:val="auto"/>
        </w:rPr>
        <w:t>A core component of our business strategy is the focused development and commercialization of innovative solutions that we believe can become new products or services that enable us to create large new markets or accelerate growth within our existing markets. We invest in an active pipeline of these commercialization projects that range in maturity from technology validation to early market adoption. We cannot predict when, if ever, we will successfully commercialize these projects, or the exact level of capital expenditures they could require, which could be substantial.</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marketing strategy is based on establishing leadership positions in new markets that we create or by expanding through the introduction or acquisition of innovation solutions that improve customer operational effectiveness and efficiency. Our ability to operate in an agile, flexible manner helps us achieve first mover advantage and work closely with early customers to achieve successful adoption of our solutions. Once we establish a market position, we work to maintain our leadership, while seeking to grow our revenue by expanding sales and through continuous innovation and customer support. Our reputation for innovation is a key component of our brand, acknowledged through a variety of awards and recognized in numerous articles in domestic and international publications. We have many U.S. registered trademarks including those for AeroVironment, AV, Switchblade, Raven, Wasp, Quantix, VAPOR, Arcturus UAV, Crysalis, Jump, Tomahawk Robotics, and Kinesis, and have several pending applications for trademark registration.</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International Sales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contract with international sales representatives and team with domestic organizations across a number of foreign markets which we believe represent growth opportunities for our business. Our international sales, inclusive of foreign military sales, accounted for approximately 62%, 53% and 41%, of our revenue for the fiscal years ended April 30, 2024, 2023 and 2022, respectively.</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 principal competitive factors in the markets for our products and services include product performance; safety; innovative features; acquisition cost; lifetime operating cost, including maintenance and support; ease of use; rapid integration with existing equipment and processes; quality; reliability; customer support; and brand and reputation. Several companies across the globe (primarily in the U.S.) attempt to compete in our markets to some degree, although we believe none match the breadth and depth of our product line nor our expertise in core capabilities.</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Manufacturing and Operations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pursue a lean and efficient production strategy across our business, focusing on rapid prototyping, supply chain management, final assembly, integration, quality and final acceptance testing. Using concurrent engineering techniques within an integrated product team structure, we rapidly prototype design concepts and products, while working to optimize our designs to meet manufacturing requirements, mission capabilities and customer specifications. Within this framework we develop our products with feedback and input from manufacturing, quality, supply chain management, key suppliers, logistics personnel and customers. We incorporate this input into product designs in an effort to maximize the efficiency and quality of our products while minimizing time to market. As a result, we believe that we significantly reduce the time required to move a product from its design phase to full rate production while not sacrificing high reliability, quality and durability.</w:t>
      </w:r>
    </w:p>
    <w:p>
      <w:pPr>
        <w:spacing w:after="0" w:line="188"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We outsource certain production activities, such as the fabrication of certain aerostructures, the manufacture and assembly of electronic printed circuit boards, and payload components to qualified suppliers, with many of whom</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have long-term relationships. This outsourcing enables us to focus on our core expertise of final assembly, system integration and test processes for our products, ensuring high levels of quality and reliability. We forge strong relationships with key suppliers based on their ability to grow along with our production requirements and support our growth. We leverage our suppliers’ expertise to improve our existing products and develop new solutions. We rely on both single and multiple suppliers for certain components and subassemblies (see Part 1A, “Risk Factors—If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 for more information). A majority of our production systems operate in accordance with our AS9100D registered Quality Management System, which focuses on continuous improvement in order to increase acceptance rates, reduce lead times and lower cost.</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Customer-Funded R&amp;D</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actively pursue externally funded projects that help us strengthen our technological capabilities. We submit bids to large research customers, such as the Defense Advanced Research Projects Agency (“DARPA”), the U.S. Air Force, the U.S. Army and the U.S. Special Operations Command, for projects that we believe have the potential for future procurement. In some cases, commercial enterprises may fund our R&amp;D activities, as with our HAPS UAS development program. Providing these services contributes to the development and enhancement of our technical competencies. We carefully manage the volume of customer-funded R&amp;D projects based on projects’ available resources, and we expect to expand our team to support growth in this area of our business.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0" w:right="339" w:firstLine="648"/>
        <w:spacing w:after="0" w:line="258" w:lineRule="auto"/>
        <w:rPr>
          <w:sz w:val="20"/>
          <w:szCs w:val="20"/>
          <w:color w:val="auto"/>
        </w:rPr>
      </w:pPr>
      <w:r>
        <w:rPr>
          <w:rFonts w:ascii="Times New Roman" w:cs="Times New Roman" w:eastAsia="Times New Roman" w:hAnsi="Times New Roman"/>
          <w:sz w:val="18"/>
          <w:szCs w:val="18"/>
          <w:color w:val="auto"/>
        </w:rPr>
        <w:t>No material portion of our business is considered to be seasonal. Historically, revenue in the second half of our fiscal years has exceeded revenue in the first half. The factors that affect our revenue recognition between accounting periods include the timing of new contract awards, the availability of U.S. government and international government funding, lead time to manufacture our systems to customer specification, customer acceptance and other regulatory requirements.</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229" w:lineRule="exact"/>
        <w:rPr>
          <w:sz w:val="20"/>
          <w:szCs w:val="20"/>
          <w:color w:val="auto"/>
        </w:rPr>
      </w:pPr>
    </w:p>
    <w:p>
      <w:pPr>
        <w:ind w:left="60" w:right="179" w:firstLine="648"/>
        <w:spacing w:after="0" w:line="269" w:lineRule="auto"/>
        <w:rPr>
          <w:sz w:val="20"/>
          <w:szCs w:val="20"/>
          <w:color w:val="auto"/>
        </w:rPr>
      </w:pPr>
      <w:r>
        <w:rPr>
          <w:rFonts w:ascii="Times New Roman" w:cs="Times New Roman" w:eastAsia="Times New Roman" w:hAnsi="Times New Roman"/>
          <w:sz w:val="17"/>
          <w:szCs w:val="17"/>
          <w:color w:val="auto"/>
        </w:rPr>
        <w:t>We are dependent upon the availability of materials and major components and the performance of our suppliers. Historically, we have been successful in obtaining the materials required in our manufacturing processes. We seek to manage materials supply risk through long term non-binding contracts with certain key suppliers that establish pricing, minimize lead times and, to some degree, mitigate risk. In recent years, we have experienced supply chain challenges including shortages of certain electronic and other components, increased lead times, increased costs for components, and increased shipping, warehousing and inventory costs. Although, we believe all such raw materials and components are available to meet our needs from various suppliers, we expect some supply chain constraint trends to continue into our fiscal year 2025, which could cause delays in production and development programs and negatively impact our operating results (see Part 1A, “Risk Factors—If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 for more information).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Product Mix</w:t>
      </w:r>
    </w:p>
    <w:p>
      <w:pPr>
        <w:spacing w:after="0" w:line="229"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The table below shows our revenue for the periods indicated by segment. Prior period segment information has been recast to align with the new segment structure:</w:t>
      </w:r>
    </w:p>
    <w:p>
      <w:pPr>
        <w:spacing w:after="0" w:line="182"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April 30,</w:t>
      </w:r>
    </w:p>
    <w:tbl>
      <w:tblPr>
        <w:tblLayout w:type="fixed"/>
        <w:tblInd w:w="40" w:type="dxa"/>
        <w:tblCellMar>
          <w:top w:w="0" w:type="dxa"/>
          <w:left w:w="0" w:type="dxa"/>
          <w:bottom w:w="0" w:type="dxa"/>
          <w:right w:w="0" w:type="dxa"/>
        </w:tblCellMar>
      </w:tblPr>
      <w:tr>
        <w:trPr>
          <w:trHeight w:val="142"/>
        </w:trPr>
        <w:tc>
          <w:tcPr>
            <w:tcW w:w="65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00" w:type="dxa"/>
            <w:vAlign w:val="bottom"/>
            <w:tcBorders>
              <w:bottom w:val="single" w:sz="8" w:color="CCEEFF"/>
            </w:tcBorders>
          </w:tcPr>
          <w:p>
            <w:pPr>
              <w:spacing w:after="0"/>
              <w:rPr>
                <w:sz w:val="12"/>
                <w:szCs w:val="12"/>
                <w:color w:val="auto"/>
              </w:rPr>
            </w:pP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UxS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LMS</w:t>
            </w:r>
          </w:p>
        </w:tc>
        <w:tc>
          <w:tcPr>
            <w:tcW w:w="8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27 %</w:t>
            </w:r>
          </w:p>
        </w:tc>
        <w:tc>
          <w:tcPr>
            <w:tcW w:w="8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22 %</w:t>
            </w:r>
          </w:p>
        </w:tc>
        <w:tc>
          <w:tcPr>
            <w:tcW w:w="7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17 %</w:t>
            </w: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MW</w:t>
            </w:r>
          </w:p>
        </w:tc>
        <w:tc>
          <w:tcPr>
            <w:tcW w:w="8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11 %</w:t>
            </w:r>
          </w:p>
        </w:tc>
        <w:tc>
          <w:tcPr>
            <w:tcW w:w="8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14 %</w:t>
            </w:r>
          </w:p>
        </w:tc>
        <w:tc>
          <w:tcPr>
            <w:tcW w:w="7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15 %</w:t>
            </w: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Contract Mix</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shows our revenue for the periods indicated by contract type:</w:t>
      </w:r>
    </w:p>
    <w:p>
      <w:pPr>
        <w:spacing w:after="0" w:line="23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April 30,</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3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 contracts</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Cost-reimbursable contracts</w:t>
            </w:r>
          </w:p>
        </w:tc>
        <w:tc>
          <w:tcPr>
            <w:tcW w:w="5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11 %</w:t>
            </w:r>
          </w:p>
        </w:tc>
        <w:tc>
          <w:tcPr>
            <w:tcW w:w="6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19 %</w:t>
            </w:r>
          </w:p>
        </w:tc>
        <w:tc>
          <w:tcPr>
            <w:tcW w:w="6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21 %</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Time-and-materials contracts</w:t>
            </w:r>
          </w:p>
        </w:tc>
        <w:tc>
          <w:tcPr>
            <w:tcW w:w="5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6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6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1 %</w:t>
            </w: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We recognize our employees as the most invaluable asset of our company, serving as the cornerstone of our accomplishments. With this in mind, we endeavor to establish ourselves as an employer renowned for fostering a positive and inclusive work environment that encourages personal development, ensures workplace safety, promotes diversity, and embraces inclusion. We firmly believe that such a corporate culture not only enhances employee satisfaction but also nurtures creativity and productivity, thereby driving our continuous innovation efforts. Central to our ethos is prioritizing the employee experience, a commitment underscored by our esteemed certification from the Great Place to Work Institute, Inc., designating us as a “Great Place to Work” each year since 2019.</w:t>
      </w:r>
    </w:p>
    <w:p>
      <w:pPr>
        <w:spacing w:after="0" w:line="18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Workforce Demographics</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As of April 30, 2024, we had 1,403 full time employees and 25 part time employees, of whom 534 were in R&amp;D and engineering, 74 were in sales and marketing, 490 were in operations and 330 were general and administrative personnel.</w:t>
      </w:r>
    </w:p>
    <w:p>
      <w:pPr>
        <w:spacing w:after="0" w:line="17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Talent Acquisition, Retention and Development</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ability to attract, cultivate, and retain highly skilled individuals, particularly those with technical and engineering expertise, is paramount for the successful execution of our strategic objectives and the expansion of our enterprise. We maintain a vigilant oversight of recruitment, employee retention, and management practices. A pivotal component of our People and Culture strategy involves the recruitment of early-career professionals through collegiate programs and internships, with a specific focus on technical disciplines. Furthermore, we engage in regular confidential surveys to gather insights from our workforce, utilizing the feedback to enhance our organizational environment. Our commitment to our employees is demonstrated through competitive compensation packages, inclusive of performance incentives and recognition schemes that encompass all levels within our company. We prioritize the development of our workforce through educational initiatives, training programs, and support for further education and professional certifications. Moreover, we conduct meticulous succession planning for leadership roles to ensure the sustained cultivation of a talented management cadre essential for the realization of our strategic vision.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Diversity and Inclusion</w:t>
      </w:r>
    </w:p>
    <w:p>
      <w:pPr>
        <w:spacing w:after="0" w:line="22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At AeroVironment, the cultivation of a culture rooted in diversity and inclusion is a daily commitment. We firmly uphold the belief that a workforce rich in diversity and inclusivity serves as a pivotal force in fostering innovation. Our diversity and inclusion endeavors are primarily concentrated on multiple facets, encompassing employee recruitment strategies that involve supporting minority-serving institutions and conducting outreach programs. Moreover, we prioritize employee training and development initiatives aimed at broadening the spectrum of diverse talents. Additionally, our dedication to employee engagement is evident through active participation in various employee focus groups addressing pertinent topics related to diversity and inclusion.</w:t>
      </w:r>
    </w:p>
    <w:p>
      <w:pPr>
        <w:spacing w:after="0" w:line="18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Employee Safety and Health</w:t>
      </w:r>
    </w:p>
    <w:p>
      <w:pPr>
        <w:spacing w:after="0" w:line="22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Our safety and health program aims to enhance operational efficiency by offering tailored safety, health, and wellness initiatives. These endeavors are crafted to establish secure working conditions, foster a positive work atmosphere, enhance employee resilience, and bolster the company's overall value. We diligently track employee health and safety metrics, setting monthly and annual goals to minimize work-related injuries and illnesses, thereby reducing the number of lost workdays and mitigating productivity setbacks resulting from such incidents. Furthermore, we extend health and wellness benefits to our employees for their well-being.</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7"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 xml:space="preserve">Consistent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we define backlog as remaining unsatisfied performance obligations under firm orders for which work has not been performed. As of April 30, 2024 and 2023, our backlog was approximately $400.2 million and $424.1 million, respectively. We expect that approximately 90% of our backlog will be recognized as revenue during our fiscal year ending April 30, 2025.</w:t>
      </w:r>
    </w:p>
    <w:p>
      <w:pPr>
        <w:spacing w:after="0" w:line="18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addition to funded backlog, we also had unfunded backlog of $135.4 million and $220.9 million as of April 30, 2024 and 2023, respectively. Unfunded backlog does not meet the definition of a performance obligation under ASC 606. We define unfunded backlog as the total remaining potential order amounts under cost reimbursable and fixed price contracts with (i) multiple one-year options and indefinite delivery, indefinite quantity (“IDIQ”) contracts, or (ii) incremental funding. Unfunded backlog does not obligate the customer to purchase goods or services. There can be no assurance that unfunded backlog will result in any orders in any particular period, if at all. Management believes that unfunded backlog does not provide a reliable measure of future estimated revenue under our contracts.</w:t>
      </w:r>
    </w:p>
    <w:p>
      <w:pPr>
        <w:spacing w:after="0" w:line="189"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are renewed or new contracts awarded. A majority of our contracts, specifically IDIQ ones, do not currently obligate the U.S. government to purchase any goods or services. Additionally, all U.S. government contracts included in backlog, whether or not they are funded, may be terminated at the convenience of the U.S. government.</w:t>
      </w:r>
    </w:p>
    <w:p>
      <w:pPr>
        <w:spacing w:after="0" w:line="1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AeroVironment, Inc. was originally incorporated in California in July 1971 and reincorporated in Delaware in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2006.</w:t>
      </w:r>
    </w:p>
    <w:p>
      <w:pPr>
        <w:spacing w:after="0" w:line="199" w:lineRule="exact"/>
        <w:rPr>
          <w:sz w:val="20"/>
          <w:szCs w:val="20"/>
          <w:color w:val="auto"/>
        </w:rPr>
      </w:pPr>
    </w:p>
    <w:p>
      <w:pPr>
        <w:ind w:left="60" w:right="399" w:firstLine="648"/>
        <w:spacing w:after="0" w:line="232" w:lineRule="auto"/>
        <w:rPr>
          <w:sz w:val="20"/>
          <w:szCs w:val="20"/>
          <w:color w:val="auto"/>
        </w:rPr>
      </w:pPr>
      <w:r>
        <w:rPr>
          <w:rFonts w:ascii="Times New Roman" w:cs="Times New Roman" w:eastAsia="Times New Roman" w:hAnsi="Times New Roman"/>
          <w:sz w:val="18"/>
          <w:szCs w:val="18"/>
          <w:color w:val="auto"/>
        </w:rPr>
        <w:t>Our principal executive offices are located at 241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South, Suite 415, Arlington, Virginia 22202. Our telephone number is (805) 520-8350. Our website home page is </w:t>
      </w:r>
      <w:r>
        <w:rPr>
          <w:rFonts w:ascii="Times New Roman" w:cs="Times New Roman" w:eastAsia="Times New Roman" w:hAnsi="Times New Roman"/>
          <w:sz w:val="18"/>
          <w:szCs w:val="18"/>
          <w:i w:val="1"/>
          <w:iCs w:val="1"/>
          <w:color w:val="auto"/>
        </w:rPr>
        <w:t>http://www.avinc.com</w:t>
      </w:r>
      <w:r>
        <w:rPr>
          <w:rFonts w:ascii="Times New Roman" w:cs="Times New Roman" w:eastAsia="Times New Roman" w:hAnsi="Times New Roman"/>
          <w:sz w:val="18"/>
          <w:szCs w:val="18"/>
          <w:color w:val="auto"/>
        </w:rPr>
        <w:t>. We make our website content available for information purposes only. It should not be relied upon for investment purposes, nor is it incorporated by reference into this Annual Report.</w:t>
      </w:r>
    </w:p>
    <w:p>
      <w:pPr>
        <w:spacing w:after="0" w:line="199" w:lineRule="exact"/>
        <w:rPr>
          <w:sz w:val="20"/>
          <w:szCs w:val="20"/>
          <w:color w:val="auto"/>
        </w:rPr>
      </w:pPr>
    </w:p>
    <w:p>
      <w:pPr>
        <w:ind w:left="60" w:right="439" w:firstLine="648"/>
        <w:spacing w:after="0" w:line="312" w:lineRule="auto"/>
        <w:rPr>
          <w:sz w:val="20"/>
          <w:szCs w:val="20"/>
          <w:color w:val="auto"/>
        </w:rPr>
      </w:pPr>
      <w:r>
        <w:rPr>
          <w:rFonts w:ascii="Times New Roman" w:cs="Times New Roman" w:eastAsia="Times New Roman" w:hAnsi="Times New Roman"/>
          <w:sz w:val="17"/>
          <w:szCs w:val="17"/>
          <w:color w:val="auto"/>
        </w:rPr>
        <w:t>We make our annual reports on Form 10-K, quarterly reports on Form 10-Q, current reports on Form 8-K and proxy statements for our annual stockholders’ meetings, as well as any amendments to those reports, available free of</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1" w:lineRule="auto"/>
        <w:rPr>
          <w:sz w:val="20"/>
          <w:szCs w:val="20"/>
          <w:color w:val="auto"/>
        </w:rPr>
      </w:pPr>
      <w:r>
        <w:rPr>
          <w:rFonts w:ascii="Times New Roman" w:cs="Times New Roman" w:eastAsia="Times New Roman" w:hAnsi="Times New Roman"/>
          <w:sz w:val="17"/>
          <w:szCs w:val="17"/>
          <w:color w:val="auto"/>
        </w:rPr>
        <w:t xml:space="preserve">charge through our website as soon as reasonably practical after we electronically file that material with, or furnish it to, the Securities and Exchange Commission (“SEC”). You can learn more about us by reviewing our SEC filings. Our SEC reports can be accessed through the investor relations page of our web site at </w:t>
      </w:r>
      <w:r>
        <w:rPr>
          <w:rFonts w:ascii="Times New Roman" w:cs="Times New Roman" w:eastAsia="Times New Roman" w:hAnsi="Times New Roman"/>
          <w:sz w:val="17"/>
          <w:szCs w:val="17"/>
          <w:i w:val="1"/>
          <w:iCs w:val="1"/>
          <w:color w:val="auto"/>
        </w:rPr>
        <w:t>http://investor.avinc.com</w:t>
      </w:r>
      <w:r>
        <w:rPr>
          <w:rFonts w:ascii="Times New Roman" w:cs="Times New Roman" w:eastAsia="Times New Roman" w:hAnsi="Times New Roman"/>
          <w:sz w:val="17"/>
          <w:szCs w:val="17"/>
          <w:color w:val="auto"/>
        </w:rPr>
        <w:t>. The SEC also maintains a web site at www.sec.gov that contains our reports, proxy statements and other information regarding us.</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Our business addresses the increasing value of intelligent, multi-domain robotic systems providing distributed, network-centric intelligence, surveillance and reconnaissance (“ISR”), communications, remote sensing, effects delivery and remote materials handling with innovative UxS and LMS solutions. With respect to the defense applications for these technologies, over 20 years of counterinsurgency operations in regions where U.S. and allied forces benefit from air and technical superiority have driven the demand for a variety of uncrewed systems in the air and on the ground. The recent shift of U.S. and allied defense planning toward countering peer and near-peer adversaries requires a portfolio of capabilities that can operate effectively in areas where the battlespace, including the air, radio frequency (“RF”) spectrum and Global Positioning Satellite (“GPS”) signals, may be contested, driving the need for more intelligent robotic systems capable of autonomous operation.</w:t>
      </w:r>
    </w:p>
    <w:p>
      <w:pPr>
        <w:spacing w:after="0" w:line="18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UnCrewed Systems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defense market for UxS has grown significantly since the early 2000s, driven largely by the demands associated with the global threat environment and resulting procurement by military customers, the early adopters for this technology. SUAS and MUAS now represent accepted and enduring capabilities for military forces around the world. The U.S. military’s transformation into a smaller, more agile force that operates via a network of observation, communication and precision targeting technologies accelerated following the terrorist attacks of September 11, 2001, as the DoD required improved, distributed observation and targeting of enemy combatants who operate in small groups, often embedded in dense population centers or dispersed in remote locations, to operate effectively in a counterinsurgency threat environment. We believe that UxS, which range from large systems to medium systems such as our Puma LE, T-20 and JUMP 20 to small systems, such as our Raven, Wasp AE, Puma AE, and VAPOR, serve as integral components of today’s military force. These systems provide critical observation and communications capabilities serving the increasing demand for actionable intelligence, while reducing risk to individual warfighters. SUAS and MUAS can provide real-time observation and communication capabilities to commanders and directly to the units who control them. These capabilities are increasingly enabled by next generation open standard communications and common control technologies.</w:t>
      </w:r>
    </w:p>
    <w:p>
      <w:pPr>
        <w:spacing w:after="0" w:line="187"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In situations where improvised explosive devices, caustic chemicals, nuclear, radiological or biological hazards or violent individuals represent significant danger to humans, UGVs can help responders remove, contain or neutralize these hazards without putting people in harm’s way. We believe that as enabling technologies continue to advance, UGVs will become more autonomous, more capable and more effective in dealing with hazardous threats, expanding the market potential for this set of applications to include non-defense applications such as facility security, infrastructure inspection, delivery of goods and many others.</w:t>
      </w:r>
    </w:p>
    <w:p>
      <w:pPr>
        <w:spacing w:after="0" w:line="18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Loitering Munitions Systems</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development of weapons capable of rapid deployment and precision strikes that also minimize the risk to surrounding civilians, property and operators has accelerated due to advances in the enabling technologies. Weapons such as laser-guided missiles, “smart” bombs and GPS-guided artillery shells have dramatically improved the accuracy of strikes against hostile targets. When ground forces find themselves engaged in a firefight or near a hostile target, their ability to employ a precision weapon system quickly and easily can mean the difference between mission success and failure. A rapidly deployable solution could address emerging requirements beyond ground engagements for use in other types of missions and from a variety of sea, air and land platforms. We believe that embedding a precision lethal payload into a remotely controlled, portable delivery system provides warfighters with a valuable and more cost-effective alternative to existing munition and missile systems.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MacCready Works: HAPS UAS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believe a market opportunity exists for HAPS UAS that can fly for months at a time to provide continuous remote sensing and telecommunications services in an affordable manner over large coverage areas for both commercial and defense applications. Existing solutions such as terrestrial cellular towers and communications satellites address some of the current and emerging demand for this capability but each have trade-offs. Terrestrial based infrastructure is ideal for dense population centers but expensive and underutilized for large area applications. Geosynchronous satellites provide fixed, continuous communications capabilities to large portions of the globe, but because they operate more than 20,000 miles from the surface of the earth, the bandwidth they can provide is limited, introducing latency in communications signals and requiring relatively larger, higher power ground stations. Smaller low earth orbit satellites are lower cost alternatives to geosynchronous satellites and typically operate at lower altitudes with reduced latencies, but are unable to maintain geosynchronous positions, meaning they are moving with respect to the surface of the earth, resulting in a limited presence over specific areas of interest and significant periods of down time during which they are not present over those areas. All satellites require special ground based receiving hardware that may further limit their telecommunication applications, and changes in communications technologies often require expensive new satellite constellations be deployed. UAS that are capable of maintaining geosynchronous orbits for extended periods of time, operating over large areas of interest, while providing low latency communications directly to available handheld mobile devices provide a critical bridge between terrestrial infrastructure and satellites. Further, these HAPS platforms can carry a wide array of communications and sensing payloads that can be readily installed, upgraded and swapped based on evolving customer and mission needs.</w:t>
      </w:r>
    </w:p>
    <w:p>
      <w:pPr>
        <w:spacing w:after="0" w:line="18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Advanced Artificial Intelligence and Autonomy</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Robotic systems designed to perform complex missions in complex environments, such as contested battlespaces across multiple domains will require advanced artificial intelligence and autonomy. For defense applications, this contributes to alternative methods of precision navigation, active perception of the operational environment, independence of command and control, and collaborative dynamic mission operations. Such higher levels of autonomy will become increasingly more valuable in enabling the effective use of robotic systems and mission capability.</w:t>
      </w:r>
    </w:p>
    <w:p>
      <w:pPr>
        <w:spacing w:after="0" w:line="17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supply our uncrewed products and services to multiple customers, primarily with defense related applications both domestically and internationally, as well as supply our loitering munitions and related services to defense related organizations within the U.S. government and allied nations.</w:t>
      </w:r>
    </w:p>
    <w:p>
      <w:pPr>
        <w:spacing w:after="0" w:line="17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SUAS Products</w:t>
      </w:r>
    </w:p>
    <w:p>
      <w:pPr>
        <w:spacing w:after="0" w:line="229" w:lineRule="exact"/>
        <w:rPr>
          <w:sz w:val="20"/>
          <w:szCs w:val="20"/>
          <w:color w:val="auto"/>
        </w:rPr>
      </w:pPr>
    </w:p>
    <w:p>
      <w:pPr>
        <w:ind w:left="60" w:right="219" w:firstLine="648"/>
        <w:spacing w:after="0" w:line="254" w:lineRule="auto"/>
        <w:rPr>
          <w:sz w:val="20"/>
          <w:szCs w:val="20"/>
          <w:color w:val="auto"/>
        </w:rPr>
      </w:pPr>
      <w:r>
        <w:rPr>
          <w:rFonts w:ascii="Times New Roman" w:cs="Times New Roman" w:eastAsia="Times New Roman" w:hAnsi="Times New Roman"/>
          <w:sz w:val="18"/>
          <w:szCs w:val="18"/>
          <w:color w:val="auto"/>
        </w:rPr>
        <w:t>Our SUAS products, including Raven, Wasp AE, Puma AE, Puma LE, and VAPOR MX are designed to operate reliably at low altitudes in a wide range of environmental conditions, providing a vantage point from which to collect and deliver valuable information to end users. These reusable systems are easy to transport, assemble and operate and are relatively quiet when flying at operational altitudes, as a result of our efficient electric propulsion systems. Furthermore, their small size makes them difficult to see from the ground in daytime environments without optical enhancing tools. More recently, our SUAS have been upgraded to be more resilient against more sophisticated adversaries by introducing technologies which allow for safe operation and mission continuation of SUAS in contested environments such as loss of GPS or RF contested environments.</w:t>
      </w:r>
    </w:p>
    <w:p>
      <w:pPr>
        <w:spacing w:after="0" w:line="192"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military applications, our SUAS provide forward aerial observation capabilities that enable tactical commanders to observe, for example, around the next corner, to the next intersection or past a ridgeline in real time. This information facilitates faster, safer movement through urban, rural, riverine and mountainous environments. These systems also provide greater situational awareness on the battlefield and enable troops to proactively identify, track, and prosecute targets of interest rather than being reactive to attack. Moreover, by providing this information, our systems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reduce the risk to warfighters and to the surrounding population by providing the ability to tailor the military response to the threat.</w:t>
      </w:r>
    </w:p>
    <w:p>
      <w:pPr>
        <w:spacing w:after="0" w:line="16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Systems within our SUAS portfolio utilize our common and interoperable handheld ground control systems and an array of spare parts and accessories. The ground control system serves as the primary interface between the operator and our SUAS and allows the operator of each system to control the direction, speed and altitude of the aircraft as well as the orientation of the sensors to view the visual information they produce through real time, streaming video and metadata. We have begun integrating our SUAS with the Kinesis common control application, acquired with our acquisition of Tomahawk Robotics, and expect to complete integration in fiscal year 2025. Kinesis provides enhanced interoperability between AV and third-party products in a Modular Open System Architecture (MOSA) environment.</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current SUAS portfolio for defense applications consists of the following aircraft:</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620" w:type="dxa"/>
            <w:vAlign w:val="bottom"/>
          </w:tcPr>
          <w:p>
            <w:pPr>
              <w:spacing w:after="0"/>
              <w:rPr>
                <w:sz w:val="11"/>
                <w:szCs w:val="11"/>
                <w:color w:val="auto"/>
              </w:rPr>
            </w:pPr>
          </w:p>
        </w:tc>
        <w:tc>
          <w:tcPr>
            <w:tcW w:w="74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Wingspan /</w:t>
            </w:r>
          </w:p>
        </w:tc>
        <w:tc>
          <w:tcPr>
            <w:tcW w:w="3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22"/>
        </w:trPr>
        <w:tc>
          <w:tcPr>
            <w:tcW w:w="620" w:type="dxa"/>
            <w:vAlign w:val="bottom"/>
          </w:tcPr>
          <w:p>
            <w:pPr>
              <w:ind w:left="180"/>
              <w:spacing w:after="0" w:line="122" w:lineRule="exact"/>
              <w:rPr>
                <w:sz w:val="20"/>
                <w:szCs w:val="20"/>
                <w:color w:val="auto"/>
              </w:rPr>
            </w:pPr>
            <w:r>
              <w:rPr>
                <w:rFonts w:ascii="Times New Roman" w:cs="Times New Roman" w:eastAsia="Times New Roman" w:hAnsi="Times New Roman"/>
                <w:sz w:val="11"/>
                <w:szCs w:val="11"/>
                <w:b w:val="1"/>
                <w:bCs w:val="1"/>
                <w:color w:val="auto"/>
              </w:rPr>
              <w:t>SUAS</w:t>
            </w:r>
          </w:p>
        </w:tc>
        <w:tc>
          <w:tcPr>
            <w:tcW w:w="10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95"/>
              </w:rPr>
              <w:t>Rotor DiameterWeight</w:t>
            </w:r>
          </w:p>
        </w:tc>
        <w:tc>
          <w:tcPr>
            <w:tcW w:w="3140" w:type="dxa"/>
            <w:vAlign w:val="bottom"/>
          </w:tcPr>
          <w:p>
            <w:pPr>
              <w:spacing w:after="0"/>
              <w:rPr>
                <w:sz w:val="10"/>
                <w:szCs w:val="10"/>
                <w:color w:val="auto"/>
              </w:rPr>
            </w:pPr>
          </w:p>
        </w:tc>
        <w:tc>
          <w:tcPr>
            <w:tcW w:w="3180" w:type="dxa"/>
            <w:vAlign w:val="bottom"/>
          </w:tcPr>
          <w:p>
            <w:pPr>
              <w:ind w:left="1400"/>
              <w:spacing w:after="0" w:line="122" w:lineRule="exact"/>
              <w:rPr>
                <w:sz w:val="20"/>
                <w:szCs w:val="20"/>
                <w:color w:val="auto"/>
              </w:rPr>
            </w:pPr>
            <w:r>
              <w:rPr>
                <w:rFonts w:ascii="Times New Roman" w:cs="Times New Roman" w:eastAsia="Times New Roman" w:hAnsi="Times New Roman"/>
                <w:sz w:val="11"/>
                <w:szCs w:val="11"/>
                <w:b w:val="1"/>
                <w:bCs w:val="1"/>
                <w:color w:val="auto"/>
              </w:rPr>
              <w:t>Standard</w:t>
            </w:r>
          </w:p>
        </w:tc>
        <w:tc>
          <w:tcPr>
            <w:tcW w:w="900" w:type="dxa"/>
            <w:vAlign w:val="bottom"/>
            <w:gridSpan w:val="4"/>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Range Flight Time</w:t>
            </w:r>
          </w:p>
        </w:tc>
      </w:tr>
      <w:tr>
        <w:trPr>
          <w:trHeight w:val="137"/>
        </w:trPr>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Product</w:t>
            </w:r>
          </w:p>
        </w:tc>
        <w:tc>
          <w:tcPr>
            <w:tcW w:w="7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(ft.)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(lbs.)</w:t>
            </w:r>
          </w:p>
        </w:tc>
        <w:tc>
          <w:tcPr>
            <w:tcW w:w="31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1"/>
                <w:szCs w:val="11"/>
                <w:b w:val="1"/>
                <w:bCs w:val="1"/>
                <w:color w:val="auto"/>
              </w:rPr>
              <w:t>Launch and Recovery</w:t>
            </w:r>
          </w:p>
        </w:tc>
        <w:tc>
          <w:tcPr>
            <w:tcW w:w="318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1"/>
                <w:szCs w:val="11"/>
                <w:b w:val="1"/>
                <w:bCs w:val="1"/>
                <w:color w:val="auto"/>
              </w:rPr>
              <w:t>Sensors</w:t>
            </w: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90"/>
              </w:rPr>
              <w:t>(mi.)(1)</w:t>
            </w:r>
          </w:p>
        </w:tc>
        <w:tc>
          <w:tcPr>
            <w:tcW w:w="5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(min.)(1)</w:t>
            </w:r>
          </w:p>
        </w:tc>
      </w:tr>
      <w:tr>
        <w:trPr>
          <w:trHeight w:val="115"/>
        </w:trPr>
        <w:tc>
          <w:tcPr>
            <w:tcW w:w="62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rPr>
              <w:t>Puma LE</w:t>
            </w:r>
          </w:p>
        </w:tc>
        <w:tc>
          <w:tcPr>
            <w:tcW w:w="740" w:type="dxa"/>
            <w:vAlign w:val="bottom"/>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15.0</w:t>
            </w:r>
          </w:p>
        </w:tc>
        <w:tc>
          <w:tcPr>
            <w:tcW w:w="3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23.5</w:t>
            </w:r>
          </w:p>
        </w:tc>
        <w:tc>
          <w:tcPr>
            <w:tcW w:w="31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w w:val="99"/>
              </w:rPr>
              <w:t>Hand or bungee launch and autonomous skid landing (ground or water)</w:t>
            </w:r>
          </w:p>
        </w:tc>
        <w:tc>
          <w:tcPr>
            <w:tcW w:w="3180" w:type="dxa"/>
            <w:vAlign w:val="bottom"/>
            <w:shd w:val="clear" w:color="auto" w:fill="CCEEFF"/>
          </w:tcPr>
          <w:p>
            <w:pPr>
              <w:ind w:left="40"/>
              <w:spacing w:after="0" w:line="115" w:lineRule="exact"/>
              <w:rPr>
                <w:sz w:val="20"/>
                <w:szCs w:val="20"/>
                <w:color w:val="auto"/>
              </w:rPr>
            </w:pPr>
            <w:r>
              <w:rPr>
                <w:rFonts w:ascii="Times New Roman" w:cs="Times New Roman" w:eastAsia="Times New Roman" w:hAnsi="Times New Roman"/>
                <w:sz w:val="11"/>
                <w:szCs w:val="11"/>
                <w:color w:val="auto"/>
                <w:w w:val="98"/>
              </w:rPr>
              <w:t>Mechanical pan, tilt, zoom and digital zoom electro-optical and infrared</w:t>
            </w:r>
          </w:p>
        </w:tc>
        <w:tc>
          <w:tcPr>
            <w:tcW w:w="360" w:type="dxa"/>
            <w:vAlign w:val="bottom"/>
            <w:shd w:val="clear" w:color="auto" w:fill="CCEEFF"/>
          </w:tcPr>
          <w:p>
            <w:pPr>
              <w:ind w:left="40"/>
              <w:spacing w:after="0" w:line="115" w:lineRule="exact"/>
              <w:rPr>
                <w:sz w:val="20"/>
                <w:szCs w:val="20"/>
                <w:color w:val="auto"/>
              </w:rPr>
            </w:pPr>
            <w:r>
              <w:rPr>
                <w:rFonts w:ascii="Times New Roman" w:cs="Times New Roman" w:eastAsia="Times New Roman" w:hAnsi="Times New Roman"/>
                <w:sz w:val="11"/>
                <w:szCs w:val="11"/>
                <w:color w:val="auto"/>
              </w:rPr>
              <w:t>12</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ind w:left="40"/>
              <w:spacing w:after="0" w:line="115" w:lineRule="exact"/>
              <w:rPr>
                <w:sz w:val="20"/>
                <w:szCs w:val="20"/>
                <w:color w:val="auto"/>
              </w:rPr>
            </w:pPr>
            <w:r>
              <w:rPr>
                <w:rFonts w:ascii="Times New Roman" w:cs="Times New Roman" w:eastAsia="Times New Roman" w:hAnsi="Times New Roman"/>
                <w:sz w:val="11"/>
                <w:szCs w:val="11"/>
                <w:color w:val="auto"/>
              </w:rPr>
              <w:t>330</w:t>
            </w:r>
          </w:p>
        </w:tc>
      </w:tr>
      <w:tr>
        <w:trPr>
          <w:trHeight w:val="108"/>
        </w:trPr>
        <w:tc>
          <w:tcPr>
            <w:tcW w:w="62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Puma AE</w:t>
            </w:r>
          </w:p>
        </w:tc>
        <w:tc>
          <w:tcPr>
            <w:tcW w:w="740" w:type="dxa"/>
            <w:vAlign w:val="bottom"/>
          </w:tcPr>
          <w:p>
            <w:pPr>
              <w:jc w:val="right"/>
              <w:ind w:right="6"/>
              <w:spacing w:after="0" w:line="108" w:lineRule="exact"/>
              <w:rPr>
                <w:sz w:val="20"/>
                <w:szCs w:val="20"/>
                <w:color w:val="auto"/>
              </w:rPr>
            </w:pPr>
            <w:r>
              <w:rPr>
                <w:rFonts w:ascii="Times New Roman" w:cs="Times New Roman" w:eastAsia="Times New Roman" w:hAnsi="Times New Roman"/>
                <w:sz w:val="11"/>
                <w:szCs w:val="11"/>
                <w:color w:val="auto"/>
              </w:rPr>
              <w:t>9.2</w:t>
            </w:r>
          </w:p>
        </w:tc>
        <w:tc>
          <w:tcPr>
            <w:tcW w:w="3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15</w:t>
            </w:r>
          </w:p>
        </w:tc>
        <w:tc>
          <w:tcPr>
            <w:tcW w:w="31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Hand, bungee, or mechanical launch and vertical autonomous landing</w:t>
            </w:r>
          </w:p>
        </w:tc>
        <w:tc>
          <w:tcPr>
            <w:tcW w:w="318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w w:val="98"/>
              </w:rPr>
              <w:t>Mechanical pan, tilt, zoom and digital zoom electro-optical and infrared</w:t>
            </w:r>
          </w:p>
        </w:tc>
        <w:tc>
          <w:tcPr>
            <w:tcW w:w="36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12</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150</w:t>
            </w:r>
          </w:p>
        </w:tc>
      </w:tr>
      <w:tr>
        <w:trPr>
          <w:trHeight w:val="135"/>
        </w:trPr>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capable (ground or water)</w:t>
            </w:r>
          </w:p>
        </w:tc>
        <w:tc>
          <w:tcPr>
            <w:tcW w:w="3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21"/>
        </w:trPr>
        <w:tc>
          <w:tcPr>
            <w:tcW w:w="6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Puma VTOL</w:t>
            </w:r>
          </w:p>
        </w:tc>
        <w:tc>
          <w:tcPr>
            <w:tcW w:w="7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9.2</w:t>
            </w:r>
          </w:p>
        </w:tc>
        <w:tc>
          <w:tcPr>
            <w:tcW w:w="3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7.0</w:t>
            </w:r>
          </w:p>
        </w:tc>
        <w:tc>
          <w:tcPr>
            <w:tcW w:w="31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Vertical take-off and landing</w:t>
            </w:r>
          </w:p>
        </w:tc>
        <w:tc>
          <w:tcPr>
            <w:tcW w:w="31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w w:val="98"/>
              </w:rPr>
              <w:t>Mechanical pan, tilt, zoom and digital zoom electro-optical and infrared</w:t>
            </w:r>
          </w:p>
        </w:tc>
        <w:tc>
          <w:tcPr>
            <w:tcW w:w="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40</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90</w:t>
            </w:r>
          </w:p>
        </w:tc>
      </w:tr>
      <w:tr>
        <w:trPr>
          <w:trHeight w:val="122"/>
        </w:trPr>
        <w:tc>
          <w:tcPr>
            <w:tcW w:w="6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Raven</w:t>
            </w:r>
          </w:p>
        </w:tc>
        <w:tc>
          <w:tcPr>
            <w:tcW w:w="74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4.5</w:t>
            </w: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w:t>
            </w:r>
          </w:p>
        </w:tc>
        <w:tc>
          <w:tcPr>
            <w:tcW w:w="31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Hand launch and vertical autonomous landing capable</w:t>
            </w:r>
          </w:p>
        </w:tc>
        <w:tc>
          <w:tcPr>
            <w:tcW w:w="31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w w:val="98"/>
              </w:rPr>
              <w:t>Mechanical pan, tilt, zoom and digital zoom electro-optical and infrared</w:t>
            </w:r>
          </w:p>
        </w:tc>
        <w:tc>
          <w:tcPr>
            <w:tcW w:w="36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6</w:t>
            </w:r>
          </w:p>
        </w:tc>
        <w:tc>
          <w:tcPr>
            <w:tcW w:w="1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w w:val="90"/>
              </w:rPr>
              <w:t>60</w:t>
            </w:r>
          </w:p>
        </w:tc>
        <w:tc>
          <w:tcPr>
            <w:tcW w:w="1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90</w:t>
            </w:r>
          </w:p>
        </w:tc>
      </w:tr>
      <w:tr>
        <w:trPr>
          <w:trHeight w:val="122"/>
        </w:trPr>
        <w:tc>
          <w:tcPr>
            <w:tcW w:w="6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Wasp AE</w:t>
            </w:r>
          </w:p>
        </w:tc>
        <w:tc>
          <w:tcPr>
            <w:tcW w:w="740" w:type="dxa"/>
            <w:vAlign w:val="bottom"/>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3.3</w:t>
            </w:r>
          </w:p>
        </w:tc>
        <w:tc>
          <w:tcPr>
            <w:tcW w:w="3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2.8</w:t>
            </w:r>
          </w:p>
        </w:tc>
        <w:tc>
          <w:tcPr>
            <w:tcW w:w="63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98"/>
              </w:rPr>
              <w:t>Hand launch and vertical autonomous landing capable (ground or water) Mechanical pan, tilt, zoom and digital zoom electro-optical and infrared</w:t>
            </w:r>
          </w:p>
        </w:tc>
        <w:tc>
          <w:tcPr>
            <w:tcW w:w="3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3</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50</w:t>
            </w:r>
          </w:p>
        </w:tc>
      </w:tr>
      <w:tr>
        <w:trPr>
          <w:trHeight w:val="142"/>
        </w:trPr>
        <w:tc>
          <w:tcPr>
            <w:tcW w:w="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96"/>
              </w:rPr>
              <w:t>VAPOR MX</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7.5</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w:t>
            </w:r>
          </w:p>
        </w:tc>
        <w:tc>
          <w:tcPr>
            <w:tcW w:w="3140" w:type="dxa"/>
            <w:vAlign w:val="bottom"/>
          </w:tcPr>
          <w:p>
            <w:pPr>
              <w:spacing w:after="0"/>
              <w:rPr>
                <w:sz w:val="20"/>
                <w:szCs w:val="20"/>
                <w:color w:val="auto"/>
              </w:rPr>
            </w:pPr>
            <w:r>
              <w:rPr>
                <w:rFonts w:ascii="Times New Roman" w:cs="Times New Roman" w:eastAsia="Times New Roman" w:hAnsi="Times New Roman"/>
                <w:sz w:val="11"/>
                <w:szCs w:val="11"/>
                <w:color w:val="auto"/>
              </w:rPr>
              <w:t>Vertical take-off and landing</w:t>
            </w:r>
          </w:p>
        </w:tc>
        <w:tc>
          <w:tcPr>
            <w:tcW w:w="31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Ability to integrate multiple third party payloads</w:t>
            </w:r>
          </w:p>
        </w:tc>
        <w:tc>
          <w:tcPr>
            <w:tcW w:w="3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20</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60</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192405</wp:posOffset>
            </wp:positionV>
            <wp:extent cx="14141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73" w:lineRule="exact"/>
        <w:rPr>
          <w:sz w:val="20"/>
          <w:szCs w:val="20"/>
          <w:color w:val="auto"/>
        </w:rPr>
      </w:pPr>
    </w:p>
    <w:p>
      <w:pPr>
        <w:ind w:left="380" w:right="179" w:hanging="330"/>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point-to-point minimum customer-mandated specifications for all operating conditions. In optimal conditions, the performance of our products may significantly exceed these specifications. Our digital data links relay can enable operational modes that can extend range significantly.</w:t>
      </w:r>
    </w:p>
    <w:p>
      <w:pPr>
        <w:spacing w:after="0" w:line="176"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Our Digital Data Link (“DDL”) radio module is integrated into Puma LE, Puma AE, Raven and Wasp AE systems, enhancing their capabilities, and ultimately, the utility of our SUAS by enabling more efficient radio spectrum utilization and communications security. SUAS incorporating our DDL are optimized for low-power, low-latency, and streaming bandwidth efficiency required for UAS. In addition, our DDL enables each air vehicle to operate as an Internet Protocol addressable hub capable of routing and relaying video, voice and data to and from multiple other nodes on this ad hoc network. These features provide a benefit to the warfighter by pushing valuable information (video) to other warfighters in the network, thus enhancing battlefield situational awareness.</w:t>
      </w:r>
    </w:p>
    <w:p>
      <w:pPr>
        <w:spacing w:after="0" w:line="1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MUAS Products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Providing expanded capabilities compared to our SUAS, our field-deployable MUAS, including T-20 and JUMP 20, deliver extended endurance and increased payload capacity to unlock a broader set of uncrewed missions. The internal combustion engine powered T-20 and JUMP 20 offers significantly greater endurance and payload capacity than our SUAS, with larger airframes that can also accommodate a wider variety of payloads, including small cargo. The JUMP 20 launches and lands vertically because of its vertical take-off and landing (“VTOL”) rotors, minimizing the amount of space required for its operation and eliminating the need for a runway. The T-20 launches from a catapult, lands on a short runway and provides more than 24 hours of endurance. In the past, we operated our MUAS, such as Jump 20, in overseas locations to support U.S. military ISR operations under a contractor-owned, contractor-operated (“COCO”) arrangement. Under these services contracts, we operated our MUAS in specific locations and provided valuable intelligence on an hourly basis to our customers, who then used that information to support their missions.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T-20 and JUMP 20 operate from their own portable common ground control system.</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900" w:type="dxa"/>
            <w:vAlign w:val="bottom"/>
          </w:tcPr>
          <w:p>
            <w:pPr>
              <w:spacing w:after="0"/>
              <w:rPr>
                <w:sz w:val="11"/>
                <w:szCs w:val="11"/>
                <w:color w:val="auto"/>
              </w:rPr>
            </w:pPr>
          </w:p>
        </w:tc>
        <w:tc>
          <w:tcPr>
            <w:tcW w:w="1240" w:type="dxa"/>
            <w:vAlign w:val="bottom"/>
          </w:tcPr>
          <w:p>
            <w:pPr>
              <w:jc w:val="center"/>
              <w:ind w:left="466"/>
              <w:spacing w:after="0"/>
              <w:rPr>
                <w:sz w:val="20"/>
                <w:szCs w:val="20"/>
                <w:color w:val="auto"/>
              </w:rPr>
            </w:pPr>
            <w:r>
              <w:rPr>
                <w:rFonts w:ascii="Times New Roman" w:cs="Times New Roman" w:eastAsia="Times New Roman" w:hAnsi="Times New Roman"/>
                <w:sz w:val="11"/>
                <w:szCs w:val="11"/>
                <w:b w:val="1"/>
                <w:bCs w:val="1"/>
                <w:color w:val="auto"/>
                <w:w w:val="97"/>
              </w:rPr>
              <w:t>Wingspan /</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Useable</w:t>
            </w:r>
          </w:p>
        </w:tc>
        <w:tc>
          <w:tcPr>
            <w:tcW w:w="4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22"/>
        </w:trPr>
        <w:tc>
          <w:tcPr>
            <w:tcW w:w="1900" w:type="dxa"/>
            <w:vAlign w:val="bottom"/>
          </w:tcPr>
          <w:p>
            <w:pPr>
              <w:jc w:val="center"/>
              <w:ind w:left="486"/>
              <w:spacing w:after="0" w:line="122" w:lineRule="exact"/>
              <w:rPr>
                <w:sz w:val="20"/>
                <w:szCs w:val="20"/>
                <w:color w:val="auto"/>
              </w:rPr>
            </w:pPr>
            <w:r>
              <w:rPr>
                <w:rFonts w:ascii="Times New Roman" w:cs="Times New Roman" w:eastAsia="Times New Roman" w:hAnsi="Times New Roman"/>
                <w:sz w:val="11"/>
                <w:szCs w:val="11"/>
                <w:b w:val="1"/>
                <w:bCs w:val="1"/>
                <w:color w:val="auto"/>
                <w:w w:val="98"/>
              </w:rPr>
              <w:t>MUAS</w:t>
            </w:r>
          </w:p>
        </w:tc>
        <w:tc>
          <w:tcPr>
            <w:tcW w:w="1240" w:type="dxa"/>
            <w:vAlign w:val="bottom"/>
          </w:tcPr>
          <w:p>
            <w:pPr>
              <w:jc w:val="center"/>
              <w:ind w:left="466"/>
              <w:spacing w:after="0" w:line="122" w:lineRule="exact"/>
              <w:rPr>
                <w:sz w:val="20"/>
                <w:szCs w:val="20"/>
                <w:color w:val="auto"/>
              </w:rPr>
            </w:pPr>
            <w:r>
              <w:rPr>
                <w:rFonts w:ascii="Times New Roman" w:cs="Times New Roman" w:eastAsia="Times New Roman" w:hAnsi="Times New Roman"/>
                <w:sz w:val="11"/>
                <w:szCs w:val="11"/>
                <w:b w:val="1"/>
                <w:bCs w:val="1"/>
                <w:color w:val="auto"/>
                <w:w w:val="96"/>
              </w:rPr>
              <w:t>Rotor Diameter</w:t>
            </w: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4"/>
              </w:rPr>
              <w:t>Payload</w:t>
            </w:r>
          </w:p>
        </w:tc>
        <w:tc>
          <w:tcPr>
            <w:tcW w:w="4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Weight</w:t>
            </w:r>
          </w:p>
        </w:tc>
        <w:tc>
          <w:tcPr>
            <w:tcW w:w="1780" w:type="dxa"/>
            <w:vAlign w:val="bottom"/>
          </w:tcPr>
          <w:p>
            <w:pPr>
              <w:spacing w:after="0"/>
              <w:rPr>
                <w:sz w:val="10"/>
                <w:szCs w:val="10"/>
                <w:color w:val="auto"/>
              </w:rPr>
            </w:pPr>
          </w:p>
        </w:tc>
        <w:tc>
          <w:tcPr>
            <w:tcW w:w="1880" w:type="dxa"/>
            <w:vAlign w:val="bottom"/>
          </w:tcPr>
          <w:p>
            <w:pPr>
              <w:ind w:left="880"/>
              <w:spacing w:after="0" w:line="122" w:lineRule="exact"/>
              <w:rPr>
                <w:sz w:val="20"/>
                <w:szCs w:val="20"/>
                <w:color w:val="auto"/>
              </w:rPr>
            </w:pPr>
            <w:r>
              <w:rPr>
                <w:rFonts w:ascii="Times New Roman" w:cs="Times New Roman" w:eastAsia="Times New Roman" w:hAnsi="Times New Roman"/>
                <w:sz w:val="11"/>
                <w:szCs w:val="11"/>
                <w:b w:val="1"/>
                <w:bCs w:val="1"/>
                <w:color w:val="auto"/>
              </w:rPr>
              <w:t>Standard</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Range Flight Time</w:t>
            </w:r>
          </w:p>
        </w:tc>
      </w:tr>
      <w:tr>
        <w:trPr>
          <w:trHeight w:val="137"/>
        </w:trPr>
        <w:tc>
          <w:tcPr>
            <w:tcW w:w="1900" w:type="dxa"/>
            <w:vAlign w:val="bottom"/>
            <w:tcBorders>
              <w:bottom w:val="single" w:sz="8" w:color="auto"/>
            </w:tcBorders>
          </w:tcPr>
          <w:p>
            <w:pPr>
              <w:jc w:val="center"/>
              <w:ind w:left="466"/>
              <w:spacing w:after="0"/>
              <w:rPr>
                <w:sz w:val="20"/>
                <w:szCs w:val="20"/>
                <w:color w:val="auto"/>
              </w:rPr>
            </w:pPr>
            <w:r>
              <w:rPr>
                <w:rFonts w:ascii="Times New Roman" w:cs="Times New Roman" w:eastAsia="Times New Roman" w:hAnsi="Times New Roman"/>
                <w:sz w:val="11"/>
                <w:szCs w:val="11"/>
                <w:b w:val="1"/>
                <w:bCs w:val="1"/>
                <w:color w:val="auto"/>
              </w:rPr>
              <w:t>Product</w:t>
            </w:r>
          </w:p>
        </w:tc>
        <w:tc>
          <w:tcPr>
            <w:tcW w:w="1240" w:type="dxa"/>
            <w:vAlign w:val="bottom"/>
            <w:tcBorders>
              <w:bottom w:val="single" w:sz="8" w:color="auto"/>
            </w:tcBorders>
          </w:tcPr>
          <w:p>
            <w:pPr>
              <w:jc w:val="center"/>
              <w:ind w:left="466"/>
              <w:spacing w:after="0"/>
              <w:rPr>
                <w:sz w:val="20"/>
                <w:szCs w:val="20"/>
                <w:color w:val="auto"/>
              </w:rPr>
            </w:pPr>
            <w:r>
              <w:rPr>
                <w:rFonts w:ascii="Times New Roman" w:cs="Times New Roman" w:eastAsia="Times New Roman" w:hAnsi="Times New Roman"/>
                <w:sz w:val="11"/>
                <w:szCs w:val="11"/>
                <w:b w:val="1"/>
                <w:bCs w:val="1"/>
                <w:color w:val="auto"/>
                <w:w w:val="91"/>
              </w:rPr>
              <w:t>(ft.)</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Capacity (lbs.)</w:t>
            </w: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(lbs.)</w:t>
            </w:r>
          </w:p>
        </w:tc>
        <w:tc>
          <w:tcPr>
            <w:tcW w:w="17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1"/>
                <w:szCs w:val="11"/>
                <w:b w:val="1"/>
                <w:bCs w:val="1"/>
                <w:color w:val="auto"/>
              </w:rPr>
              <w:t>Launch and Recovery</w:t>
            </w:r>
          </w:p>
        </w:tc>
        <w:tc>
          <w:tcPr>
            <w:tcW w:w="18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1"/>
                <w:szCs w:val="11"/>
                <w:b w:val="1"/>
                <w:bCs w:val="1"/>
                <w:color w:val="auto"/>
              </w:rPr>
              <w:t>Sensors</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(mi.)(1)</w:t>
            </w:r>
          </w:p>
        </w:tc>
        <w:tc>
          <w:tcPr>
            <w:tcW w:w="5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(min.)(1)</w:t>
            </w:r>
          </w:p>
        </w:tc>
      </w:tr>
      <w:tr>
        <w:trPr>
          <w:trHeight w:val="101"/>
        </w:trPr>
        <w:tc>
          <w:tcPr>
            <w:tcW w:w="190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T-20</w:t>
            </w:r>
          </w:p>
        </w:tc>
        <w:tc>
          <w:tcPr>
            <w:tcW w:w="124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18.8</w:t>
            </w:r>
          </w:p>
        </w:tc>
        <w:tc>
          <w:tcPr>
            <w:tcW w:w="1100" w:type="dxa"/>
            <w:vAlign w:val="bottom"/>
            <w:gridSpan w:val="2"/>
            <w:shd w:val="clear" w:color="auto" w:fill="CCEEFF"/>
          </w:tcPr>
          <w:p>
            <w:pPr>
              <w:jc w:val="right"/>
              <w:ind w:right="206"/>
              <w:spacing w:after="0" w:line="102" w:lineRule="exact"/>
              <w:rPr>
                <w:sz w:val="20"/>
                <w:szCs w:val="20"/>
                <w:color w:val="auto"/>
              </w:rPr>
            </w:pPr>
            <w:r>
              <w:rPr>
                <w:rFonts w:ascii="Times New Roman" w:cs="Times New Roman" w:eastAsia="Times New Roman" w:hAnsi="Times New Roman"/>
                <w:sz w:val="11"/>
                <w:szCs w:val="11"/>
                <w:color w:val="auto"/>
              </w:rPr>
              <w:t>50 225</w:t>
            </w:r>
          </w:p>
        </w:tc>
        <w:tc>
          <w:tcPr>
            <w:tcW w:w="178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Catapult launch, skid landing</w:t>
            </w:r>
          </w:p>
        </w:tc>
        <w:tc>
          <w:tcPr>
            <w:tcW w:w="1880" w:type="dxa"/>
            <w:vAlign w:val="bottom"/>
            <w:shd w:val="clear" w:color="auto" w:fill="CCEEFF"/>
          </w:tcPr>
          <w:p>
            <w:pPr>
              <w:ind w:left="260"/>
              <w:spacing w:after="0" w:line="102" w:lineRule="exact"/>
              <w:rPr>
                <w:sz w:val="20"/>
                <w:szCs w:val="20"/>
                <w:color w:val="auto"/>
              </w:rPr>
            </w:pPr>
            <w:r>
              <w:rPr>
                <w:rFonts w:ascii="Times New Roman" w:cs="Times New Roman" w:eastAsia="Times New Roman" w:hAnsi="Times New Roman"/>
                <w:sz w:val="11"/>
                <w:szCs w:val="11"/>
                <w:color w:val="auto"/>
              </w:rPr>
              <w:t>Multiple EO, IR and other payloads</w:t>
            </w:r>
          </w:p>
        </w:tc>
        <w:tc>
          <w:tcPr>
            <w:tcW w:w="460" w:type="dxa"/>
            <w:vAlign w:val="bottom"/>
            <w:shd w:val="clear" w:color="auto" w:fill="CCEEFF"/>
          </w:tcPr>
          <w:p>
            <w:pPr>
              <w:jc w:val="right"/>
              <w:ind w:right="26"/>
              <w:spacing w:after="0" w:line="102" w:lineRule="exact"/>
              <w:rPr>
                <w:sz w:val="20"/>
                <w:szCs w:val="20"/>
                <w:color w:val="auto"/>
              </w:rPr>
            </w:pPr>
            <w:r>
              <w:rPr>
                <w:rFonts w:ascii="Times New Roman" w:cs="Times New Roman" w:eastAsia="Times New Roman" w:hAnsi="Times New Roman"/>
                <w:sz w:val="11"/>
                <w:szCs w:val="11"/>
                <w:color w:val="auto"/>
              </w:rPr>
              <w:t>115</w:t>
            </w:r>
          </w:p>
        </w:tc>
        <w:tc>
          <w:tcPr>
            <w:tcW w:w="54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1,440+</w:t>
            </w:r>
          </w:p>
        </w:tc>
      </w:tr>
      <w:tr>
        <w:trPr>
          <w:trHeight w:val="122"/>
        </w:trPr>
        <w:tc>
          <w:tcPr>
            <w:tcW w:w="19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99"/>
              </w:rPr>
              <w:t>(includes</w:t>
            </w:r>
          </w:p>
        </w:tc>
        <w:tc>
          <w:tcPr>
            <w:tcW w:w="1780" w:type="dxa"/>
            <w:vAlign w:val="bottom"/>
            <w:shd w:val="clear" w:color="auto" w:fill="CCEEFF"/>
          </w:tcPr>
          <w:p>
            <w:pPr>
              <w:spacing w:after="0"/>
              <w:rPr>
                <w:sz w:val="10"/>
                <w:szCs w:val="10"/>
                <w:color w:val="auto"/>
              </w:rPr>
            </w:pPr>
          </w:p>
        </w:tc>
        <w:tc>
          <w:tcPr>
            <w:tcW w:w="1880" w:type="dxa"/>
            <w:vAlign w:val="bottom"/>
            <w:shd w:val="clear" w:color="auto" w:fill="CCEEFF"/>
          </w:tcPr>
          <w:p>
            <w:pPr>
              <w:ind w:left="260"/>
              <w:spacing w:after="0" w:line="122" w:lineRule="exact"/>
              <w:rPr>
                <w:sz w:val="20"/>
                <w:szCs w:val="20"/>
                <w:color w:val="auto"/>
              </w:rPr>
            </w:pPr>
            <w:r>
              <w:rPr>
                <w:rFonts w:ascii="Times New Roman" w:cs="Times New Roman" w:eastAsia="Times New Roman" w:hAnsi="Times New Roman"/>
                <w:sz w:val="11"/>
                <w:szCs w:val="11"/>
                <w:color w:val="auto"/>
              </w:rPr>
              <w:t>available based on mission</w:t>
            </w:r>
          </w:p>
        </w:tc>
        <w:tc>
          <w:tcPr>
            <w:tcW w:w="4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2"/>
        </w:trPr>
        <w:tc>
          <w:tcPr>
            <w:tcW w:w="19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fuel and</w:t>
            </w:r>
          </w:p>
        </w:tc>
        <w:tc>
          <w:tcPr>
            <w:tcW w:w="1780" w:type="dxa"/>
            <w:vAlign w:val="bottom"/>
            <w:shd w:val="clear" w:color="auto" w:fill="CCEEFF"/>
          </w:tcPr>
          <w:p>
            <w:pPr>
              <w:spacing w:after="0"/>
              <w:rPr>
                <w:sz w:val="10"/>
                <w:szCs w:val="10"/>
                <w:color w:val="auto"/>
              </w:rPr>
            </w:pPr>
          </w:p>
        </w:tc>
        <w:tc>
          <w:tcPr>
            <w:tcW w:w="1880" w:type="dxa"/>
            <w:vAlign w:val="bottom"/>
            <w:shd w:val="clear" w:color="auto" w:fill="CCEEFF"/>
          </w:tcPr>
          <w:p>
            <w:pPr>
              <w:ind w:left="260"/>
              <w:spacing w:after="0" w:line="122" w:lineRule="exact"/>
              <w:rPr>
                <w:sz w:val="20"/>
                <w:szCs w:val="20"/>
                <w:color w:val="auto"/>
              </w:rPr>
            </w:pPr>
            <w:r>
              <w:rPr>
                <w:rFonts w:ascii="Times New Roman" w:cs="Times New Roman" w:eastAsia="Times New Roman" w:hAnsi="Times New Roman"/>
                <w:sz w:val="11"/>
                <w:szCs w:val="11"/>
                <w:color w:val="auto"/>
              </w:rPr>
              <w:t>requirements</w:t>
            </w:r>
          </w:p>
        </w:tc>
        <w:tc>
          <w:tcPr>
            <w:tcW w:w="4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35"/>
        </w:trPr>
        <w:tc>
          <w:tcPr>
            <w:tcW w:w="19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payload)</w:t>
            </w:r>
          </w:p>
        </w:tc>
        <w:tc>
          <w:tcPr>
            <w:tcW w:w="17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08"/>
        </w:trPr>
        <w:tc>
          <w:tcPr>
            <w:tcW w:w="19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JUMP 20</w:t>
            </w:r>
          </w:p>
        </w:tc>
        <w:tc>
          <w:tcPr>
            <w:tcW w:w="12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18.8</w:t>
            </w:r>
          </w:p>
        </w:tc>
        <w:tc>
          <w:tcPr>
            <w:tcW w:w="1100" w:type="dxa"/>
            <w:vAlign w:val="bottom"/>
            <w:gridSpan w:val="2"/>
          </w:tcPr>
          <w:p>
            <w:pPr>
              <w:jc w:val="right"/>
              <w:ind w:right="206"/>
              <w:spacing w:after="0" w:line="108" w:lineRule="exact"/>
              <w:rPr>
                <w:sz w:val="20"/>
                <w:szCs w:val="20"/>
                <w:color w:val="auto"/>
              </w:rPr>
            </w:pPr>
            <w:r>
              <w:rPr>
                <w:rFonts w:ascii="Times New Roman" w:cs="Times New Roman" w:eastAsia="Times New Roman" w:hAnsi="Times New Roman"/>
                <w:sz w:val="11"/>
                <w:szCs w:val="11"/>
                <w:color w:val="auto"/>
              </w:rPr>
              <w:t>30 215</w:t>
            </w:r>
          </w:p>
        </w:tc>
        <w:tc>
          <w:tcPr>
            <w:tcW w:w="17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VTOL</w:t>
            </w:r>
          </w:p>
        </w:tc>
        <w:tc>
          <w:tcPr>
            <w:tcW w:w="1880" w:type="dxa"/>
            <w:vAlign w:val="bottom"/>
          </w:tcPr>
          <w:p>
            <w:pPr>
              <w:ind w:left="260"/>
              <w:spacing w:after="0" w:line="108" w:lineRule="exact"/>
              <w:rPr>
                <w:sz w:val="20"/>
                <w:szCs w:val="20"/>
                <w:color w:val="auto"/>
              </w:rPr>
            </w:pPr>
            <w:r>
              <w:rPr>
                <w:rFonts w:ascii="Times New Roman" w:cs="Times New Roman" w:eastAsia="Times New Roman" w:hAnsi="Times New Roman"/>
                <w:sz w:val="11"/>
                <w:szCs w:val="11"/>
                <w:color w:val="auto"/>
              </w:rPr>
              <w:t>Multiple EO, IR and other payloads</w:t>
            </w:r>
          </w:p>
        </w:tc>
        <w:tc>
          <w:tcPr>
            <w:tcW w:w="460" w:type="dxa"/>
            <w:vAlign w:val="bottom"/>
          </w:tcPr>
          <w:p>
            <w:pPr>
              <w:jc w:val="right"/>
              <w:ind w:right="26"/>
              <w:spacing w:after="0" w:line="108" w:lineRule="exact"/>
              <w:rPr>
                <w:sz w:val="20"/>
                <w:szCs w:val="20"/>
                <w:color w:val="auto"/>
              </w:rPr>
            </w:pPr>
            <w:r>
              <w:rPr>
                <w:rFonts w:ascii="Times New Roman" w:cs="Times New Roman" w:eastAsia="Times New Roman" w:hAnsi="Times New Roman"/>
                <w:sz w:val="11"/>
                <w:szCs w:val="11"/>
                <w:color w:val="auto"/>
              </w:rPr>
              <w:t>115</w:t>
            </w:r>
          </w:p>
        </w:tc>
        <w:tc>
          <w:tcPr>
            <w:tcW w:w="5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840+</w:t>
            </w:r>
          </w:p>
        </w:tc>
      </w:tr>
      <w:tr>
        <w:trPr>
          <w:trHeight w:val="121"/>
        </w:trPr>
        <w:tc>
          <w:tcPr>
            <w:tcW w:w="1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w w:val="99"/>
              </w:rPr>
              <w:t>(includes</w:t>
            </w:r>
          </w:p>
        </w:tc>
        <w:tc>
          <w:tcPr>
            <w:tcW w:w="1780" w:type="dxa"/>
            <w:vAlign w:val="bottom"/>
          </w:tcPr>
          <w:p>
            <w:pPr>
              <w:spacing w:after="0"/>
              <w:rPr>
                <w:sz w:val="10"/>
                <w:szCs w:val="10"/>
                <w:color w:val="auto"/>
              </w:rPr>
            </w:pPr>
          </w:p>
        </w:tc>
        <w:tc>
          <w:tcPr>
            <w:tcW w:w="188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available based on mission</w:t>
            </w: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2"/>
        </w:trPr>
        <w:tc>
          <w:tcPr>
            <w:tcW w:w="1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fuel and</w:t>
            </w:r>
          </w:p>
        </w:tc>
        <w:tc>
          <w:tcPr>
            <w:tcW w:w="1780" w:type="dxa"/>
            <w:vAlign w:val="bottom"/>
          </w:tcPr>
          <w:p>
            <w:pPr>
              <w:spacing w:after="0"/>
              <w:rPr>
                <w:sz w:val="10"/>
                <w:szCs w:val="10"/>
                <w:color w:val="auto"/>
              </w:rPr>
            </w:pPr>
          </w:p>
        </w:tc>
        <w:tc>
          <w:tcPr>
            <w:tcW w:w="1880" w:type="dxa"/>
            <w:vAlign w:val="bottom"/>
          </w:tcPr>
          <w:p>
            <w:pPr>
              <w:ind w:left="260"/>
              <w:spacing w:after="0" w:line="122" w:lineRule="exact"/>
              <w:rPr>
                <w:sz w:val="20"/>
                <w:szCs w:val="20"/>
                <w:color w:val="auto"/>
              </w:rPr>
            </w:pPr>
            <w:r>
              <w:rPr>
                <w:rFonts w:ascii="Times New Roman" w:cs="Times New Roman" w:eastAsia="Times New Roman" w:hAnsi="Times New Roman"/>
                <w:sz w:val="11"/>
                <w:szCs w:val="11"/>
                <w:color w:val="auto"/>
              </w:rPr>
              <w:t>requirements</w:t>
            </w: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0"/>
        </w:trPr>
        <w:tc>
          <w:tcPr>
            <w:tcW w:w="1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1"/>
                <w:szCs w:val="11"/>
                <w:color w:val="auto"/>
              </w:rPr>
              <w:t>payload)</w:t>
            </w:r>
          </w:p>
        </w:tc>
        <w:tc>
          <w:tcPr>
            <w:tcW w:w="17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r>
    </w:tbl>
    <w:p>
      <w:pPr>
        <w:spacing w:after="0" w:line="200" w:lineRule="exact"/>
        <w:rPr>
          <w:sz w:val="20"/>
          <w:szCs w:val="20"/>
          <w:color w:val="auto"/>
        </w:rPr>
      </w:pPr>
    </w:p>
    <w:p>
      <w:pPr>
        <w:spacing w:after="0" w:line="20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Uncrewed Ground Vehicle Products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Our UGV support a variety of missions and applications, ranging from explosive ordnance disposal to hazardous materials handling and law enforcement operations. All our UGVs feature secure communications, multi-axis manipulators and automatic tool exchange, which eliminates the need for the UGV to return to its operator to switch the tool attached to its manipulator arm. We also offer fully equipped service vehicles for the transport, service and operation of our UGV solutions. Our UGVs feature the intuitive and operationally simplified Robo Command Ground control stations with multi-touch screen, pre-programmed motion sequences and ergonomically designed hand controllers for precision control of the robot, manipulator and accessories.</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340" w:type="dxa"/>
            <w:vAlign w:val="bottom"/>
          </w:tcPr>
          <w:p>
            <w:pPr>
              <w:jc w:val="center"/>
              <w:ind w:left="446"/>
              <w:spacing w:after="0"/>
              <w:rPr>
                <w:sz w:val="20"/>
                <w:szCs w:val="20"/>
                <w:color w:val="auto"/>
              </w:rPr>
            </w:pPr>
            <w:r>
              <w:rPr>
                <w:rFonts w:ascii="Times New Roman" w:cs="Times New Roman" w:eastAsia="Times New Roman" w:hAnsi="Times New Roman"/>
                <w:sz w:val="11"/>
                <w:szCs w:val="11"/>
                <w:b w:val="1"/>
                <w:bCs w:val="1"/>
                <w:color w:val="auto"/>
                <w:w w:val="97"/>
              </w:rPr>
              <w:t>Select Uncrewed</w:t>
            </w:r>
          </w:p>
        </w:tc>
        <w:tc>
          <w:tcPr>
            <w:tcW w:w="920" w:type="dxa"/>
            <w:vAlign w:val="bottom"/>
          </w:tcPr>
          <w:p>
            <w:pPr>
              <w:spacing w:after="0"/>
              <w:rPr>
                <w:sz w:val="11"/>
                <w:szCs w:val="11"/>
                <w:color w:val="auto"/>
              </w:rPr>
            </w:pPr>
          </w:p>
        </w:tc>
        <w:tc>
          <w:tcPr>
            <w:tcW w:w="50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8"/>
              </w:rPr>
              <w:t>Lifting</w:t>
            </w:r>
          </w:p>
        </w:tc>
        <w:tc>
          <w:tcPr>
            <w:tcW w:w="18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22"/>
        </w:trPr>
        <w:tc>
          <w:tcPr>
            <w:tcW w:w="2340" w:type="dxa"/>
            <w:vAlign w:val="bottom"/>
          </w:tcPr>
          <w:p>
            <w:pPr>
              <w:jc w:val="center"/>
              <w:ind w:left="446"/>
              <w:spacing w:after="0" w:line="122" w:lineRule="exact"/>
              <w:rPr>
                <w:sz w:val="20"/>
                <w:szCs w:val="20"/>
                <w:color w:val="auto"/>
              </w:rPr>
            </w:pPr>
            <w:r>
              <w:rPr>
                <w:rFonts w:ascii="Times New Roman" w:cs="Times New Roman" w:eastAsia="Times New Roman" w:hAnsi="Times New Roman"/>
                <w:sz w:val="11"/>
                <w:szCs w:val="11"/>
                <w:b w:val="1"/>
                <w:bCs w:val="1"/>
                <w:color w:val="auto"/>
                <w:w w:val="96"/>
              </w:rPr>
              <w:t>Ground Vehicle</w:t>
            </w:r>
          </w:p>
        </w:tc>
        <w:tc>
          <w:tcPr>
            <w:tcW w:w="9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Weight</w:t>
            </w: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Capacity</w:t>
            </w:r>
          </w:p>
        </w:tc>
        <w:tc>
          <w:tcPr>
            <w:tcW w:w="1820" w:type="dxa"/>
            <w:vAlign w:val="bottom"/>
          </w:tcPr>
          <w:p>
            <w:pPr>
              <w:ind w:left="740"/>
              <w:spacing w:after="0" w:line="122" w:lineRule="exact"/>
              <w:rPr>
                <w:sz w:val="20"/>
                <w:szCs w:val="20"/>
                <w:color w:val="auto"/>
              </w:rPr>
            </w:pPr>
            <w:r>
              <w:rPr>
                <w:rFonts w:ascii="Times New Roman" w:cs="Times New Roman" w:eastAsia="Times New Roman" w:hAnsi="Times New Roman"/>
                <w:sz w:val="11"/>
                <w:szCs w:val="11"/>
                <w:b w:val="1"/>
                <w:bCs w:val="1"/>
                <w:color w:val="auto"/>
              </w:rPr>
              <w:t>Accessory</w:t>
            </w:r>
          </w:p>
        </w:tc>
        <w:tc>
          <w:tcPr>
            <w:tcW w:w="2380" w:type="dxa"/>
            <w:vAlign w:val="bottom"/>
          </w:tcPr>
          <w:p>
            <w:pPr>
              <w:ind w:left="1160"/>
              <w:spacing w:after="0" w:line="122" w:lineRule="exact"/>
              <w:rPr>
                <w:sz w:val="20"/>
                <w:szCs w:val="20"/>
                <w:color w:val="auto"/>
              </w:rPr>
            </w:pPr>
            <w:r>
              <w:rPr>
                <w:rFonts w:ascii="Times New Roman" w:cs="Times New Roman" w:eastAsia="Times New Roman" w:hAnsi="Times New Roman"/>
                <w:sz w:val="11"/>
                <w:szCs w:val="11"/>
                <w:b w:val="1"/>
                <w:bCs w:val="1"/>
                <w:color w:val="auto"/>
              </w:rPr>
              <w:t>Drive</w:t>
            </w:r>
          </w:p>
        </w:tc>
        <w:tc>
          <w:tcPr>
            <w:tcW w:w="940" w:type="dxa"/>
            <w:vAlign w:val="bottom"/>
          </w:tcPr>
          <w:p>
            <w:pPr>
              <w:jc w:val="center"/>
              <w:ind w:left="86"/>
              <w:spacing w:after="0" w:line="122" w:lineRule="exact"/>
              <w:rPr>
                <w:sz w:val="20"/>
                <w:szCs w:val="20"/>
                <w:color w:val="auto"/>
              </w:rPr>
            </w:pPr>
            <w:r>
              <w:rPr>
                <w:rFonts w:ascii="Times New Roman" w:cs="Times New Roman" w:eastAsia="Times New Roman" w:hAnsi="Times New Roman"/>
                <w:sz w:val="11"/>
                <w:szCs w:val="11"/>
                <w:b w:val="1"/>
                <w:bCs w:val="1"/>
                <w:color w:val="auto"/>
                <w:w w:val="98"/>
              </w:rPr>
              <w:t>Mission</w:t>
            </w:r>
          </w:p>
        </w:tc>
      </w:tr>
      <w:tr>
        <w:trPr>
          <w:trHeight w:val="137"/>
        </w:trPr>
        <w:tc>
          <w:tcPr>
            <w:tcW w:w="2340" w:type="dxa"/>
            <w:vAlign w:val="bottom"/>
            <w:tcBorders>
              <w:bottom w:val="single" w:sz="8" w:color="auto"/>
            </w:tcBorders>
          </w:tcPr>
          <w:p>
            <w:pPr>
              <w:jc w:val="center"/>
              <w:ind w:left="466"/>
              <w:spacing w:after="0"/>
              <w:rPr>
                <w:sz w:val="20"/>
                <w:szCs w:val="20"/>
                <w:color w:val="auto"/>
              </w:rPr>
            </w:pPr>
            <w:r>
              <w:rPr>
                <w:rFonts w:ascii="Times New Roman" w:cs="Times New Roman" w:eastAsia="Times New Roman" w:hAnsi="Times New Roman"/>
                <w:sz w:val="11"/>
                <w:szCs w:val="11"/>
                <w:b w:val="1"/>
                <w:bCs w:val="1"/>
                <w:color w:val="auto"/>
              </w:rPr>
              <w:t>Product</w:t>
            </w:r>
          </w:p>
        </w:tc>
        <w:tc>
          <w:tcPr>
            <w:tcW w:w="9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(lbs.)</w:t>
            </w: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(lbs.)</w:t>
            </w:r>
          </w:p>
        </w:tc>
        <w:tc>
          <w:tcPr>
            <w:tcW w:w="18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1"/>
                <w:szCs w:val="11"/>
                <w:b w:val="1"/>
                <w:bCs w:val="1"/>
                <w:color w:val="auto"/>
              </w:rPr>
              <w:t>Sensors</w:t>
            </w:r>
          </w:p>
        </w:tc>
        <w:tc>
          <w:tcPr>
            <w:tcW w:w="23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b w:val="1"/>
                <w:bCs w:val="1"/>
                <w:color w:val="auto"/>
              </w:rPr>
              <w:t>Mechanism</w:t>
            </w:r>
          </w:p>
        </w:tc>
        <w:tc>
          <w:tcPr>
            <w:tcW w:w="940" w:type="dxa"/>
            <w:vAlign w:val="bottom"/>
            <w:tcBorders>
              <w:bottom w:val="single" w:sz="8" w:color="auto"/>
            </w:tcBorders>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5"/>
              </w:rPr>
              <w:t>Duration (hrs.)</w:t>
            </w:r>
          </w:p>
        </w:tc>
      </w:tr>
      <w:tr>
        <w:trPr>
          <w:trHeight w:val="101"/>
        </w:trPr>
        <w:tc>
          <w:tcPr>
            <w:tcW w:w="234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tEODor EVO</w:t>
            </w:r>
          </w:p>
        </w:tc>
        <w:tc>
          <w:tcPr>
            <w:tcW w:w="920" w:type="dxa"/>
            <w:vAlign w:val="bottom"/>
            <w:shd w:val="clear" w:color="auto" w:fill="CCEEFF"/>
          </w:tcPr>
          <w:p>
            <w:pPr>
              <w:jc w:val="right"/>
              <w:ind w:right="166"/>
              <w:spacing w:after="0" w:line="102" w:lineRule="exact"/>
              <w:rPr>
                <w:sz w:val="20"/>
                <w:szCs w:val="20"/>
                <w:color w:val="auto"/>
              </w:rPr>
            </w:pPr>
            <w:r>
              <w:rPr>
                <w:rFonts w:ascii="Times New Roman" w:cs="Times New Roman" w:eastAsia="Times New Roman" w:hAnsi="Times New Roman"/>
                <w:sz w:val="11"/>
                <w:szCs w:val="11"/>
                <w:color w:val="auto"/>
              </w:rPr>
              <w:t>844</w:t>
            </w:r>
          </w:p>
        </w:tc>
        <w:tc>
          <w:tcPr>
            <w:tcW w:w="500" w:type="dxa"/>
            <w:vAlign w:val="bottom"/>
            <w:shd w:val="clear" w:color="auto" w:fill="CCEEFF"/>
          </w:tcPr>
          <w:p>
            <w:pPr>
              <w:ind w:left="40"/>
              <w:spacing w:after="0" w:line="102" w:lineRule="exact"/>
              <w:rPr>
                <w:sz w:val="20"/>
                <w:szCs w:val="20"/>
                <w:color w:val="auto"/>
              </w:rPr>
            </w:pPr>
            <w:r>
              <w:rPr>
                <w:rFonts w:ascii="Times New Roman" w:cs="Times New Roman" w:eastAsia="Times New Roman" w:hAnsi="Times New Roman"/>
                <w:sz w:val="11"/>
                <w:szCs w:val="11"/>
                <w:color w:val="auto"/>
              </w:rPr>
              <w:t>220</w:t>
            </w:r>
          </w:p>
        </w:tc>
        <w:tc>
          <w:tcPr>
            <w:tcW w:w="1820" w:type="dxa"/>
            <w:vAlign w:val="bottom"/>
            <w:shd w:val="clear" w:color="auto" w:fill="CCEEFF"/>
          </w:tcPr>
          <w:p>
            <w:pPr>
              <w:ind w:left="40"/>
              <w:spacing w:after="0" w:line="102" w:lineRule="exact"/>
              <w:rPr>
                <w:sz w:val="20"/>
                <w:szCs w:val="20"/>
                <w:color w:val="auto"/>
              </w:rPr>
            </w:pPr>
            <w:r>
              <w:rPr>
                <w:rFonts w:ascii="Times New Roman" w:cs="Times New Roman" w:eastAsia="Times New Roman" w:hAnsi="Times New Roman"/>
                <w:sz w:val="11"/>
                <w:szCs w:val="11"/>
                <w:color w:val="auto"/>
              </w:rPr>
              <w:t>HD pan/tilt/zoom cameras; four video</w:t>
            </w:r>
          </w:p>
        </w:tc>
        <w:tc>
          <w:tcPr>
            <w:tcW w:w="2380" w:type="dxa"/>
            <w:vAlign w:val="bottom"/>
            <w:shd w:val="clear" w:color="auto" w:fill="CCEEFF"/>
          </w:tcPr>
          <w:p>
            <w:pPr>
              <w:ind w:left="80"/>
              <w:spacing w:after="0" w:line="102" w:lineRule="exact"/>
              <w:rPr>
                <w:sz w:val="20"/>
                <w:szCs w:val="20"/>
                <w:color w:val="auto"/>
              </w:rPr>
            </w:pPr>
            <w:r>
              <w:rPr>
                <w:rFonts w:ascii="Times New Roman" w:cs="Times New Roman" w:eastAsia="Times New Roman" w:hAnsi="Times New Roman"/>
                <w:sz w:val="11"/>
                <w:szCs w:val="11"/>
                <w:color w:val="auto"/>
              </w:rPr>
              <w:t>Dual-track independent high-torque motors</w:t>
            </w:r>
          </w:p>
        </w:tc>
        <w:tc>
          <w:tcPr>
            <w:tcW w:w="940" w:type="dxa"/>
            <w:vAlign w:val="bottom"/>
            <w:shd w:val="clear" w:color="auto" w:fill="CCEEFF"/>
          </w:tcPr>
          <w:p>
            <w:pPr>
              <w:jc w:val="center"/>
              <w:ind w:left="106"/>
              <w:spacing w:after="0" w:line="102" w:lineRule="exact"/>
              <w:rPr>
                <w:sz w:val="20"/>
                <w:szCs w:val="20"/>
                <w:color w:val="auto"/>
              </w:rPr>
            </w:pPr>
            <w:r>
              <w:rPr>
                <w:rFonts w:ascii="Times New Roman" w:cs="Times New Roman" w:eastAsia="Times New Roman" w:hAnsi="Times New Roman"/>
                <w:sz w:val="11"/>
                <w:szCs w:val="11"/>
                <w:color w:val="auto"/>
              </w:rPr>
              <w:t>4</w:t>
            </w:r>
          </w:p>
        </w:tc>
      </w:tr>
      <w:tr>
        <w:trPr>
          <w:trHeight w:val="122"/>
        </w:trPr>
        <w:tc>
          <w:tcPr>
            <w:tcW w:w="23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feeds; various EOD, CBRN and tactical</w:t>
            </w:r>
          </w:p>
        </w:tc>
        <w:tc>
          <w:tcPr>
            <w:tcW w:w="23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35"/>
        </w:trPr>
        <w:tc>
          <w:tcPr>
            <w:tcW w:w="2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sensors</w:t>
            </w:r>
          </w:p>
        </w:tc>
        <w:tc>
          <w:tcPr>
            <w:tcW w:w="23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08"/>
        </w:trPr>
        <w:tc>
          <w:tcPr>
            <w:tcW w:w="23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telemax EVO PLUS</w:t>
            </w:r>
          </w:p>
        </w:tc>
        <w:tc>
          <w:tcPr>
            <w:tcW w:w="920" w:type="dxa"/>
            <w:vAlign w:val="bottom"/>
          </w:tcPr>
          <w:p>
            <w:pPr>
              <w:jc w:val="right"/>
              <w:ind w:right="166"/>
              <w:spacing w:after="0" w:line="108" w:lineRule="exact"/>
              <w:rPr>
                <w:sz w:val="20"/>
                <w:szCs w:val="20"/>
                <w:color w:val="auto"/>
              </w:rPr>
            </w:pPr>
            <w:r>
              <w:rPr>
                <w:rFonts w:ascii="Times New Roman" w:cs="Times New Roman" w:eastAsia="Times New Roman" w:hAnsi="Times New Roman"/>
                <w:sz w:val="11"/>
                <w:szCs w:val="11"/>
                <w:color w:val="auto"/>
              </w:rPr>
              <w:t>249</w:t>
            </w:r>
          </w:p>
        </w:tc>
        <w:tc>
          <w:tcPr>
            <w:tcW w:w="50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176</w:t>
            </w:r>
          </w:p>
        </w:tc>
        <w:tc>
          <w:tcPr>
            <w:tcW w:w="182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HD pan/tilt/zoom cameras; four video</w:t>
            </w:r>
          </w:p>
        </w:tc>
        <w:tc>
          <w:tcPr>
            <w:tcW w:w="2380" w:type="dxa"/>
            <w:vAlign w:val="bottom"/>
          </w:tcPr>
          <w:p>
            <w:pPr>
              <w:ind w:left="80"/>
              <w:spacing w:after="0" w:line="108" w:lineRule="exact"/>
              <w:rPr>
                <w:sz w:val="20"/>
                <w:szCs w:val="20"/>
                <w:color w:val="auto"/>
              </w:rPr>
            </w:pPr>
            <w:r>
              <w:rPr>
                <w:rFonts w:ascii="Times New Roman" w:cs="Times New Roman" w:eastAsia="Times New Roman" w:hAnsi="Times New Roman"/>
                <w:sz w:val="11"/>
                <w:szCs w:val="11"/>
                <w:color w:val="auto"/>
              </w:rPr>
              <w:t>4-track running gear with individually adjustable</w:t>
            </w:r>
          </w:p>
        </w:tc>
        <w:tc>
          <w:tcPr>
            <w:tcW w:w="940" w:type="dxa"/>
            <w:vAlign w:val="bottom"/>
          </w:tcPr>
          <w:p>
            <w:pPr>
              <w:jc w:val="center"/>
              <w:ind w:left="106"/>
              <w:spacing w:after="0" w:line="108" w:lineRule="exact"/>
              <w:rPr>
                <w:sz w:val="20"/>
                <w:szCs w:val="20"/>
                <w:color w:val="auto"/>
              </w:rPr>
            </w:pPr>
            <w:r>
              <w:rPr>
                <w:rFonts w:ascii="Times New Roman" w:cs="Times New Roman" w:eastAsia="Times New Roman" w:hAnsi="Times New Roman"/>
                <w:sz w:val="11"/>
                <w:szCs w:val="11"/>
                <w:color w:val="auto"/>
                <w:w w:val="90"/>
              </w:rPr>
              <w:t>12</w:t>
            </w:r>
          </w:p>
        </w:tc>
      </w:tr>
      <w:tr>
        <w:trPr>
          <w:trHeight w:val="122"/>
        </w:trPr>
        <w:tc>
          <w:tcPr>
            <w:tcW w:w="2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feeds; various EOD, CBRN and tactical</w:t>
            </w:r>
          </w:p>
        </w:tc>
        <w:tc>
          <w:tcPr>
            <w:tcW w:w="23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flippers</w:t>
            </w:r>
          </w:p>
        </w:tc>
        <w:tc>
          <w:tcPr>
            <w:tcW w:w="940" w:type="dxa"/>
            <w:vAlign w:val="bottom"/>
          </w:tcPr>
          <w:p>
            <w:pPr>
              <w:spacing w:after="0"/>
              <w:rPr>
                <w:sz w:val="10"/>
                <w:szCs w:val="10"/>
                <w:color w:val="auto"/>
              </w:rPr>
            </w:pPr>
          </w:p>
        </w:tc>
      </w:tr>
      <w:tr>
        <w:trPr>
          <w:trHeight w:val="135"/>
        </w:trPr>
        <w:tc>
          <w:tcPr>
            <w:tcW w:w="2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sensors</w:t>
            </w:r>
          </w:p>
        </w:tc>
        <w:tc>
          <w:tcPr>
            <w:tcW w:w="23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08"/>
        </w:trPr>
        <w:tc>
          <w:tcPr>
            <w:tcW w:w="234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telemax EVO HYBRID</w:t>
            </w:r>
          </w:p>
        </w:tc>
        <w:tc>
          <w:tcPr>
            <w:tcW w:w="920" w:type="dxa"/>
            <w:vAlign w:val="bottom"/>
            <w:shd w:val="clear" w:color="auto" w:fill="CCEEFF"/>
          </w:tcPr>
          <w:p>
            <w:pPr>
              <w:jc w:val="right"/>
              <w:ind w:right="166"/>
              <w:spacing w:after="0" w:line="108" w:lineRule="exact"/>
              <w:rPr>
                <w:sz w:val="20"/>
                <w:szCs w:val="20"/>
                <w:color w:val="auto"/>
              </w:rPr>
            </w:pPr>
            <w:r>
              <w:rPr>
                <w:rFonts w:ascii="Times New Roman" w:cs="Times New Roman" w:eastAsia="Times New Roman" w:hAnsi="Times New Roman"/>
                <w:sz w:val="11"/>
                <w:szCs w:val="11"/>
                <w:color w:val="auto"/>
              </w:rPr>
              <w:t>176</w:t>
            </w:r>
          </w:p>
        </w:tc>
        <w:tc>
          <w:tcPr>
            <w:tcW w:w="500" w:type="dxa"/>
            <w:vAlign w:val="bottom"/>
            <w:shd w:val="clear" w:color="auto" w:fill="CCEEFF"/>
          </w:tcPr>
          <w:p>
            <w:pPr>
              <w:ind w:left="40"/>
              <w:spacing w:after="0" w:line="108" w:lineRule="exact"/>
              <w:rPr>
                <w:sz w:val="20"/>
                <w:szCs w:val="20"/>
                <w:color w:val="auto"/>
              </w:rPr>
            </w:pPr>
            <w:r>
              <w:rPr>
                <w:rFonts w:ascii="Times New Roman" w:cs="Times New Roman" w:eastAsia="Times New Roman" w:hAnsi="Times New Roman"/>
                <w:sz w:val="11"/>
                <w:szCs w:val="11"/>
                <w:color w:val="auto"/>
              </w:rPr>
              <w:t>82</w:t>
            </w:r>
          </w:p>
        </w:tc>
        <w:tc>
          <w:tcPr>
            <w:tcW w:w="1820" w:type="dxa"/>
            <w:vAlign w:val="bottom"/>
            <w:shd w:val="clear" w:color="auto" w:fill="CCEEFF"/>
          </w:tcPr>
          <w:p>
            <w:pPr>
              <w:ind w:left="40"/>
              <w:spacing w:after="0" w:line="108" w:lineRule="exact"/>
              <w:rPr>
                <w:sz w:val="20"/>
                <w:szCs w:val="20"/>
                <w:color w:val="auto"/>
              </w:rPr>
            </w:pPr>
            <w:r>
              <w:rPr>
                <w:rFonts w:ascii="Times New Roman" w:cs="Times New Roman" w:eastAsia="Times New Roman" w:hAnsi="Times New Roman"/>
                <w:sz w:val="11"/>
                <w:szCs w:val="11"/>
                <w:color w:val="auto"/>
              </w:rPr>
              <w:t>HD pan/tilt/zoom cameras; four video</w:t>
            </w:r>
          </w:p>
        </w:tc>
        <w:tc>
          <w:tcPr>
            <w:tcW w:w="238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1"/>
                <w:szCs w:val="11"/>
                <w:color w:val="auto"/>
              </w:rPr>
              <w:t>4-track running gear with individually adjustable</w:t>
            </w:r>
          </w:p>
        </w:tc>
        <w:tc>
          <w:tcPr>
            <w:tcW w:w="940" w:type="dxa"/>
            <w:vAlign w:val="bottom"/>
            <w:shd w:val="clear" w:color="auto" w:fill="CCEEFF"/>
          </w:tcPr>
          <w:p>
            <w:pPr>
              <w:jc w:val="center"/>
              <w:ind w:left="106"/>
              <w:spacing w:after="0" w:line="108" w:lineRule="exact"/>
              <w:rPr>
                <w:sz w:val="20"/>
                <w:szCs w:val="20"/>
                <w:color w:val="auto"/>
              </w:rPr>
            </w:pPr>
            <w:r>
              <w:rPr>
                <w:rFonts w:ascii="Times New Roman" w:cs="Times New Roman" w:eastAsia="Times New Roman" w:hAnsi="Times New Roman"/>
                <w:sz w:val="11"/>
                <w:szCs w:val="11"/>
                <w:color w:val="auto"/>
                <w:w w:val="90"/>
              </w:rPr>
              <w:t>10</w:t>
            </w:r>
          </w:p>
        </w:tc>
      </w:tr>
      <w:tr>
        <w:trPr>
          <w:trHeight w:val="121"/>
        </w:trPr>
        <w:tc>
          <w:tcPr>
            <w:tcW w:w="23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2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feeds; various EOD, CBRN and tactical</w:t>
            </w:r>
          </w:p>
        </w:tc>
        <w:tc>
          <w:tcPr>
            <w:tcW w:w="238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flippers and optional wheels</w:t>
            </w:r>
          </w:p>
        </w:tc>
        <w:tc>
          <w:tcPr>
            <w:tcW w:w="940" w:type="dxa"/>
            <w:vAlign w:val="bottom"/>
            <w:shd w:val="clear" w:color="auto" w:fill="CCEEFF"/>
          </w:tcPr>
          <w:p>
            <w:pPr>
              <w:spacing w:after="0"/>
              <w:rPr>
                <w:sz w:val="10"/>
                <w:szCs w:val="10"/>
                <w:color w:val="auto"/>
              </w:rPr>
            </w:pPr>
          </w:p>
        </w:tc>
      </w:tr>
      <w:tr>
        <w:trPr>
          <w:trHeight w:val="135"/>
        </w:trPr>
        <w:tc>
          <w:tcPr>
            <w:tcW w:w="2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sensors</w:t>
            </w:r>
          </w:p>
        </w:tc>
        <w:tc>
          <w:tcPr>
            <w:tcW w:w="23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08"/>
        </w:trPr>
        <w:tc>
          <w:tcPr>
            <w:tcW w:w="234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telemax EVO PRO</w:t>
            </w:r>
          </w:p>
        </w:tc>
        <w:tc>
          <w:tcPr>
            <w:tcW w:w="920" w:type="dxa"/>
            <w:vAlign w:val="bottom"/>
          </w:tcPr>
          <w:p>
            <w:pPr>
              <w:jc w:val="right"/>
              <w:ind w:right="166"/>
              <w:spacing w:after="0" w:line="108" w:lineRule="exact"/>
              <w:rPr>
                <w:sz w:val="20"/>
                <w:szCs w:val="20"/>
                <w:color w:val="auto"/>
              </w:rPr>
            </w:pPr>
            <w:r>
              <w:rPr>
                <w:rFonts w:ascii="Times New Roman" w:cs="Times New Roman" w:eastAsia="Times New Roman" w:hAnsi="Times New Roman"/>
                <w:sz w:val="11"/>
                <w:szCs w:val="11"/>
                <w:color w:val="auto"/>
              </w:rPr>
              <w:t>169</w:t>
            </w:r>
          </w:p>
        </w:tc>
        <w:tc>
          <w:tcPr>
            <w:tcW w:w="50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44</w:t>
            </w:r>
          </w:p>
        </w:tc>
        <w:tc>
          <w:tcPr>
            <w:tcW w:w="1820" w:type="dxa"/>
            <w:vAlign w:val="bottom"/>
          </w:tcPr>
          <w:p>
            <w:pPr>
              <w:ind w:left="40"/>
              <w:spacing w:after="0" w:line="108" w:lineRule="exact"/>
              <w:rPr>
                <w:sz w:val="20"/>
                <w:szCs w:val="20"/>
                <w:color w:val="auto"/>
              </w:rPr>
            </w:pPr>
            <w:r>
              <w:rPr>
                <w:rFonts w:ascii="Times New Roman" w:cs="Times New Roman" w:eastAsia="Times New Roman" w:hAnsi="Times New Roman"/>
                <w:sz w:val="11"/>
                <w:szCs w:val="11"/>
                <w:color w:val="auto"/>
              </w:rPr>
              <w:t>HD pan/tilt/zoom cameras; four video</w:t>
            </w:r>
          </w:p>
        </w:tc>
        <w:tc>
          <w:tcPr>
            <w:tcW w:w="2380" w:type="dxa"/>
            <w:vAlign w:val="bottom"/>
          </w:tcPr>
          <w:p>
            <w:pPr>
              <w:ind w:left="80"/>
              <w:spacing w:after="0" w:line="108" w:lineRule="exact"/>
              <w:rPr>
                <w:sz w:val="20"/>
                <w:szCs w:val="20"/>
                <w:color w:val="auto"/>
              </w:rPr>
            </w:pPr>
            <w:r>
              <w:rPr>
                <w:rFonts w:ascii="Times New Roman" w:cs="Times New Roman" w:eastAsia="Times New Roman" w:hAnsi="Times New Roman"/>
                <w:sz w:val="11"/>
                <w:szCs w:val="11"/>
                <w:color w:val="auto"/>
              </w:rPr>
              <w:t>4-track running gear with individually adjustable</w:t>
            </w:r>
          </w:p>
        </w:tc>
        <w:tc>
          <w:tcPr>
            <w:tcW w:w="940" w:type="dxa"/>
            <w:vAlign w:val="bottom"/>
          </w:tcPr>
          <w:p>
            <w:pPr>
              <w:jc w:val="center"/>
              <w:ind w:left="106"/>
              <w:spacing w:after="0" w:line="108" w:lineRule="exact"/>
              <w:rPr>
                <w:sz w:val="20"/>
                <w:szCs w:val="20"/>
                <w:color w:val="auto"/>
              </w:rPr>
            </w:pPr>
            <w:r>
              <w:rPr>
                <w:rFonts w:ascii="Times New Roman" w:cs="Times New Roman" w:eastAsia="Times New Roman" w:hAnsi="Times New Roman"/>
                <w:sz w:val="11"/>
                <w:szCs w:val="11"/>
                <w:color w:val="auto"/>
                <w:w w:val="90"/>
              </w:rPr>
              <w:t>10</w:t>
            </w:r>
          </w:p>
        </w:tc>
      </w:tr>
      <w:tr>
        <w:trPr>
          <w:trHeight w:val="121"/>
        </w:trPr>
        <w:tc>
          <w:tcPr>
            <w:tcW w:w="2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feeds; various EOD, CBRN and tactical</w:t>
            </w:r>
          </w:p>
        </w:tc>
        <w:tc>
          <w:tcPr>
            <w:tcW w:w="238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flippers and optional wheels</w:t>
            </w:r>
          </w:p>
        </w:tc>
        <w:tc>
          <w:tcPr>
            <w:tcW w:w="940" w:type="dxa"/>
            <w:vAlign w:val="bottom"/>
          </w:tcPr>
          <w:p>
            <w:pPr>
              <w:spacing w:after="0"/>
              <w:rPr>
                <w:sz w:val="10"/>
                <w:szCs w:val="10"/>
                <w:color w:val="auto"/>
              </w:rPr>
            </w:pPr>
          </w:p>
        </w:tc>
      </w:tr>
      <w:tr>
        <w:trPr>
          <w:trHeight w:val="140"/>
        </w:trPr>
        <w:tc>
          <w:tcPr>
            <w:tcW w:w="2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sensors</w:t>
            </w:r>
          </w:p>
        </w:tc>
        <w:tc>
          <w:tcPr>
            <w:tcW w:w="238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spacing w:after="0" w:line="200" w:lineRule="exact"/>
        <w:rPr>
          <w:sz w:val="20"/>
          <w:szCs w:val="20"/>
          <w:color w:val="auto"/>
        </w:rPr>
      </w:pPr>
    </w:p>
    <w:p>
      <w:pPr>
        <w:spacing w:after="0" w:line="20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Loitering Munitions Systems Products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LMS consist of tube-launched aircraft that deploy with the push of a button, fly at higher speeds than our SUAS, and perform either effects delivery or reconnaissance missions. Switchblade 300, the first of our LMS products, can be transported in its launch tube, within a backpack, and deployed within minutes to defend against lethal threats such as snipers and mortar launchers. With a high level of precision, including a customized warhead and patented wave-off, loiter and re-engagement capabilities, Switchblade 300 can neutralize a target rapidly and accurately without causing collateral damage. Furthermore, because it streams live electro-optical and thermal video to its operator, Switchblade 300 can be called off in the final moments prior to a strike should the situation require, potentially eliminating damage to non-combatants. Switchblade 600 is a larger version of Switchblade 300 that can fly for a longer period of time and over a longer distance while carrying a larger, more powerful, anti-armor warhead. Blackwing, 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282" w:lineRule="auto"/>
        <w:rPr>
          <w:sz w:val="20"/>
          <w:szCs w:val="20"/>
          <w:color w:val="auto"/>
        </w:rPr>
      </w:pPr>
      <w:r>
        <w:rPr>
          <w:rFonts w:ascii="Times New Roman" w:cs="Times New Roman" w:eastAsia="Times New Roman" w:hAnsi="Times New Roman"/>
          <w:sz w:val="18"/>
          <w:szCs w:val="18"/>
          <w:color w:val="auto"/>
        </w:rPr>
        <w:t>variant of Switchblade 300, launches from a submerged submarine and carries extra batteries instead of a warhead, providing longer flight time for extended maritime reconnaissance operations.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080" w:type="dxa"/>
            <w:vAlign w:val="bottom"/>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9"/>
              </w:rPr>
              <w:t>Loitering</w:t>
            </w:r>
          </w:p>
        </w:tc>
        <w:tc>
          <w:tcPr>
            <w:tcW w:w="1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2"/>
        </w:trPr>
        <w:tc>
          <w:tcPr>
            <w:tcW w:w="1080" w:type="dxa"/>
            <w:vAlign w:val="bottom"/>
          </w:tcPr>
          <w:p>
            <w:pPr>
              <w:jc w:val="center"/>
              <w:ind w:left="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Munitions System</w:t>
            </w:r>
          </w:p>
        </w:tc>
        <w:tc>
          <w:tcPr>
            <w:tcW w:w="1700" w:type="dxa"/>
            <w:vAlign w:val="bottom"/>
          </w:tcPr>
          <w:p>
            <w:pPr>
              <w:spacing w:after="0"/>
              <w:rPr>
                <w:sz w:val="10"/>
                <w:szCs w:val="10"/>
                <w:color w:val="auto"/>
              </w:rPr>
            </w:pPr>
          </w:p>
        </w:tc>
        <w:tc>
          <w:tcPr>
            <w:tcW w:w="54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b w:val="1"/>
                <w:bCs w:val="1"/>
                <w:color w:val="auto"/>
              </w:rPr>
              <w:t>Weight</w:t>
            </w:r>
          </w:p>
        </w:tc>
        <w:tc>
          <w:tcPr>
            <w:tcW w:w="2800" w:type="dxa"/>
            <w:vAlign w:val="bottom"/>
          </w:tcPr>
          <w:p>
            <w:pPr>
              <w:spacing w:after="0"/>
              <w:rPr>
                <w:sz w:val="10"/>
                <w:szCs w:val="10"/>
                <w:color w:val="auto"/>
              </w:rPr>
            </w:pPr>
          </w:p>
        </w:tc>
        <w:tc>
          <w:tcPr>
            <w:tcW w:w="1500" w:type="dxa"/>
            <w:vAlign w:val="bottom"/>
          </w:tcPr>
          <w:p>
            <w:pPr>
              <w:ind w:left="540"/>
              <w:spacing w:after="0" w:line="122" w:lineRule="exact"/>
              <w:rPr>
                <w:sz w:val="20"/>
                <w:szCs w:val="20"/>
                <w:color w:val="auto"/>
              </w:rPr>
            </w:pPr>
            <w:r>
              <w:rPr>
                <w:rFonts w:ascii="Times New Roman" w:cs="Times New Roman" w:eastAsia="Times New Roman" w:hAnsi="Times New Roman"/>
                <w:sz w:val="11"/>
                <w:szCs w:val="11"/>
                <w:b w:val="1"/>
                <w:bCs w:val="1"/>
                <w:color w:val="auto"/>
              </w:rPr>
              <w:t>Standard</w:t>
            </w: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3"/>
              </w:rPr>
              <w:t>Range</w:t>
            </w:r>
          </w:p>
        </w:tc>
        <w:tc>
          <w:tcPr>
            <w:tcW w:w="66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Flight Time</w:t>
            </w:r>
          </w:p>
        </w:tc>
      </w:tr>
      <w:tr>
        <w:trPr>
          <w:trHeight w:val="137"/>
        </w:trPr>
        <w:tc>
          <w:tcPr>
            <w:tcW w:w="1080" w:type="dxa"/>
            <w:vAlign w:val="bottom"/>
            <w:tcBorders>
              <w:bottom w:val="single" w:sz="8" w:color="auto"/>
            </w:tcBorders>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4"/>
              </w:rPr>
              <w:t>Product</w:t>
            </w: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1"/>
                <w:szCs w:val="11"/>
                <w:b w:val="1"/>
                <w:bCs w:val="1"/>
                <w:color w:val="auto"/>
              </w:rPr>
              <w:t>Differentiators</w:t>
            </w:r>
          </w:p>
        </w:tc>
        <w:tc>
          <w:tcPr>
            <w:tcW w:w="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(lbs.)</w:t>
            </w:r>
          </w:p>
        </w:tc>
        <w:tc>
          <w:tcPr>
            <w:tcW w:w="28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1"/>
                <w:szCs w:val="11"/>
                <w:b w:val="1"/>
                <w:bCs w:val="1"/>
                <w:color w:val="auto"/>
              </w:rPr>
              <w:t>Launch and Recovery</w:t>
            </w:r>
          </w:p>
        </w:tc>
        <w:tc>
          <w:tcPr>
            <w:tcW w:w="15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b w:val="1"/>
                <w:bCs w:val="1"/>
                <w:color w:val="auto"/>
              </w:rPr>
              <w:t>Sensors</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(mi.)(1)</w:t>
            </w:r>
          </w:p>
        </w:tc>
        <w:tc>
          <w:tcPr>
            <w:tcW w:w="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(min.)(1)</w:t>
            </w:r>
          </w:p>
        </w:tc>
      </w:tr>
      <w:tr>
        <w:trPr>
          <w:trHeight w:val="101"/>
        </w:trPr>
        <w:tc>
          <w:tcPr>
            <w:tcW w:w="108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Switchblade 300</w:t>
            </w:r>
          </w:p>
        </w:tc>
        <w:tc>
          <w:tcPr>
            <w:tcW w:w="1700" w:type="dxa"/>
            <w:vAlign w:val="bottom"/>
            <w:shd w:val="clear" w:color="auto" w:fill="CCEEFF"/>
          </w:tcPr>
          <w:p>
            <w:pPr>
              <w:ind w:left="80"/>
              <w:spacing w:after="0" w:line="102" w:lineRule="exact"/>
              <w:rPr>
                <w:sz w:val="20"/>
                <w:szCs w:val="20"/>
                <w:color w:val="auto"/>
              </w:rPr>
            </w:pPr>
            <w:r>
              <w:rPr>
                <w:rFonts w:ascii="Times New Roman" w:cs="Times New Roman" w:eastAsia="Times New Roman" w:hAnsi="Times New Roman"/>
                <w:sz w:val="11"/>
                <w:szCs w:val="11"/>
                <w:color w:val="auto"/>
              </w:rPr>
              <w:t>Patented wave-off and recommit</w:t>
            </w:r>
          </w:p>
        </w:tc>
        <w:tc>
          <w:tcPr>
            <w:tcW w:w="540" w:type="dxa"/>
            <w:vAlign w:val="bottom"/>
            <w:shd w:val="clear" w:color="auto" w:fill="CCEEFF"/>
          </w:tcPr>
          <w:p>
            <w:pPr>
              <w:ind w:left="40"/>
              <w:spacing w:after="0" w:line="102" w:lineRule="exact"/>
              <w:rPr>
                <w:sz w:val="20"/>
                <w:szCs w:val="20"/>
                <w:color w:val="auto"/>
              </w:rPr>
            </w:pPr>
            <w:r>
              <w:rPr>
                <w:rFonts w:ascii="Times New Roman" w:cs="Times New Roman" w:eastAsia="Times New Roman" w:hAnsi="Times New Roman"/>
                <w:sz w:val="11"/>
                <w:szCs w:val="11"/>
                <w:color w:val="auto"/>
              </w:rPr>
              <w:t>5.5</w:t>
            </w:r>
          </w:p>
        </w:tc>
        <w:tc>
          <w:tcPr>
            <w:tcW w:w="2800" w:type="dxa"/>
            <w:vAlign w:val="bottom"/>
            <w:shd w:val="clear" w:color="auto" w:fill="CCEEFF"/>
          </w:tcPr>
          <w:p>
            <w:pPr>
              <w:ind w:left="60"/>
              <w:spacing w:after="0" w:line="102" w:lineRule="exact"/>
              <w:rPr>
                <w:sz w:val="20"/>
                <w:szCs w:val="20"/>
                <w:color w:val="auto"/>
              </w:rPr>
            </w:pPr>
            <w:r>
              <w:rPr>
                <w:rFonts w:ascii="Times New Roman" w:cs="Times New Roman" w:eastAsia="Times New Roman" w:hAnsi="Times New Roman"/>
                <w:sz w:val="11"/>
                <w:szCs w:val="11"/>
                <w:color w:val="auto"/>
                <w:w w:val="98"/>
              </w:rPr>
              <w:t>Single or multi-pack tube launch, single use loitering munition</w:t>
            </w:r>
          </w:p>
        </w:tc>
        <w:tc>
          <w:tcPr>
            <w:tcW w:w="150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w w:val="99"/>
              </w:rPr>
              <w:t>Day (EO) and night (IR) cameras</w:t>
            </w:r>
          </w:p>
        </w:tc>
        <w:tc>
          <w:tcPr>
            <w:tcW w:w="6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r>
      <w:tr>
        <w:trPr>
          <w:trHeight w:val="121"/>
        </w:trPr>
        <w:tc>
          <w:tcPr>
            <w:tcW w:w="1080" w:type="dxa"/>
            <w:vAlign w:val="bottom"/>
            <w:shd w:val="clear" w:color="auto" w:fill="CCEEFF"/>
          </w:tcPr>
          <w:p>
            <w:pPr>
              <w:spacing w:after="0"/>
              <w:rPr>
                <w:sz w:val="10"/>
                <w:szCs w:val="10"/>
                <w:color w:val="auto"/>
              </w:rPr>
            </w:pPr>
          </w:p>
        </w:tc>
        <w:tc>
          <w:tcPr>
            <w:tcW w:w="170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Direct fire weapon with 30km range</w:t>
            </w:r>
          </w:p>
        </w:tc>
        <w:tc>
          <w:tcPr>
            <w:tcW w:w="5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(includes</w:t>
            </w:r>
          </w:p>
        </w:tc>
        <w:tc>
          <w:tcPr>
            <w:tcW w:w="2800" w:type="dxa"/>
            <w:vAlign w:val="bottom"/>
            <w:shd w:val="clear" w:color="auto" w:fill="CCEEFF"/>
          </w:tcPr>
          <w:p>
            <w:pPr>
              <w:spacing w:after="0"/>
              <w:rPr>
                <w:sz w:val="10"/>
                <w:szCs w:val="10"/>
                <w:color w:val="auto"/>
              </w:rPr>
            </w:pPr>
          </w:p>
        </w:tc>
        <w:tc>
          <w:tcPr>
            <w:tcW w:w="15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w w:val="98"/>
              </w:rPr>
              <w:t>with stabilized electronic pan-tilt-</w:t>
            </w:r>
          </w:p>
        </w:tc>
        <w:tc>
          <w:tcPr>
            <w:tcW w:w="6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22"/>
        </w:trPr>
        <w:tc>
          <w:tcPr>
            <w:tcW w:w="108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5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munition,</w:t>
            </w:r>
          </w:p>
        </w:tc>
        <w:tc>
          <w:tcPr>
            <w:tcW w:w="2800" w:type="dxa"/>
            <w:vAlign w:val="bottom"/>
            <w:shd w:val="clear" w:color="auto" w:fill="CCEEFF"/>
          </w:tcPr>
          <w:p>
            <w:pPr>
              <w:spacing w:after="0"/>
              <w:rPr>
                <w:sz w:val="10"/>
                <w:szCs w:val="10"/>
                <w:color w:val="auto"/>
              </w:rPr>
            </w:pPr>
          </w:p>
        </w:tc>
        <w:tc>
          <w:tcPr>
            <w:tcW w:w="15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zoom</w:t>
            </w:r>
          </w:p>
        </w:tc>
        <w:tc>
          <w:tcPr>
            <w:tcW w:w="6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22"/>
        </w:trPr>
        <w:tc>
          <w:tcPr>
            <w:tcW w:w="108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5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payload,</w:t>
            </w:r>
          </w:p>
        </w:tc>
        <w:tc>
          <w:tcPr>
            <w:tcW w:w="280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22"/>
        </w:trPr>
        <w:tc>
          <w:tcPr>
            <w:tcW w:w="108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5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launcher</w:t>
            </w:r>
          </w:p>
        </w:tc>
        <w:tc>
          <w:tcPr>
            <w:tcW w:w="280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22"/>
        </w:trPr>
        <w:tc>
          <w:tcPr>
            <w:tcW w:w="108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5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and</w:t>
            </w:r>
          </w:p>
        </w:tc>
        <w:tc>
          <w:tcPr>
            <w:tcW w:w="280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21"/>
        </w:trPr>
        <w:tc>
          <w:tcPr>
            <w:tcW w:w="108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54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rPr>
              <w:t>transport</w:t>
            </w:r>
          </w:p>
        </w:tc>
        <w:tc>
          <w:tcPr>
            <w:tcW w:w="280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35"/>
        </w:trPr>
        <w:tc>
          <w:tcPr>
            <w:tcW w:w="10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bag)</w:t>
            </w:r>
          </w:p>
        </w:tc>
        <w:tc>
          <w:tcPr>
            <w:tcW w:w="28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18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08"/>
        </w:trPr>
        <w:tc>
          <w:tcPr>
            <w:tcW w:w="108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Switchblade 600</w:t>
            </w:r>
          </w:p>
        </w:tc>
        <w:tc>
          <w:tcPr>
            <w:tcW w:w="1700" w:type="dxa"/>
            <w:vAlign w:val="bottom"/>
          </w:tcPr>
          <w:p>
            <w:pPr>
              <w:ind w:left="80"/>
              <w:spacing w:after="0" w:line="108" w:lineRule="exact"/>
              <w:rPr>
                <w:sz w:val="20"/>
                <w:szCs w:val="20"/>
                <w:color w:val="auto"/>
              </w:rPr>
            </w:pPr>
            <w:r>
              <w:rPr>
                <w:rFonts w:ascii="Times New Roman" w:cs="Times New Roman" w:eastAsia="Times New Roman" w:hAnsi="Times New Roman"/>
                <w:sz w:val="11"/>
                <w:szCs w:val="11"/>
                <w:color w:val="auto"/>
              </w:rPr>
              <w:t>Patented wave-off and recommit;</w:t>
            </w:r>
          </w:p>
        </w:tc>
        <w:tc>
          <w:tcPr>
            <w:tcW w:w="3340" w:type="dxa"/>
            <w:vAlign w:val="bottom"/>
            <w:gridSpan w:val="2"/>
          </w:tcPr>
          <w:p>
            <w:pPr>
              <w:ind w:left="40"/>
              <w:spacing w:after="0" w:line="108" w:lineRule="exact"/>
              <w:rPr>
                <w:sz w:val="20"/>
                <w:szCs w:val="20"/>
                <w:color w:val="auto"/>
              </w:rPr>
            </w:pPr>
            <w:r>
              <w:rPr>
                <w:rFonts w:ascii="Times New Roman" w:cs="Times New Roman" w:eastAsia="Times New Roman" w:hAnsi="Times New Roman"/>
                <w:sz w:val="11"/>
                <w:szCs w:val="11"/>
                <w:color w:val="auto"/>
                <w:w w:val="98"/>
              </w:rPr>
              <w:t>68 (includes Single or multi-pack tube launch, single use loitering munition</w:t>
            </w:r>
          </w:p>
        </w:tc>
        <w:tc>
          <w:tcPr>
            <w:tcW w:w="150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w w:val="98"/>
              </w:rPr>
              <w:t>2-axis, 4-sensor gimbal (Dual EO</w:t>
            </w: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22"/>
        </w:trPr>
        <w:tc>
          <w:tcPr>
            <w:tcW w:w="1080" w:type="dxa"/>
            <w:vAlign w:val="bottom"/>
          </w:tcPr>
          <w:p>
            <w:pPr>
              <w:spacing w:after="0"/>
              <w:rPr>
                <w:sz w:val="10"/>
                <w:szCs w:val="10"/>
                <w:color w:val="auto"/>
              </w:rPr>
            </w:pPr>
          </w:p>
        </w:tc>
        <w:tc>
          <w:tcPr>
            <w:tcW w:w="170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color w:val="auto"/>
              </w:rPr>
              <w:t>anti-armor warhead</w:t>
            </w:r>
          </w:p>
        </w:tc>
        <w:tc>
          <w:tcPr>
            <w:tcW w:w="54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launcher,</w:t>
            </w:r>
          </w:p>
        </w:tc>
        <w:tc>
          <w:tcPr>
            <w:tcW w:w="2800" w:type="dxa"/>
            <w:vAlign w:val="bottom"/>
          </w:tcPr>
          <w:p>
            <w:pPr>
              <w:spacing w:after="0"/>
              <w:rPr>
                <w:sz w:val="10"/>
                <w:szCs w:val="10"/>
                <w:color w:val="auto"/>
              </w:rPr>
            </w:pPr>
          </w:p>
        </w:tc>
        <w:tc>
          <w:tcPr>
            <w:tcW w:w="15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and IR) integrated sensor suite</w:t>
            </w: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5"/>
        </w:trPr>
        <w:tc>
          <w:tcPr>
            <w:tcW w:w="1080" w:type="dxa"/>
            <w:vAlign w:val="bottom"/>
          </w:tcPr>
          <w:p>
            <w:pPr>
              <w:spacing w:after="0"/>
              <w:rPr>
                <w:sz w:val="11"/>
                <w:szCs w:val="11"/>
                <w:color w:val="auto"/>
              </w:rPr>
            </w:pPr>
          </w:p>
        </w:tc>
        <w:tc>
          <w:tcPr>
            <w:tcW w:w="17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Direct fire weapon with 40km range</w:t>
            </w:r>
          </w:p>
        </w:tc>
        <w:tc>
          <w:tcPr>
            <w:tcW w:w="5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munition)</w:t>
            </w:r>
          </w:p>
        </w:tc>
        <w:tc>
          <w:tcPr>
            <w:tcW w:w="28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24</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r>
      <w:tr>
        <w:trPr>
          <w:trHeight w:val="122"/>
        </w:trPr>
        <w:tc>
          <w:tcPr>
            <w:tcW w:w="10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Blackwing</w:t>
            </w:r>
          </w:p>
        </w:tc>
        <w:tc>
          <w:tcPr>
            <w:tcW w:w="224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Deployed from submerged submarine 4.0</w:t>
            </w:r>
          </w:p>
        </w:tc>
        <w:tc>
          <w:tcPr>
            <w:tcW w:w="430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1"/>
                <w:szCs w:val="11"/>
                <w:color w:val="auto"/>
              </w:rPr>
              <w:t>Underwater-to-surface delivery canister; launch tube, single useEO/IR sensor suite</w:t>
            </w:r>
          </w:p>
        </w:tc>
        <w:tc>
          <w:tcPr>
            <w:tcW w:w="6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w w:val="99"/>
              </w:rPr>
              <w:t>Not disclosed</w:t>
            </w:r>
          </w:p>
        </w:tc>
        <w:tc>
          <w:tcPr>
            <w:tcW w:w="6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1"/>
                <w:szCs w:val="11"/>
                <w:color w:val="auto"/>
                <w:w w:val="99"/>
              </w:rPr>
              <w:t>Not disclosed</w:t>
            </w:r>
          </w:p>
        </w:tc>
      </w:tr>
    </w:tbl>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MacCready Works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MacCready Works, named for our founder, Dr. Paul B. MacCready, Jr., ensures that creativity and long-term thinking remain at the core of our culture. With a focus on the future, this group of select, visionary scientists and engineers partners with our diverse customer base to explore innovative breakthrough solutions to difficult challenges. Primarily focused on customer-funded R&amp;D in the areas of robotics, sensors, software analytics and connectivity, this segment seeks to identify new products, services and businesses for the company. While this segment’s revenue is currently largely driven by these customer-funded projects, it is likely that new businesses incubated here could significantly contribute to the growth of the company.</w:t>
      </w:r>
    </w:p>
    <w:p>
      <w:pPr>
        <w:spacing w:after="0" w:line="1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Support Services</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support of our products, we offer a suite of services that help to ensure the successful operation of our products by our customers. These services generate incremental revenue for us and provide us with continuous feedback to understand the performance of our systems, anticipate our customers’ needs and develop additional customer insights. We believe that this ongoing feedback loop enables us to continue to provide our customers with innovative solutions that help them succeed. We provide spare parts as well as repair, refurbishment and replacement services in a manner that seeks to minimize supply chain delays and support our customers whenever and wherever needed. Our facilities in Simi Valley, CA also serve as primary depots for SUAS and Puma LE repairs and spare parts, while we support our MUAS from our Petaluma, CA facilities and our UGV solutions from our Erie, PA and Stuttgart, Germany facilities.</w:t>
      </w:r>
    </w:p>
    <w:p>
      <w:pPr>
        <w:spacing w:after="0" w:line="192" w:lineRule="exact"/>
        <w:rPr>
          <w:sz w:val="20"/>
          <w:szCs w:val="20"/>
          <w:color w:val="auto"/>
        </w:rPr>
      </w:pPr>
    </w:p>
    <w:p>
      <w:pPr>
        <w:ind w:left="60" w:right="59" w:firstLine="648"/>
        <w:spacing w:after="0" w:line="289" w:lineRule="auto"/>
        <w:rPr>
          <w:sz w:val="20"/>
          <w:szCs w:val="20"/>
          <w:color w:val="auto"/>
        </w:rPr>
      </w:pPr>
      <w:r>
        <w:rPr>
          <w:rFonts w:ascii="Times New Roman" w:cs="Times New Roman" w:eastAsia="Times New Roman" w:hAnsi="Times New Roman"/>
          <w:sz w:val="17"/>
          <w:szCs w:val="17"/>
          <w:color w:val="auto"/>
        </w:rPr>
        <w:t>We provide comprehensive training services to support all our SUAS and LMS for defense applications. Our highly-skilled instructors typically have extensive military experience. We deploy training teams throughout the continental United States and overseas to support our customers’ training needs on both production and development-stage systems.</w:t>
      </w:r>
    </w:p>
    <w:p>
      <w:pPr>
        <w:spacing w:after="0" w:line="15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Customer-Funded R&amp;D</w:t>
      </w:r>
    </w:p>
    <w:p>
      <w:pPr>
        <w:spacing w:after="0" w:line="22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We provide specialized services in support of customer-funded R&amp;D projects, delivering new value-added technology solutions to our customers. These types of projects typically involve developing new system solutions and technology or new capabilities for existing solutions that we introduce as retrofits or upgrades. We recognize the majority of customer-funded R&amp;D projects as revenue.</w:t>
      </w:r>
    </w:p>
    <w:p>
      <w:pPr>
        <w:spacing w:after="0" w:line="17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Technology, Research and Development</w:t>
      </w:r>
    </w:p>
    <w:p>
      <w:pPr>
        <w:spacing w:after="0" w:line="229"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Our primary areas of technological competence represent the sum of numerous technical skills and capabilities that help to differentiate our approach and product offerings. The following list highlights a number of our key technological capabilities:</w:t>
      </w:r>
    </w:p>
    <w:p>
      <w:pPr>
        <w:spacing w:after="0" w:line="176" w:lineRule="exact"/>
        <w:rPr>
          <w:sz w:val="20"/>
          <w:szCs w:val="20"/>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robotics and robotics systems autonomy technologies;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modular open systems architectures;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sensor design, development, miniaturization and integration;</w:t>
      </w:r>
    </w:p>
    <w:p>
      <w:pPr>
        <w:spacing w:after="0" w:line="225" w:lineRule="exact"/>
        <w:rPr>
          <w:rFonts w:ascii="Times New Roman" w:cs="Times New Roman" w:eastAsia="Times New Roman" w:hAnsi="Times New Roman"/>
          <w:sz w:val="18"/>
          <w:szCs w:val="18"/>
          <w:color w:val="auto"/>
        </w:rPr>
      </w:pPr>
    </w:p>
    <w:p>
      <w:pPr>
        <w:ind w:left="1040" w:right="799" w:hanging="31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software and firmware, analytics processing, database systems, web, desktop and mobile applications and standards-based interfaces;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miniature, low power, secure wireless digital communications and networks;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lightweight, advanced aerostructures and aerodynamic design;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high-altitude long-endurance systems design, integration and flight operations;</w:t>
      </w:r>
    </w:p>
    <w:p>
      <w:pPr>
        <w:spacing w:after="0" w:line="225"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 vision, machine learning, active perception, advanced auto flight control, auto target recognition, autonomous mission planning and teaming;</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maritime and air deployment of munitions and aircraft systems;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qualification for robotics in extreme terrestrial and space environments;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munitions systems warhead integration;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SWaP (Size, Weight and Power) system design and integration;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multi-robotic mission operation, crewed and uncrewed;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electronics and electric propulsion systems;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 electric power conversion, storage systems and high-density energy packaging;</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and systems integration;</w:t>
      </w:r>
    </w:p>
    <w:p>
      <w:pPr>
        <w:spacing w:after="0" w:line="225" w:lineRule="exact"/>
        <w:rPr>
          <w:rFonts w:ascii="Times New Roman" w:cs="Times New Roman" w:eastAsia="Times New Roman" w:hAnsi="Times New Roman"/>
          <w:sz w:val="18"/>
          <w:szCs w:val="18"/>
          <w:color w:val="auto"/>
        </w:rPr>
      </w:pPr>
    </w:p>
    <w:p>
      <w:pPr>
        <w:ind w:left="1040" w:right="699" w:hanging="31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vertical takeoff and landing flight, fixed-wing flight and hybrid flight uncrewed aircraft and rotocraft systems;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 stabilization and target tracking;</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flight control systems;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fluid dynamics;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human-machine interface development;</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modular dismounted, networked multi-domain robotic control interfaces and analytic processing architecture;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mission solutions for austere environments.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One of our UAS development initiatives is described below:</w:t>
      </w:r>
    </w:p>
    <w:p>
      <w:pPr>
        <w:spacing w:after="0" w:line="221" w:lineRule="exact"/>
        <w:rPr>
          <w:sz w:val="20"/>
          <w:szCs w:val="20"/>
          <w:color w:val="auto"/>
        </w:rPr>
      </w:pPr>
    </w:p>
    <w:p>
      <w:pPr>
        <w:ind w:left="1340" w:right="599" w:firstLine="64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HAPS Uncrewed Aircraft Systems. </w:t>
      </w:r>
      <w:r>
        <w:rPr>
          <w:rFonts w:ascii="Times New Roman" w:cs="Times New Roman" w:eastAsia="Times New Roman" w:hAnsi="Times New Roman"/>
          <w:sz w:val="17"/>
          <w:szCs w:val="17"/>
          <w:color w:val="auto"/>
        </w:rPr>
        <w:t>We continue to develop HAPS UAS, building on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decades of groundbreaking development and demonstration of high altitude solar-powered UAS.</w:t>
      </w:r>
    </w:p>
    <w:p>
      <w:pPr>
        <w:sectPr>
          <w:pgSz w:w="11900" w:h="16838" w:orient="portrait"/>
          <w:cols w:equalWidth="0" w:num="1">
            <w:col w:w="9019"/>
          </w:cols>
          <w:pgMar w:left="1440" w:top="513" w:right="1440"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79"/>
        <w:spacing w:after="0" w:line="254" w:lineRule="auto"/>
        <w:rPr>
          <w:sz w:val="20"/>
          <w:szCs w:val="20"/>
          <w:color w:val="auto"/>
        </w:rPr>
      </w:pPr>
      <w:r>
        <w:rPr>
          <w:rFonts w:ascii="Times New Roman" w:cs="Times New Roman" w:eastAsia="Times New Roman" w:hAnsi="Times New Roman"/>
          <w:sz w:val="18"/>
          <w:szCs w:val="18"/>
          <w:color w:val="auto"/>
        </w:rPr>
        <w:t>Softbank, who has been our partner since 2018, is directly funding the development and demonstration of solar-powered HAPS UAS under a Master Design and Development Agreement (“MDDA”) signed in May 2021. During the term of the MDDA, we possess exclusive rights from SoftBank for future design and manufacturing work for the Solar HAPS UAS and future variants thereof, subject to meeting contractual performance criteria and maintain exclusive rights to market and sell Solar HAPS for defense applications globally except for Japan. We have separately received increasing interest and some funding to pursue a HAPS UAS development for the U.S. DoD. Both the defense and commercial development efforts are proceeding in parallel.</w:t>
      </w:r>
    </w:p>
    <w:p>
      <w:pPr>
        <w:spacing w:after="0" w:line="18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ind w:left="60" w:right="99" w:firstLine="648"/>
        <w:spacing w:after="0" w:line="273" w:lineRule="auto"/>
        <w:rPr>
          <w:sz w:val="20"/>
          <w:szCs w:val="20"/>
          <w:color w:val="auto"/>
        </w:rPr>
      </w:pPr>
      <w:r>
        <w:rPr>
          <w:rFonts w:ascii="Times New Roman" w:cs="Times New Roman" w:eastAsia="Times New Roman" w:hAnsi="Times New Roman"/>
          <w:sz w:val="17"/>
          <w:szCs w:val="17"/>
          <w:color w:val="auto"/>
        </w:rPr>
        <w:t>Our product line management personnel translate customer and market requirements into multi-year product roadmaps that guide our development, engineering and manufacturing plans. We organize our business development team members by geographic area, target market and customer and product line, and we locate team members in close proximity to the customers they support when possible. We organize our program managers by product and focus on designing optimal solutions and improving contract fulfillment, incorporating feedback from customers and users. By maintaining assigned points of contact with our customers, we believe that we are able to maintain and strengthen our relationships, service existing contracts effectively and gain vital feedback to improve our responsiveness and product offerings.</w:t>
      </w:r>
    </w:p>
    <w:p>
      <w:pPr>
        <w:spacing w:after="0" w:line="16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Operations</w:t>
      </w:r>
    </w:p>
    <w:p>
      <w:pPr>
        <w:spacing w:after="0" w:line="229" w:lineRule="exact"/>
        <w:rPr>
          <w:sz w:val="20"/>
          <w:szCs w:val="20"/>
          <w:color w:val="auto"/>
        </w:rPr>
      </w:pPr>
    </w:p>
    <w:p>
      <w:pPr>
        <w:ind w:left="60" w:right="99" w:firstLine="648"/>
        <w:spacing w:after="0" w:line="268" w:lineRule="auto"/>
        <w:rPr>
          <w:sz w:val="20"/>
          <w:szCs w:val="20"/>
          <w:color w:val="auto"/>
        </w:rPr>
      </w:pPr>
      <w:r>
        <w:rPr>
          <w:rFonts w:ascii="Times New Roman" w:cs="Times New Roman" w:eastAsia="Times New Roman" w:hAnsi="Times New Roman"/>
          <w:sz w:val="17"/>
          <w:szCs w:val="17"/>
          <w:color w:val="auto"/>
        </w:rPr>
        <w:t>Continued investment in infrastructure has enabled us to meet demand and efficiently scale capacity as needed. We have executed an operating plan that has enabled us to manufacture products at higher rates than our historical volumes while supporting initial low-rate production for new development programs. By drawing upon experienced personnel across various manufacturing industries including aerospace, automotive and volume commodities, we have instituted lean production systems and leverage our International Organization for Standardization (“ISO”) certification for Quality Management, integrated supply chain strategy, document control systems and process control methodologies for production. Presently, we perform SUAS manufacturing at the 85,000 square foot manufacturing facility we established in 2005. Our ISO 9001:2015 + AS9100D certified manufacturing facilities are designed to accommodate demand of up to 1,000 aircraft per month. ISO 9001:2015 + AS9100D refers to a set of voluntary standards for quality management systems. The 9001:2015 standards are established by the ISO to govern quality management systems used worldwide. We are regularly audited and certified to be compliant by a third party, accredited registrar. Accreditation of Systems Certification Board, our third-party registrar, is by the ANSI National Accreditation Board. These audits performed as part of certification evaluate the effectiveness of companies’ quality management systems and their compliance with ISO standards. Some companies and government agencies view ISO certification as a positive factor in supplier assessments.</w:t>
      </w:r>
    </w:p>
    <w:p>
      <w:pPr>
        <w:spacing w:after="0" w:line="18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The defense market for SUAS continues to evolve in response to changing technologies, shifting customer needs and expectations and the potential introduction of new products. We believe that a number of domestic and international defense contractors have developed or are developing SUAS that compete, or will compete, directly with our products. Some of these contractors have significantly greater financial and other resources than we possess. Our current principal SUAS competitors include Elbit Systems Ltd., Quantum-Systems, Inc., Edge Autonomy, Teledyne Technologies, Inc., Sierra Nevada Corporation and Lockheed Martin Corporation.</w:t>
      </w:r>
    </w:p>
    <w:p>
      <w:pPr>
        <w:spacing w:after="0" w:line="187" w:lineRule="exact"/>
        <w:rPr>
          <w:sz w:val="20"/>
          <w:szCs w:val="20"/>
          <w:color w:val="auto"/>
        </w:rPr>
      </w:pPr>
    </w:p>
    <w:p>
      <w:pPr>
        <w:ind w:left="60" w:right="439" w:firstLine="648"/>
        <w:spacing w:after="0" w:line="261" w:lineRule="auto"/>
        <w:rPr>
          <w:sz w:val="20"/>
          <w:szCs w:val="20"/>
          <w:color w:val="auto"/>
        </w:rPr>
      </w:pPr>
      <w:r>
        <w:rPr>
          <w:rFonts w:ascii="Times New Roman" w:cs="Times New Roman" w:eastAsia="Times New Roman" w:hAnsi="Times New Roman"/>
          <w:sz w:val="18"/>
          <w:szCs w:val="18"/>
          <w:color w:val="auto"/>
        </w:rPr>
        <w:t>The U.S. defense market for MUAS has been addressed primarily by The Boeing Company and Textron, Inc. However, our MUAS competitors also include Shield AI, Inc. and Northrop Grumman Corporation, Sierra Nevada Corporation, Griffon Aerospace, Inc. and L3Harris Technologies, Inc. International MUAS competitors include Elbit Systems Ltd. and Israeli Aircraft Industries.</w:t>
      </w:r>
    </w:p>
    <w:p>
      <w:pPr>
        <w:spacing w:after="0" w:line="180"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We do not view large UAS producers such as Northrop Grumman Corporation or General Atomics, Inc. as direct competitors to our SUAS or MUAS because they perform different missions, require a larger logistical footprint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and cost considerably more to procure and operate. However, we cannot be certain that these platforms will not become direct competitors in the future as we expand the capabilities of our MUAS products to, potentially, impinge upon the lower end of the large UAS market segment.</w:t>
      </w:r>
    </w:p>
    <w:p>
      <w:pPr>
        <w:spacing w:after="0" w:line="17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market for LMS is now rapidly evolving and poised for continued growth. Competitors in this market include Textron Inc., RTX Corporation, Lockheed Martin Corporation, Anduril Industries, Inc., Aevex Holdings, LLC and UVision Air Ltd. There is also a class of less expensive and less capable commercial products being retrofitted with munitions and we expect additional entrants and substitutes to emerge over the next few years as this market matures.</w:t>
      </w:r>
    </w:p>
    <w:p>
      <w:pPr>
        <w:spacing w:after="0" w:line="180" w:lineRule="exact"/>
        <w:rPr>
          <w:sz w:val="20"/>
          <w:szCs w:val="20"/>
          <w:color w:val="auto"/>
        </w:rPr>
      </w:pPr>
    </w:p>
    <w:p>
      <w:pPr>
        <w:ind w:left="60" w:right="79" w:firstLine="648"/>
        <w:spacing w:after="0" w:line="277" w:lineRule="auto"/>
        <w:rPr>
          <w:sz w:val="20"/>
          <w:szCs w:val="20"/>
          <w:color w:val="auto"/>
        </w:rPr>
      </w:pPr>
      <w:r>
        <w:rPr>
          <w:rFonts w:ascii="Times New Roman" w:cs="Times New Roman" w:eastAsia="Times New Roman" w:hAnsi="Times New Roman"/>
          <w:sz w:val="17"/>
          <w:szCs w:val="17"/>
          <w:color w:val="auto"/>
        </w:rPr>
        <w:t>The market for UGV spans the global defense, first responder, security and logistics market segments. The UGV opportunity in the U.S. DoD has grown with recent U.S. Army procurement awards. Competitors in the U.S. UGV market include L3Harris Technologies, Inc., Teledyne Technologies, Inc., QinetiQ North America, Inc., Peraton Remotec, ICOR Technology, Inc., Ghost Robotics, Inc., and Boston Dynamics, Inc. Initial adoption of UGVs for law enforcement and other government agencies is also progressing in the U.S. and globally, as well as applications in hazardous materials handling.</w:t>
      </w:r>
    </w:p>
    <w:p>
      <w:pPr>
        <w:spacing w:after="0" w:line="168"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market for HAPS UAS is in an early stage of development. As a result, this category is not well defined and is characterized by multiple potential solutions. An existing contractor that claims to provide high altitude long endurance UAS is Northrop Grumman Corporation with its Global Hawk. Several aerospace and defense contractors have pursued this market opportunity with proposed very long duration UAS, including The Boeing Company, Airbus SE, Lockheed Martin Corporation and Northrop Grumman Corporation. Companies pursuing airships (high altitude aircraft that are kept buoyant by a body of gas that is lighter than air) as a solution for this market include Lockheed Martin Corporation and Northrop Grumman Corporation. A number of telecommunications, aerospace and technology companies, including us and our former joint venture partner HAPSMobile launched the HAPS Alliance to promote the benefits of HAPS to the global population. Companies pursuing conventional satellites as a solution for this market include The Boeing Company, Lockheed Martin Corporation, General Dynamics Corporation, EADS N.V., BAE Systems and Northrop Grumman Corporation. Companies pursuing Low Earth Orbit (“LEO”), micro or cubesat satellite constellations for global communication and remote sensing include Amazon, Planet Labs PBC, OneWeb, Space Exploration Technologies Corporation (known as SpaceX) and The Boeing Company. Companies owning and operating terrestrial cellular tower networks include American Tower Corporation, Crown Castle International Corp. and SBA Communications Corporation.</w:t>
      </w:r>
    </w:p>
    <w:p>
      <w:pPr>
        <w:spacing w:after="0" w:line="197"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Potential competition from consumer and commercially focused drone manufacturers is emerging as their capabilities increase and their prices remain low relative to existing defense solutions, which is resulting in some level of military consideration even if such drones do not meet traditional military performance or security specifications.</w:t>
      </w:r>
    </w:p>
    <w:p>
      <w:pPr>
        <w:spacing w:after="0" w:line="17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principal competitive factors in the markets for our UxS and LMS products and services include product performance; safety; features; acquisition cost; lifetime operating cost, including maintenance and support; ease of use; integration with existing equipment and processes; quality; reliability; customer support; brand awareness and reputation.</w:t>
      </w:r>
    </w:p>
    <w:p>
      <w:pPr>
        <w:spacing w:after="0" w:line="17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i w:val="1"/>
          <w:iCs w:val="1"/>
          <w:color w:val="auto"/>
        </w:rPr>
        <w:t>Regulation</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Due to the fact that we contract with the DoD and other agencies of the U.S. government, we are subject to extensive federal regulations, including the Federal Acquisition Regulations, Defense Federal Acquisitions Regulations, Truth in Negotiations Act, Foreign Corrupt Practices Act, False Claims Act and the regulations promulgated under the DoD Industrial Security Manual, which establishes the security guidelines for classified programs and facilities as well as individual security clearances. The federal government audits and reviews our performance on contracts, pricing practices, cost structure, and compliance with applicable laws, regulations and standards. Like most government contractors, our contracts are audited and reviewed on a continual basis by federal agencies, including the Defense Contract Management Agency (“DCMA”) and the Defense Contract Audit Agency (“DCAA”).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Certain of these regulations impose substantial penalties for violations, including suspension or debarment from government contracting or subcontracting for a period of time. We monitor all our contracts and contractual efforts to minimize the possibility of any violation of these regulations.</w:t>
      </w:r>
    </w:p>
    <w:p>
      <w:pPr>
        <w:spacing w:after="0" w:line="176" w:lineRule="exact"/>
        <w:rPr>
          <w:sz w:val="20"/>
          <w:szCs w:val="20"/>
          <w:color w:val="auto"/>
        </w:rPr>
      </w:pPr>
    </w:p>
    <w:p>
      <w:pPr>
        <w:ind w:left="60" w:right="259" w:firstLine="648"/>
        <w:spacing w:after="0" w:line="273" w:lineRule="auto"/>
        <w:rPr>
          <w:sz w:val="20"/>
          <w:szCs w:val="20"/>
          <w:color w:val="auto"/>
        </w:rPr>
      </w:pPr>
      <w:r>
        <w:rPr>
          <w:rFonts w:ascii="Times New Roman" w:cs="Times New Roman" w:eastAsia="Times New Roman" w:hAnsi="Times New Roman"/>
          <w:sz w:val="17"/>
          <w:szCs w:val="17"/>
          <w:color w:val="auto"/>
        </w:rPr>
        <w:t>In addition, we are subject to industry-specific regulations due to the nature of the products and services we provide. For example, certain aspects of our business are subject to further regulation by additional U.S. government authorities, including (i) the Federal Aviation Administration (“FAA”), which regulates airspace for all air vehicles in the U.S. National Airspace System, (ii) the National Telecommunications and Information Administration and the Federal Communications Commission, which regulate the wireless communications upon which our UAS depend in the United States and (iii) the Defense Trade Controls of the U.S. Department of State that administers the International Traffic in Arms Regulations, which regulate the export of controlled technical data, defense articles and defense services.</w:t>
      </w:r>
    </w:p>
    <w:p>
      <w:pPr>
        <w:spacing w:after="0" w:line="171"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June 21, 2016, the FAA released its final rules that allow routine use of certain SUAS in the U.S. National Airspace System. The FAA rules, which went into effect in August 2016, provide safety rules for SUAS (under 55 pounds) conducting non-recreational operations. The rules limit flights to visual-line-of-sight daylight operation, unless the UAS has anti-collision lights in which case twilight operation is permitted. The final rule also addresses altitude and speed restrictions, operator certification, optional use of a visual observer, aircraft registration and marking and operational limits, including prohibiting flights over unprotected people on the ground who are not directly participating in the operation of the UAS. Current FAA regulations require drone operators to register their systems with the FAA and secure operating licenses for their drones per Part 107 specifications. These regulations continue to evolve to accommodate the integration of UAS into the national airspace system for commercial applications, including HAPS UAS.</w:t>
      </w:r>
    </w:p>
    <w:p>
      <w:pPr>
        <w:spacing w:after="0" w:line="188"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In December 2019, the FAA proposed rules requiring the remote identification of UAS. Remote identification, which provides for a UAS in flight to provide identification that can be received by other parties, is designed to enhance safety and security by allowing the FAA and other agencies to identify a UAS that appears to be flying unsafely or in an area in which flight is not permitted. The final rule for remote identification of UAS was published in the Federal Register on January 15, 2021 with the effective date for compliance of September 16, 2023. On April 21, 2021, the final rule for operation of SUAS over people went into effect. This rule permits routine operations of small, uncrewed aircraft over people, moving vehicles, and at night under certain conditions. The final rule also made changes to the recurrent testing framework and expanded the list of persons who may request the presentation of a remote pilot certificate. Additionally, in February 2020, the FAA issued a public request for comment on its proposed policy for the creation of a new type certification of certain UAS as a special class of aircraft under FAA regulations. Currently the Part 107 Rules (as defined below) allow for the operation of SUAS without the need for FAA airworthiness certification as long as the UAS meets certain specified criteria and certain flight rules are followed; larger UAS and operations of SUAS outside the scope of the Part 107 Rules (as defined below) require a waiver from the FAA. The FAA’s proposed policy proposes a new special class of UAS for which airworthiness certification can be obtained, however, the proposed policy only applies to the procedures for the type certification of the new class of UAS. Further rulemaking by the FAA is anticipated regarding the particular criteria for the airworthiness certification standards under the new special class proposed by the new policy. The comment period for the FAA’s proposed policy expired on March 4, 2020 without further update.</w:t>
      </w:r>
    </w:p>
    <w:p>
      <w:pPr>
        <w:spacing w:after="0" w:line="193"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While it is currently anticipated that the enactment of remote identification, increasing operation of SUAS, and a new airworthiness certification process for a newly created special class of UAS will help formalize the process for manufacturing and obtaining airworthiness certification for UAS within the newly created class and accelerate the development of commercial UAS in the U.S., it is uncertain whether the FAA’s actions, if any, will have such effects. It is also unclear when, if at all, the FAA will create a new class of UAS and what the final rules regarding the certification of such UAS will look like. We cannot be certain as to how our business will be affected by the FAA’s proposals until the final rules for such matters are issued by the FAA.</w:t>
      </w:r>
    </w:p>
    <w:p>
      <w:pPr>
        <w:spacing w:after="0" w:line="18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Furthermore, our non-U.S. operations are subject to the laws and regulations of foreign jurisdictions, which may include regulations that are more stringent than those imposed by the U.S. government on our U.S. operations.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i w:val="1"/>
          <w:iCs w:val="1"/>
          <w:color w:val="auto"/>
        </w:rPr>
        <w:t>U.S. Government Contracting Process</w:t>
      </w:r>
    </w:p>
    <w:p>
      <w:pPr>
        <w:spacing w:after="0" w:line="22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We sell the significant majority of our SUAS, MUAS and LMS products and services as well as MacCready Works products and services under contracts with the U.S. government. Certain important aspects of our U.S. government contracts are described below.</w:t>
      </w:r>
    </w:p>
    <w:p>
      <w:pPr>
        <w:spacing w:after="0" w:line="17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i w:val="1"/>
          <w:iCs w:val="1"/>
          <w:color w:val="auto"/>
        </w:rPr>
        <w:t>Bidding Process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Most of our current U.S. government contracts were awarded through a competitive bidding process. The U.S. government awards competitive-bid contracts based on proposal evaluation criteria established by the procuring agency. Competitive-bid contracts are awarded after a formal bid and proposal competition among providers. Interested contractors prepare a bid and proposal in response to the agency’s request for proposal or request for information. A bid and proposal are usually prepared in a short time period in response to a deadline and require the extensive involvement of numerous technical and administrative personnel. Following award, competitive-bid contracts may be challenged by unsuccessful bidders.</w:t>
      </w:r>
    </w:p>
    <w:p>
      <w:pPr>
        <w:spacing w:after="0" w:line="18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i w:val="1"/>
          <w:iCs w:val="1"/>
          <w:color w:val="auto"/>
        </w:rPr>
        <w:t>Funding</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funding of U.S. government programs is subject to congressional appropriations. Although multi-year contracts may be authorized in connection with major procurements, Congress generally appropriates funds on a fiscal year basis, even though a program may continue for many years. Consequently, programs are often only partially funded initially, and additional funds are committed only as Congress makes further appropriations.</w:t>
      </w:r>
    </w:p>
    <w:p>
      <w:pPr>
        <w:spacing w:after="0" w:line="18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U.S. military funds its contracts for our full-rate production UAS either through operational need statements or as programs of record. Operational need statements require allocations of discretionary spending or reallocations of funding from other government programs. Funding for our production of initial Raven system deliveries, for example, was provided through operational need statements. We define a “program of record” as a program which, after undergoing extensive DoD review and product testing, is included in the five-year government budget cycle, meaning that funding is allocated for purchases under these contracts during the five-year cycle, absent affirmative action by the customer or Congress to change the budgeted amount. Despite being included in the five-year budget cycle, funding for these programs is subject to annual approval.</w:t>
      </w:r>
    </w:p>
    <w:p>
      <w:pPr>
        <w:spacing w:after="0" w:line="18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i w:val="1"/>
          <w:iCs w:val="1"/>
          <w:color w:val="auto"/>
        </w:rPr>
        <w:t>Material U.S. Government Contract Provisions</w:t>
      </w:r>
    </w:p>
    <w:p>
      <w:pPr>
        <w:spacing w:after="0" w:line="229"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All contracts with the U.S. government contain provisions, and are subject to laws and regulations, that give the government rights and remedies not typically found in commercial contracts, including rights that allow the U.S. government to:</w:t>
      </w:r>
    </w:p>
    <w:p>
      <w:pPr>
        <w:spacing w:after="0" w:line="176" w:lineRule="exact"/>
        <w:rPr>
          <w:sz w:val="20"/>
          <w:szCs w:val="20"/>
          <w:color w:val="auto"/>
        </w:rPr>
      </w:pPr>
    </w:p>
    <w:p>
      <w:pPr>
        <w:ind w:left="1040" w:right="17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existing contracts for convenience, in whole or in part, when it is in the interest of the government to do so;</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contracts for default upon the occurrence of certain enumerated events;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unilaterally modify contracts with regard to certain performance requirements;</w:t>
      </w:r>
    </w:p>
    <w:p>
      <w:pPr>
        <w:spacing w:after="0" w:line="225"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multi-year contracts and related orders, if funds for contract performance for any subsequent year become unavailable;</w:t>
      </w:r>
    </w:p>
    <w:p>
      <w:pPr>
        <w:spacing w:after="0" w:line="161" w:lineRule="exact"/>
        <w:rPr>
          <w:rFonts w:ascii="Times New Roman" w:cs="Times New Roman" w:eastAsia="Times New Roman" w:hAnsi="Times New Roman"/>
          <w:sz w:val="18"/>
          <w:szCs w:val="18"/>
          <w:color w:val="auto"/>
        </w:rPr>
      </w:pPr>
    </w:p>
    <w:p>
      <w:pPr>
        <w:ind w:left="1040" w:right="55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obtain rights in, or ownership to, intellectual property associated with products and systems developed or delivered by a contractor as a result of its performance of the contract;</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contract costs and fees on the basis of audits completed by its agencies;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debar a contractor from doing business with the U.S. government;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or prohibit the export of certain items.</w:t>
      </w:r>
    </w:p>
    <w:p>
      <w:pPr>
        <w:spacing w:after="0" w:line="225"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Generally, government contracts are subject to oversight audits by government representatives. Compensation, if any, in the event of a termination for default is limited to payment for work completed at the time of termination. In the event of a termination for convenience, the contractor may receive the contract price for completed work, as well as its costs of performance of terminated work including an allowance for profit and reasonable termination settlement costs.</w:t>
      </w:r>
    </w:p>
    <w:p>
      <w:pPr>
        <w:spacing w:after="0" w:line="17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i w:val="1"/>
          <w:iCs w:val="1"/>
          <w:color w:val="auto"/>
        </w:rPr>
        <w:t>U.S. Government Contract Categories</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There are three primary types of government contracts in our industry, each of which involves a different payment methodology and level of risk related to the cost of performance. These basic types of contracts are typically referred to as fixed-price contracts; cost reimbursable contracts, including cost-plus-fixed fee, cost-plus-award fee, and cost-plus-incentive fee; and time-and-materials contracts.</w:t>
      </w:r>
    </w:p>
    <w:p>
      <w:pPr>
        <w:spacing w:after="0" w:line="180"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In some cases, depending on the urgency of the project and the complexity of the contract negotiation, we will enter into a “Letter Contract” prior to finalizing the terms of a definitive fixed-price, cost reimbursable or time-and-materials definitive contract. A Letter Contract is a written preliminary contractual instrument that provides limited initial funding and authorizes us to begin immediately manufacturing supplies or performing services while negotiating the definitive terms of the procurement.</w:t>
      </w:r>
    </w:p>
    <w:p>
      <w:pPr>
        <w:spacing w:after="0" w:line="179" w:lineRule="exact"/>
        <w:rPr>
          <w:sz w:val="20"/>
          <w:szCs w:val="20"/>
          <w:color w:val="auto"/>
        </w:rPr>
      </w:pPr>
    </w:p>
    <w:p>
      <w:pPr>
        <w:ind w:left="1340" w:right="13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Fixed-Price. </w:t>
      </w:r>
      <w:r>
        <w:rPr>
          <w:rFonts w:ascii="Times New Roman" w:cs="Times New Roman" w:eastAsia="Times New Roman" w:hAnsi="Times New Roman"/>
          <w:sz w:val="18"/>
          <w:szCs w:val="18"/>
          <w:color w:val="auto"/>
        </w:rPr>
        <w:t>These contracts are not subject to adjustment by reason of costs incurred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of the contract. With this type of contract, we assume the risk that we will not be able to perform at a cost below the fixed-price, except for costs incurred because of contract changes ordered by the customer. Upon the U.S. government’s termination of a fixed-price contract, generally we would be entitled to payment for items delivered to and accepted by the U.S. government and, if the termination is at the U.S. government’s convenience, for payment of fair compensation for work performed plus the costs of settling and paying claims by any terminated subcontractors, other settlement expenses and a reasonable allowance for profit on the costs incurred.</w:t>
      </w:r>
    </w:p>
    <w:p>
      <w:pPr>
        <w:spacing w:after="0" w:line="185" w:lineRule="exact"/>
        <w:rPr>
          <w:sz w:val="20"/>
          <w:szCs w:val="20"/>
          <w:color w:val="auto"/>
        </w:rPr>
      </w:pPr>
    </w:p>
    <w:p>
      <w:pPr>
        <w:ind w:left="1340" w:right="5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Reimbursable. </w:t>
      </w:r>
      <w:r>
        <w:rPr>
          <w:rFonts w:ascii="Times New Roman" w:cs="Times New Roman" w:eastAsia="Times New Roman" w:hAnsi="Times New Roman"/>
          <w:sz w:val="18"/>
          <w:szCs w:val="18"/>
          <w:color w:val="auto"/>
        </w:rPr>
        <w:t>Cost reimbursable contracts include cost-plus-fixed fee contracts, cost-plus-award fee contracts and cost-plus-incentive fee contracts, each of which are described below. Under each type of contract, we assume the risk that we may not be able to recover costs if they are not allowable under the contract terms or applicable regulations, or if the costs exceed the contract funding.</w:t>
      </w:r>
    </w:p>
    <w:p>
      <w:pPr>
        <w:spacing w:after="0" w:line="180" w:lineRule="exact"/>
        <w:rPr>
          <w:sz w:val="20"/>
          <w:szCs w:val="20"/>
          <w:color w:val="auto"/>
        </w:rPr>
      </w:pPr>
    </w:p>
    <w:p>
      <w:pPr>
        <w:ind w:left="2340" w:right="119" w:hanging="319"/>
        <w:spacing w:after="0" w:line="256" w:lineRule="auto"/>
        <w:tabs>
          <w:tab w:leader="none" w:pos="2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Cost-plus-fixed fee contracts are cost reimbursable contracts that provide for payment of a negotiated fee that is fixed at the inception of the contract. This fixed fee does not vary with actual cost of the contract but may be adjusted as a result of changes in the work to be performed under the contract. This contract type poses less risk of loss than a fixed-price contract, but our ability to win future contracts from the procuring agency may be adversely affected if we fail to perform within the maximum cost set forth in the contract.</w:t>
      </w:r>
    </w:p>
    <w:p>
      <w:pPr>
        <w:spacing w:after="0" w:line="187" w:lineRule="exact"/>
        <w:rPr>
          <w:rFonts w:ascii="Times New Roman" w:cs="Times New Roman" w:eastAsia="Times New Roman" w:hAnsi="Times New Roman"/>
          <w:sz w:val="18"/>
          <w:szCs w:val="18"/>
          <w:color w:val="auto"/>
        </w:rPr>
      </w:pPr>
    </w:p>
    <w:p>
      <w:pPr>
        <w:ind w:left="2340" w:right="199" w:hanging="319"/>
        <w:spacing w:after="0" w:line="258" w:lineRule="auto"/>
        <w:tabs>
          <w:tab w:leader="none" w:pos="2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cost-plus-award fee contract is a cost reimbursable contract that provides for a fee consisting of a base amount, which may be zero, fixed at inception of the contract and an award amount, based upon the government’s satisfaction with the performance under the contract. With this type of contract, we assume the risk that we may not receive the award fee, or only a portion of it, if we do not perform satisfactorily.</w:t>
      </w:r>
    </w:p>
    <w:p>
      <w:pPr>
        <w:spacing w:after="0" w:line="183" w:lineRule="exact"/>
        <w:rPr>
          <w:rFonts w:ascii="Times New Roman" w:cs="Times New Roman" w:eastAsia="Times New Roman" w:hAnsi="Times New Roman"/>
          <w:sz w:val="18"/>
          <w:szCs w:val="18"/>
          <w:color w:val="auto"/>
        </w:rPr>
      </w:pPr>
    </w:p>
    <w:p>
      <w:pPr>
        <w:ind w:left="2340" w:right="279" w:hanging="319"/>
        <w:spacing w:after="0" w:line="266" w:lineRule="auto"/>
        <w:tabs>
          <w:tab w:leader="none" w:pos="2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cost-plus-incentive fee contract is a cost reimbursable contract that provides for an initially negotiated fee to be adjusted later by a formula based on the relationship of total allowable costs to total target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340" w:right="219" w:firstLine="648"/>
        <w:spacing w:after="0" w:line="258" w:lineRule="auto"/>
        <w:rPr>
          <w:sz w:val="20"/>
          <w:szCs w:val="20"/>
          <w:color w:val="auto"/>
        </w:rPr>
      </w:pPr>
      <w:r>
        <w:rPr>
          <w:rFonts w:ascii="Times New Roman" w:cs="Times New Roman" w:eastAsia="Times New Roman" w:hAnsi="Times New Roman"/>
          <w:sz w:val="18"/>
          <w:szCs w:val="18"/>
          <w:color w:val="auto"/>
        </w:rPr>
        <w:t>We typically experience lower profit margins and lower risk under cost reimbursable contracts than under fixed-price contracts. Upon the termination of a cost reimbursable contract, generally we would be entitled to reimbursement of our allowable costs and, if the termination is at the U.S. government’s convenience, a total fee proportionate to the percentage of work completed under the contract.</w:t>
      </w:r>
    </w:p>
    <w:p>
      <w:pPr>
        <w:spacing w:after="0" w:line="179" w:lineRule="exact"/>
        <w:rPr>
          <w:sz w:val="20"/>
          <w:szCs w:val="20"/>
          <w:color w:val="auto"/>
        </w:rPr>
      </w:pPr>
    </w:p>
    <w:p>
      <w:pPr>
        <w:ind w:left="1340" w:right="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Time-and-Materials. </w:t>
      </w:r>
      <w:r>
        <w:rPr>
          <w:rFonts w:ascii="Times New Roman" w:cs="Times New Roman" w:eastAsia="Times New Roman" w:hAnsi="Times New Roman"/>
          <w:sz w:val="18"/>
          <w:szCs w:val="18"/>
          <w:color w:val="auto"/>
        </w:rPr>
        <w:t>Under a time-and-materials contract, our compensation is based on a fixed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hourly rate established for specified labor or skill categories. We are paid at the established hourly rates for the hours we expend performing the work specified in the contract. Labor costs, overhead, general and administrative costs and profit are included in the fixed hourly rate. Materials, subcontractors, travel and other direct costs are reimbursed at actual costs plus an amount for material handling. We make critical pricing assumptions and decisions when developing and proposing time-and-materials labor rates. We risk reduced profitability if our actual costs exceed the costs incorporated into the fixed hourly labor rate. One variation of a standard time-and-materials contract is a time-and-materials, award fee contract. Under this type of contract, a positive or negative incentive can be earned based on achievement against specific performance metrics.</w:t>
      </w:r>
    </w:p>
    <w:p>
      <w:pPr>
        <w:spacing w:after="0" w:line="185" w:lineRule="exact"/>
        <w:rPr>
          <w:sz w:val="20"/>
          <w:szCs w:val="20"/>
          <w:color w:val="auto"/>
        </w:rPr>
      </w:pPr>
    </w:p>
    <w:p>
      <w:pPr>
        <w:ind w:left="1340" w:right="13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Indefinite Delivery Indefinite Quantity (“IDIQ”) Contract Form. </w:t>
      </w:r>
      <w:r>
        <w:rPr>
          <w:rFonts w:ascii="Times New Roman" w:cs="Times New Roman" w:eastAsia="Times New Roman" w:hAnsi="Times New Roman"/>
          <w:sz w:val="18"/>
          <w:szCs w:val="18"/>
          <w:color w:val="auto"/>
        </w:rPr>
        <w:t>The U.S. government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frequently uses IDIQ contracts and IDIQ-type contract forms, such as cost reimbursable and fixed price contracts with multiple one-year options, to obtain fixed-price, cost reimbursable and time-and-materials contractual commitments to provide products or services over a period of time pursuant to established general terms and conditions. At the time of the award of an IDIQ contract or IDIQ-type contract, the U.S. government generally commits to purchase only a minimal amount of products or services from the contractor to whom such contract is awarded.</w:t>
      </w:r>
    </w:p>
    <w:p>
      <w:pPr>
        <w:spacing w:after="0" w:line="187" w:lineRule="exact"/>
        <w:rPr>
          <w:sz w:val="20"/>
          <w:szCs w:val="20"/>
          <w:color w:val="auto"/>
        </w:rPr>
      </w:pPr>
    </w:p>
    <w:p>
      <w:pPr>
        <w:ind w:left="1340" w:right="179" w:firstLine="648"/>
        <w:spacing w:after="0" w:line="258" w:lineRule="auto"/>
        <w:rPr>
          <w:sz w:val="20"/>
          <w:szCs w:val="20"/>
          <w:color w:val="auto"/>
        </w:rPr>
      </w:pPr>
      <w:r>
        <w:rPr>
          <w:rFonts w:ascii="Times New Roman" w:cs="Times New Roman" w:eastAsia="Times New Roman" w:hAnsi="Times New Roman"/>
          <w:sz w:val="18"/>
          <w:szCs w:val="18"/>
          <w:color w:val="auto"/>
        </w:rPr>
        <w:t>After award of an IDIQ contract the U.S. government may issue task or delivery orders for specific services or products it needs. The competitive process to obtain task orders under an award contract is limited to the pre-selected contractors. If an IDIQ contract has a single prime contractor, then the award of task orders is limited to that contractor. If the contract has multiple prime contractors, then the award of the task order is competitively determined among only those prime contractors.</w:t>
      </w:r>
    </w:p>
    <w:p>
      <w:pPr>
        <w:spacing w:after="0" w:line="183" w:lineRule="exact"/>
        <w:rPr>
          <w:sz w:val="20"/>
          <w:szCs w:val="20"/>
          <w:color w:val="auto"/>
        </w:rPr>
      </w:pPr>
    </w:p>
    <w:p>
      <w:pPr>
        <w:jc w:val="both"/>
        <w:ind w:left="1340" w:right="339" w:firstLine="648"/>
        <w:spacing w:after="0" w:line="266" w:lineRule="auto"/>
        <w:rPr>
          <w:sz w:val="20"/>
          <w:szCs w:val="20"/>
          <w:color w:val="auto"/>
        </w:rPr>
      </w:pPr>
      <w:r>
        <w:rPr>
          <w:rFonts w:ascii="Times New Roman" w:cs="Times New Roman" w:eastAsia="Times New Roman" w:hAnsi="Times New Roman"/>
          <w:sz w:val="18"/>
          <w:szCs w:val="18"/>
          <w:color w:val="auto"/>
        </w:rPr>
        <w:t>IDIQ and IDIQ-type contracts typically have multi-year terms and unfunded ceiling amounts that enable, but do not commit, the U.S. government to purchase substantial amounts of products and services from one or more contractors.</w:t>
      </w:r>
    </w:p>
    <w:p>
      <w:pPr>
        <w:spacing w:after="0" w:line="172" w:lineRule="exact"/>
        <w:rPr>
          <w:sz w:val="20"/>
          <w:szCs w:val="20"/>
          <w:color w:val="auto"/>
        </w:rPr>
      </w:pPr>
    </w:p>
    <w:p>
      <w:pPr>
        <w:ind w:left="1340" w:right="9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Undefinitized Contractual Actions (“UCA”). </w:t>
      </w:r>
      <w:r>
        <w:rPr>
          <w:rFonts w:ascii="Times New Roman" w:cs="Times New Roman" w:eastAsia="Times New Roman" w:hAnsi="Times New Roman"/>
          <w:sz w:val="18"/>
          <w:szCs w:val="18"/>
          <w:color w:val="auto"/>
        </w:rPr>
        <w:t>UCAs are generally considered “Letter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Contracts”, Basic Ordering Agreements, and Provisional Item Orders, all of which allow for the contractor to immediately begin performing services and/or manufacturing products. Under a UCA, the contract terms, specifications, or prices have not been agreed to between the government and contractor prior to performance on the contract. During the undefinitized period the government will reimburse the contractor for costs incurred. Definitization of the UCA typically occurs 180 days after the issuance of the award or when costs incurred is equal to more than 50% of the not-to-exceed price, whichever occurs first. In accordance with Defense Federal Acquisition Regulation Supplement 215.404-71, the Contracting Officer will use “weighted guidelines” for determination of profit/fee.</w:t>
      </w:r>
    </w:p>
    <w:p>
      <w:pPr>
        <w:spacing w:after="0" w:line="188" w:lineRule="exact"/>
        <w:rPr>
          <w:sz w:val="20"/>
          <w:szCs w:val="20"/>
          <w:color w:val="auto"/>
        </w:rPr>
      </w:pPr>
    </w:p>
    <w:p>
      <w:pPr>
        <w:ind w:left="1340" w:right="79"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Unpriced Change Order (“UCO”). </w:t>
      </w:r>
      <w:r>
        <w:rPr>
          <w:rFonts w:ascii="Times New Roman" w:cs="Times New Roman" w:eastAsia="Times New Roman" w:hAnsi="Times New Roman"/>
          <w:sz w:val="18"/>
          <w:szCs w:val="18"/>
          <w:color w:val="auto"/>
        </w:rPr>
        <w:t>UCOs are categorized as unpriced contract actions that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unilateral changes within the scope of a contract where the government and contractor have not reached an agreement on terms, specifications, and prices. This type of change order allows the project to continue without delay while the contractor and government negotiate final terms, specifications, and prices. Interim funding or a not-to-exceed amount are established to cover the contractor’s costs incurred. The existing contract is formally modified to include an agreed-upon price and other adjustments related to the change order.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1340" w:right="15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Transaction Authority (“OTA”). </w:t>
      </w:r>
      <w:r>
        <w:rPr>
          <w:rFonts w:ascii="Times New Roman" w:cs="Times New Roman" w:eastAsia="Times New Roman" w:hAnsi="Times New Roman"/>
          <w:sz w:val="18"/>
          <w:szCs w:val="18"/>
          <w:color w:val="auto"/>
        </w:rPr>
        <w:t>OTAs are legally binding instruments that are used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engage with non-traditional defense contractors and to facilitate the rapid development and deployment of innovative technologies. Unlike traditional government contracts, OTAs are not subject to the Federal Acquisition Regulation (FAR), providing greater flexibility in terms and conditions.</w:t>
      </w:r>
    </w:p>
    <w:p>
      <w:pPr>
        <w:spacing w:after="0" w:line="17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i w:val="1"/>
          <w:iCs w:val="1"/>
          <w:color w:val="auto"/>
        </w:rPr>
        <w:t>International Contracting Process</w:t>
      </w:r>
    </w:p>
    <w:p>
      <w:pPr>
        <w:spacing w:after="0" w:line="229" w:lineRule="exact"/>
        <w:rPr>
          <w:sz w:val="20"/>
          <w:szCs w:val="20"/>
          <w:color w:val="auto"/>
        </w:rPr>
      </w:pPr>
    </w:p>
    <w:p>
      <w:pPr>
        <w:ind w:left="60" w:right="259" w:firstLine="648"/>
        <w:spacing w:after="0" w:line="289" w:lineRule="auto"/>
        <w:rPr>
          <w:sz w:val="20"/>
          <w:szCs w:val="20"/>
          <w:color w:val="auto"/>
        </w:rPr>
      </w:pPr>
      <w:r>
        <w:rPr>
          <w:rFonts w:ascii="Times New Roman" w:cs="Times New Roman" w:eastAsia="Times New Roman" w:hAnsi="Times New Roman"/>
          <w:sz w:val="17"/>
          <w:szCs w:val="17"/>
          <w:color w:val="auto"/>
        </w:rPr>
        <w:t>We supply our UxS, LMS and MW products and services to international allied governments. Certain important aspects of our international contracts are described below. Each international customer has its own laws, regulations, bureaucracy and forms of procurement agreements that present challenges in our international contracting process.</w:t>
      </w:r>
    </w:p>
    <w:p>
      <w:pPr>
        <w:spacing w:after="0" w:line="15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i w:val="1"/>
          <w:iCs w:val="1"/>
          <w:color w:val="auto"/>
        </w:rPr>
        <w:t>Bidding Process</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Our international contracts generally result from a competitive bidding process and, to a lesser extent, sole source awards for urgent requirements or sustainment, and they typically begin with the receipt of a request for proposal, information or quotation from an international government procurement agency. Numerous of our technical and administrative personnel are involved in responding to such request.</w:t>
      </w:r>
    </w:p>
    <w:p>
      <w:pPr>
        <w:spacing w:after="0" w:line="180" w:lineRule="exact"/>
        <w:rPr>
          <w:sz w:val="20"/>
          <w:szCs w:val="20"/>
          <w:color w:val="auto"/>
        </w:rPr>
      </w:pPr>
    </w:p>
    <w:p>
      <w:pPr>
        <w:ind w:left="60" w:right="159" w:firstLine="648"/>
        <w:spacing w:after="0" w:line="273" w:lineRule="auto"/>
        <w:rPr>
          <w:sz w:val="20"/>
          <w:szCs w:val="20"/>
          <w:color w:val="auto"/>
        </w:rPr>
      </w:pPr>
      <w:r>
        <w:rPr>
          <w:rFonts w:ascii="Times New Roman" w:cs="Times New Roman" w:eastAsia="Times New Roman" w:hAnsi="Times New Roman"/>
          <w:sz w:val="17"/>
          <w:szCs w:val="17"/>
          <w:color w:val="auto"/>
        </w:rPr>
        <w:t>Competitive bid contracts are awarded after a formal bid and proposal competition among providers. Interested contractors prepare a bid and proposal in response to a procurement agency’s request for proposal or request for information, which proposals are then reviewed by the applicable procurement agency based on the established evaluation criteria for the proposal. Following award, competitive bid contracts may be challenged by unsuccessful bidders. International competitive bidding processes are highly competitive and sometimes we face disadvantages in the bidding and evaluation process in comparison to local, domestic bidders that may receive priority or more favorable evaluations than non-domestic suppliers due to stated requirements in the local regulations that promote domestic procurements.</w:t>
      </w:r>
    </w:p>
    <w:p>
      <w:pPr>
        <w:spacing w:after="0" w:line="171"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Sole source awards are direct engagements with the procuring agency. Contractors receive requests for proposal or quotation and respond to such a request. If accepted by the customer, the resulting contract is for a defined quantity of goods or services for a specific time period. Generally sole source awards are utilized by our existing customers to sustain or augment their use of our products, commonly through multi-year support agreements. These agreements allow for customer logistics organizations to tailor procurement and support efforts to the needs of the end users.</w:t>
      </w:r>
    </w:p>
    <w:p>
      <w:pPr>
        <w:spacing w:after="0" w:line="17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i w:val="1"/>
          <w:iCs w:val="1"/>
          <w:color w:val="auto"/>
        </w:rPr>
        <w:t>Funding</w:t>
      </w:r>
    </w:p>
    <w:p>
      <w:pPr>
        <w:spacing w:after="0" w:line="229"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International customers have individualized funding processes that are generally allocated during the applicable country’s fiscal year. Funding may be broadly allocated to a governmental agency or military branch responsible for procurement, targeted for a specific purpose like uncrewed systems, or earmarked to a specific requirement for our products. Funding allocations are typically confidential, making it challenging for us to forecast demand for our products or when/whether funding is available. In addition, funding may be reallocated when higher needs arise, such as what occurred during the COVID-19 pandemic when many countries shifted defense funding to measures addressing the pandemic. Forecasted requirements are then delayed until the next fiscal year or are cancelled entirely.</w:t>
      </w:r>
    </w:p>
    <w:p>
      <w:pPr>
        <w:spacing w:after="0" w:line="18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Competitive bidding opportunities for our products and services typically have budgets and timelines which require significant investment from the customer. Initial procurement or replacement programs for our products and services may not be considered necessities for some international customers, which makes such procurements susceptible to a reduction in available funding or a complete reallocation of funds to other government programs or initiatives. When funds are reduced, it is common for the reduced funds to be utilized to support the sustainment of the customer’s existing UAS, rather than for new procurements.</w:t>
      </w:r>
    </w:p>
    <w:p>
      <w:pPr>
        <w:spacing w:after="0" w:line="187"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Many of our international customers have established fleets of our UAS, which generally allows them to seek and obtain budget for yearly incremental allocations of funding. These allocations are contracted through existing multi-</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year support agreements which provide the customer flexibility to procure products and services when funding is available.</w:t>
      </w:r>
    </w:p>
    <w:p>
      <w:pPr>
        <w:spacing w:after="0" w:line="2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i w:val="1"/>
          <w:iCs w:val="1"/>
          <w:color w:val="auto"/>
        </w:rPr>
        <w:t>Contract Types and Provisions</w:t>
      </w:r>
    </w:p>
    <w:p>
      <w:pPr>
        <w:spacing w:after="0" w:line="229" w:lineRule="exact"/>
        <w:rPr>
          <w:sz w:val="20"/>
          <w:szCs w:val="20"/>
          <w:color w:val="auto"/>
        </w:rPr>
      </w:pPr>
    </w:p>
    <w:p>
      <w:pPr>
        <w:ind w:left="60" w:right="139" w:firstLine="648"/>
        <w:spacing w:after="0" w:line="289" w:lineRule="auto"/>
        <w:rPr>
          <w:sz w:val="20"/>
          <w:szCs w:val="20"/>
          <w:color w:val="auto"/>
        </w:rPr>
      </w:pPr>
      <w:r>
        <w:rPr>
          <w:rFonts w:ascii="Times New Roman" w:cs="Times New Roman" w:eastAsia="Times New Roman" w:hAnsi="Times New Roman"/>
          <w:sz w:val="17"/>
          <w:szCs w:val="17"/>
          <w:color w:val="auto"/>
        </w:rPr>
        <w:t>Our typical international customer contracts take the form of fixed price contracts and time and materials contracts. Most of our international contracts are fixed-price contracts as their finite nature is desired by customers. Time-and-materials contracts are more common for our service work with a defined limit on funding and period of performance.</w:t>
      </w:r>
    </w:p>
    <w:p>
      <w:pPr>
        <w:spacing w:after="0" w:line="158"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With a wide range of international customers, it is common for our customer contracts to contain customer advantageous provisions which are governed by applicable local laws and regulations that may differ from industry standard provisions and contracting norms in the United States. The contractual provisions may, among other things, result in more difficulties enforcing such agreements and collecting receivables and provide us with fewer remedies in a contractual dispute and lesser protections for our intellectual property. We assess the unique risks for each contract on a contract-by-contract basis. We use and require banking guarantees and/or advance payments to minimize risk.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 description of the risks and uncertainties associated with our business is set forth below. You should carefully consider such risks and uncertainties, together with the other information contained in this report and in our other public filings before investing in our common stock. If any of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In addition, if any of the following risks and uncertainties, or if any other risks and uncertainties, actually occurs, our business, financial condition or operating results could be harmed substantially, which could cause the market price of our stock to decline, perhaps significantly.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risks and uncertainties that could cause our business, financial condition or operating results to be harmed. We encourage you to carefully review the full risk factors contained in this report in their entirety for additional information regarding these risks and uncertainties.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Risks Related to Our Business and Industry</w:t>
      </w:r>
    </w:p>
    <w:p>
      <w:pPr>
        <w:spacing w:after="0" w:line="227" w:lineRule="exact"/>
        <w:rPr>
          <w:sz w:val="20"/>
          <w:szCs w:val="20"/>
          <w:color w:val="auto"/>
        </w:rPr>
      </w:pPr>
    </w:p>
    <w:p>
      <w:pPr>
        <w:ind w:left="1040" w:right="199" w:hanging="315"/>
        <w:spacing w:after="0" w:line="261"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on sales to certain customers, including the U.S. government, particularly to agencies of the DoD.</w:t>
      </w:r>
    </w:p>
    <w:p>
      <w:pPr>
        <w:ind w:left="1040" w:right="99" w:hanging="315"/>
        <w:spacing w:after="0" w:line="250"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U.S. and other government budgets, changes in spending or budgetary priorities, or delays in contract awards may significantly and adversely affect our future revenue.</w:t>
      </w:r>
    </w:p>
    <w:p>
      <w:pPr>
        <w:ind w:left="1040" w:right="239" w:hanging="315"/>
        <w:spacing w:after="0" w:line="250"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Military transformation and changes in overseas operational levels may affect future procurement priorities and existing programs, which could limit demand for our UxS and LMS.</w:t>
      </w:r>
    </w:p>
    <w:p>
      <w:pPr>
        <w:ind w:left="1040" w:right="139" w:hanging="315"/>
        <w:spacing w:after="0" w:line="250"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markets for UxS and LMS do not experience significant growth, if we cannot expand our customer base or if our products and services do not achieve broad acceptance, then we may not be able to achieve our anticipated level of growth.</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business poses potentially greater risks than our domestic business.</w:t>
      </w:r>
    </w:p>
    <w:p>
      <w:pPr>
        <w:spacing w:after="0" w:line="9" w:lineRule="exact"/>
        <w:rPr>
          <w:rFonts w:ascii="Times New Roman" w:cs="Times New Roman" w:eastAsia="Times New Roman" w:hAnsi="Times New Roman"/>
          <w:sz w:val="18"/>
          <w:szCs w:val="18"/>
          <w:color w:val="auto"/>
        </w:rPr>
      </w:pPr>
    </w:p>
    <w:p>
      <w:pPr>
        <w:ind w:left="1040" w:right="479" w:hanging="315"/>
        <w:spacing w:after="0" w:line="250"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compete are characterized by rapid technological change, which requires us to develop new products and product enhancements, and could render our existing products obsolete.</w:t>
      </w:r>
    </w:p>
    <w:p>
      <w:pPr>
        <w:ind w:left="1040" w:right="79" w:hanging="315"/>
        <w:spacing w:after="0" w:line="250"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substantial R&amp;D costs and devote significant resources to identifying and commercializing new products and services, which could significantly reduce our profitability and may never result in revenue to us.</w:t>
      </w:r>
    </w:p>
    <w:p>
      <w:pPr>
        <w:spacing w:after="0" w:line="1" w:lineRule="exact"/>
        <w:rPr>
          <w:rFonts w:ascii="Times New Roman" w:cs="Times New Roman" w:eastAsia="Times New Roman" w:hAnsi="Times New Roman"/>
          <w:sz w:val="18"/>
          <w:szCs w:val="18"/>
          <w:color w:val="auto"/>
        </w:rPr>
      </w:pPr>
    </w:p>
    <w:p>
      <w:pPr>
        <w:ind w:left="1040" w:right="379" w:hanging="315"/>
        <w:spacing w:after="0" w:line="260"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services are complex and could have unknown defects or errors, which may give rise to claims against us, diminish our brand or divert our resources from other purposes.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99" w:hanging="315"/>
        <w:spacing w:after="0" w:line="257"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w:t>
      </w:r>
    </w:p>
    <w:p>
      <w:pPr>
        <w:spacing w:after="0" w:line="1"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stay competitive within our markets may be dependent upon increasing manufacturing capacity to support anticipated growth and achieving cost reductions and projected economies of scale from increasing manufacturing quantities of our products. Failing to adequately increase production capacity and achieve such reductions in manufacturing costs and projected economies of scale could materially adversely affect our business.</w:t>
      </w:r>
    </w:p>
    <w:p>
      <w:pPr>
        <w:spacing w:after="0" w:line="1" w:lineRule="exact"/>
        <w:rPr>
          <w:rFonts w:ascii="Times New Roman" w:cs="Times New Roman" w:eastAsia="Times New Roman" w:hAnsi="Times New Roman"/>
          <w:sz w:val="18"/>
          <w:szCs w:val="18"/>
          <w:color w:val="auto"/>
        </w:rPr>
      </w:pPr>
    </w:p>
    <w:p>
      <w:pPr>
        <w:ind w:left="1040" w:right="9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risks in the management of our inventory, and failure to effectively manage our inventory levels may result in supply imbalances that could harm our business.</w:t>
      </w:r>
    </w:p>
    <w:p>
      <w:pPr>
        <w:ind w:left="1040" w:right="21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1"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UAS in urban environments may be subject to risks, such as accidental collisions and transmission interference, which may limit demand for our UAS in such environments and harm our business and operating results.</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Shortfalls in available external R&amp;D funding could adversely affect us.</w:t>
      </w:r>
    </w:p>
    <w:p>
      <w:pPr>
        <w:spacing w:after="0" w:line="9" w:lineRule="exact"/>
        <w:rPr>
          <w:rFonts w:ascii="Times New Roman" w:cs="Times New Roman" w:eastAsia="Times New Roman" w:hAnsi="Times New Roman"/>
          <w:sz w:val="18"/>
          <w:szCs w:val="18"/>
          <w:color w:val="auto"/>
        </w:rPr>
      </w:pPr>
    </w:p>
    <w:p>
      <w:pPr>
        <w:ind w:left="1040" w:right="259" w:hanging="315"/>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access to our, our customers’ and/or our suppliers’ information and systems could negatively impact our business.</w:t>
      </w: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work for the U.S. government and international governments may expose us to increased security risks.</w:t>
      </w:r>
    </w:p>
    <w:p>
      <w:pPr>
        <w:spacing w:after="0" w:line="9" w:lineRule="exact"/>
        <w:rPr>
          <w:rFonts w:ascii="Times New Roman" w:cs="Times New Roman" w:eastAsia="Times New Roman" w:hAnsi="Times New Roman"/>
          <w:sz w:val="18"/>
          <w:szCs w:val="18"/>
          <w:color w:val="auto"/>
        </w:rPr>
      </w:pPr>
    </w:p>
    <w:p>
      <w:pPr>
        <w:ind w:left="1040" w:right="199" w:hanging="315"/>
        <w:spacing w:after="0" w:line="26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could be difficult to integrate, divert the attention of key personnel, disrupt our business, dilute stockholder value and impair our financial results.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Risks Related to Our U.S. Government Contracts</w:t>
      </w:r>
    </w:p>
    <w:p>
      <w:pPr>
        <w:spacing w:after="0" w:line="227" w:lineRule="exact"/>
        <w:rPr>
          <w:sz w:val="20"/>
          <w:szCs w:val="20"/>
          <w:color w:val="auto"/>
        </w:rPr>
      </w:pPr>
    </w:p>
    <w:p>
      <w:pPr>
        <w:ind w:left="1040" w:right="339" w:hanging="315"/>
        <w:spacing w:after="0" w:line="261"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presently classified as a small business defense contractor and the loss of our small business status may adversely affect our ability to compete for small business set aside US government contracts.</w:t>
      </w:r>
    </w:p>
    <w:p>
      <w:pPr>
        <w:ind w:left="1040" w:right="419" w:hanging="315"/>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 and our failure to comply with applicable regulations could subject us to penalties that may restrict our ability to conduct our business.</w:t>
      </w:r>
    </w:p>
    <w:p>
      <w:pPr>
        <w:ind w:left="1040" w:hanging="315"/>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a negative audit or investigation by the U.S. government.</w:t>
      </w:r>
    </w:p>
    <w:p>
      <w:pPr>
        <w:spacing w:after="0" w:line="9" w:lineRule="exact"/>
        <w:rPr>
          <w:rFonts w:ascii="Times New Roman" w:cs="Times New Roman" w:eastAsia="Times New Roman" w:hAnsi="Times New Roman"/>
          <w:sz w:val="18"/>
          <w:szCs w:val="18"/>
          <w:color w:val="auto"/>
        </w:rPr>
      </w:pPr>
    </w:p>
    <w:p>
      <w:pPr>
        <w:ind w:left="1040" w:right="139" w:hanging="315"/>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contracts with the U.S. government allow it to use inventions developed under the contracts and to disclose technical data to third parties, which could harm our ability to compete.</w:t>
      </w:r>
    </w:p>
    <w:p>
      <w:pPr>
        <w:ind w:left="1040" w:right="139" w:hanging="315"/>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contracts are generally not fully funded at inception, contain certain provisions that may be unfavorable to us and may be undefinitized at the time of the start of performance, which could prevent us from realizing our contract backlog and materially harm our business and results of operations.</w:t>
      </w:r>
    </w:p>
    <w:p>
      <w:pPr>
        <w:spacing w:after="0" w:line="1" w:lineRule="exact"/>
        <w:rPr>
          <w:rFonts w:ascii="Times New Roman" w:cs="Times New Roman" w:eastAsia="Times New Roman" w:hAnsi="Times New Roman"/>
          <w:sz w:val="18"/>
          <w:szCs w:val="18"/>
          <w:color w:val="auto"/>
        </w:rPr>
      </w:pPr>
    </w:p>
    <w:p>
      <w:pPr>
        <w:ind w:left="1040" w:right="759" w:hanging="315"/>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contracts are subject to a competitive bidding process that can consume significant resources without generating any revenue.</w:t>
      </w:r>
    </w:p>
    <w:p>
      <w:pPr>
        <w:ind w:left="1040" w:right="239" w:hanging="315"/>
        <w:spacing w:after="0" w:line="26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procurement rules and regulations, which increase our performance and compliance costs under our U.S. government contracts.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Risks Related to Legal and Regulatory Requirements</w:t>
      </w:r>
    </w:p>
    <w:p>
      <w:pPr>
        <w:spacing w:after="0" w:line="227" w:lineRule="exact"/>
        <w:rPr>
          <w:sz w:val="20"/>
          <w:szCs w:val="20"/>
          <w:color w:val="auto"/>
        </w:rPr>
      </w:pPr>
    </w:p>
    <w:p>
      <w:pPr>
        <w:ind w:left="1040" w:right="299" w:hanging="315"/>
        <w:spacing w:after="0" w:line="255"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prohibited from shipping our products to certain countries if we are unable to obtain U.S. government authorization regarding the export of our products and services, or if current or future export laws limit or otherwise restrict our business. In addition, failure to comply with export laws could result in fines, export restrictions and other sanctions and penalties.</w:t>
      </w:r>
    </w:p>
    <w:p>
      <w:pPr>
        <w:spacing w:after="0" w:line="2" w:lineRule="exact"/>
        <w:rPr>
          <w:rFonts w:ascii="Times New Roman" w:cs="Times New Roman" w:eastAsia="Times New Roman" w:hAnsi="Times New Roman"/>
          <w:sz w:val="18"/>
          <w:szCs w:val="18"/>
          <w:color w:val="auto"/>
        </w:rPr>
      </w:pPr>
    </w:p>
    <w:p>
      <w:pPr>
        <w:ind w:left="1040" w:right="99" w:hanging="315"/>
        <w:spacing w:after="0" w:line="250"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necessary regulatory approvals from the FAA or other governmental agencies, or limitations put on the use of SUAS and MUAS in response to public privacy concerns, may prevent us from expanding the sales of our SUAS and MUAS to non-military customers in the United States.</w:t>
      </w:r>
    </w:p>
    <w:p>
      <w:pPr>
        <w:spacing w:after="0" w:line="1" w:lineRule="exact"/>
        <w:rPr>
          <w:rFonts w:ascii="Times New Roman" w:cs="Times New Roman" w:eastAsia="Times New Roman" w:hAnsi="Times New Roman"/>
          <w:sz w:val="18"/>
          <w:szCs w:val="18"/>
          <w:color w:val="auto"/>
        </w:rPr>
      </w:pPr>
    </w:p>
    <w:p>
      <w:pPr>
        <w:ind w:left="1040" w:right="79" w:hanging="315"/>
        <w:spacing w:after="0" w:line="255"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dependent upon our employees obtaining and maintaining required security clearances, as well as our ability to obtain security clearances for the facilities in which we perform sensitive government work.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57"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pending legal proceedings that may disrupt our business, cause us to incur substantial costs, expose us to significant legal liabilities and could have a material adverse impact on our financial performance.</w:t>
      </w:r>
    </w:p>
    <w:p>
      <w:pPr>
        <w:spacing w:after="0" w:line="1" w:lineRule="exact"/>
        <w:rPr>
          <w:rFonts w:ascii="Times New Roman" w:cs="Times New Roman" w:eastAsia="Times New Roman" w:hAnsi="Times New Roman"/>
          <w:sz w:val="18"/>
          <w:szCs w:val="18"/>
          <w:color w:val="auto"/>
        </w:rPr>
      </w:pPr>
    </w:p>
    <w:p>
      <w:pPr>
        <w:ind w:left="1040" w:right="299" w:hanging="315"/>
        <w:spacing w:after="0" w:line="253"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federal, state and international laws regarding data protection, privacy, and information security, as well as confidentiality obligations under various agreements, and our actual or perceived failure to comply with such obligations could damage our reputation, expose us to litigation risk and adversely affect our business and operating results.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Risks Related to Our Intellectual Property</w:t>
      </w:r>
    </w:p>
    <w:p>
      <w:pPr>
        <w:spacing w:after="0" w:line="227" w:lineRule="exact"/>
        <w:rPr>
          <w:sz w:val="20"/>
          <w:szCs w:val="20"/>
          <w:color w:val="auto"/>
        </w:rPr>
      </w:pPr>
    </w:p>
    <w:p>
      <w:pPr>
        <w:ind w:left="1040" w:right="339" w:hanging="315"/>
        <w:spacing w:after="0" w:line="261"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protect, or incur significant costs in defending or enforcing our intellectual property and other proprietary rights, our business, financial condition and results of operations could be materially harmed.</w:t>
      </w:r>
    </w:p>
    <w:p>
      <w:pPr>
        <w:ind w:left="1040" w:right="299" w:hanging="315"/>
        <w:spacing w:after="0" w:line="260"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sued by third parties for alleged infringement of their proprietary rights, which could be costly, time consuming and limit our ability to use certain technologies in the future.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Risks Related to Securities Markets and Investment in Our Stock</w:t>
      </w:r>
    </w:p>
    <w:p>
      <w:pPr>
        <w:spacing w:after="0" w:line="227" w:lineRule="exact"/>
        <w:rPr>
          <w:sz w:val="20"/>
          <w:szCs w:val="20"/>
          <w:color w:val="auto"/>
        </w:rPr>
      </w:pPr>
    </w:p>
    <w:p>
      <w:pPr>
        <w:ind w:left="1040" w:right="139" w:hanging="315"/>
        <w:spacing w:after="0" w:line="261"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and maintain effective internal control over financial reporting could adversely affect our financial results.</w:t>
      </w:r>
    </w:p>
    <w:p>
      <w:pPr>
        <w:ind w:left="1040" w:right="99" w:hanging="315"/>
        <w:spacing w:after="0" w:line="255"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law and anti-takeover provisions in our organizational documents may discourage our acquisition by a third party, which could make it more difficult to acquire us and limit your ability to sell your shares at a premium.</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rely heavily on sales to certain customers, including the U.S. government, particularly to agencies of the DoD.</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Historically, we have derived a significant portion of our total sales and our SUAS and LMS sales from the U.S.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government and its agencies. Sales to the U.S. government, either as a prime contractor or subcontractor and inclusive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foreign military sales, represented approximately 76% of our revenue for the fiscal year ended April 30, 2024. The DoD,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principal U.S. government customer, accounted for approximately 28% of our revenue for the fiscal year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April 30, 2024. We believe that the success and growth of our business for the foreseeable future will continue to depend to</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significant degree on our ability to win government contracts, in particular from the DoD. Many of our government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customers are subject to budgetary constraints and our continued performance under these contracts, or award of additional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contracts from these agencies, could be jeopardized by spending reductions or budget cutbacks at these agencies.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funding of U.S. government programs is uncertain and dependent on continued congressional appropriations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administrative allotment of funds based on an annual budgeting process. We cannot assure you that current levels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congressional funding for our products and services will continue and that our business will not decline.</w:t>
      </w:r>
    </w:p>
    <w:p>
      <w:pPr>
        <w:spacing w:after="0" w:line="207"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U.S. military funds a portion of our contracts through operational needs statements, and to a lesser extent, through programs of record, which provides us with less visibility and certainty on future funding allocations for our contracts. Furthermore, all of our contracts with the U.S. government are terminable by the U.S. government at will. A significant decline in government expenditures generally, or with respect to programs for which we provide products and/or services, could adversely affect our business and prospects. Our operating results may also be negatively impacted by other developments that affect these government programs generally, including the following:</w:t>
      </w:r>
    </w:p>
    <w:p>
      <w:pPr>
        <w:spacing w:after="0" w:line="187" w:lineRule="exact"/>
        <w:rPr>
          <w:sz w:val="20"/>
          <w:szCs w:val="20"/>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that are related to our products and services;</w:t>
      </w:r>
    </w:p>
    <w:p>
      <w:pPr>
        <w:spacing w:after="0" w:line="225" w:lineRule="exact"/>
        <w:rPr>
          <w:rFonts w:ascii="Times New Roman" w:cs="Times New Roman" w:eastAsia="Times New Roman" w:hAnsi="Times New Roman"/>
          <w:sz w:val="18"/>
          <w:szCs w:val="18"/>
          <w:color w:val="auto"/>
        </w:rPr>
      </w:pPr>
    </w:p>
    <w:p>
      <w:pPr>
        <w:ind w:left="1040" w:right="65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new laws or regulations relating to government contracting or changes to existing laws or regulations;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or public support for security and defense programs;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changes in the government appropriations and budget process;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current global threat environment and other geo-political matters;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payment of our invoices by government payment offices.</w:t>
      </w:r>
    </w:p>
    <w:p>
      <w:pPr>
        <w:spacing w:after="0" w:line="225"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These developments and other factors could cause governmental agencies to reduce their purchases under existing contracts, to exercise their rights to terminate contracts at-will or to abstain from renewing contracts or entering into new contracts, any of which would cause our revenue to decline and could otherwise harm our business, financial condition and results of operations.</w:t>
      </w:r>
    </w:p>
    <w:p>
      <w:pPr>
        <w:spacing w:after="0" w:line="176"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U.S. and other government budgets, changes in spending or budgetary priorities, or delays in contract awards may significantly and adversely affect our future revenue.</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Because we generate a significant portion of our total sales, including sales of our UxS and LMS products and services, from the U.S. government and its agencies and foreign governments, our results of operations could be adversely affected by government spending caps or changes in government budgetary priorities, as well as by delays in the government budget process, program starts, or the award of contracts or orders under existing contracts. Delays in the definitization of a contract could result in delayed funding, billing and payment. Our business may be impacted due to shifts in the political environment and changes in the government and agency leadership positions. We cannot assure you that current levels of congressional funding for our products and services will continue and that our business will not decline. If annual budget appropriations or continuing resolutions are not enacted timely, we could face U.S. government shutdowns, which could adversely impact our programs and contracts with the U.S. government, our ability to receive timely payment from U.S. government entities and our ability to timely obtain export licenses for our products and services to fulfill contracts with our international customers.</w:t>
      </w:r>
    </w:p>
    <w:p>
      <w:pPr>
        <w:spacing w:after="0" w:line="192"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Additionally, there is a possibility that political decisions made by the U.S. government, such as changes in prior military commitments, including the withdrawal from Afghanistan or in response to the conflicts between Russia and Ukraine or Israel and Hamas, or an impasse on policy issues, could impact future spending and program authorizations, which may not increase or may decrease or shift to programs in areas in which we do not provide products or services or are less likely to be awarded contracts. Such changes in spending authorizations and budgetary priorities may occur as a result of shifts in spending priorities from defense-related and other programs due to, among other factors, competing demands for federal funds and the number and intensity of military conflicts.</w:t>
      </w:r>
    </w:p>
    <w:p>
      <w:pPr>
        <w:spacing w:after="0" w:line="185" w:lineRule="exact"/>
        <w:rPr>
          <w:sz w:val="20"/>
          <w:szCs w:val="20"/>
          <w:color w:val="auto"/>
        </w:rPr>
      </w:pPr>
    </w:p>
    <w:p>
      <w:pPr>
        <w:ind w:left="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Military transformation and changes in overseas operational levels may affect future procurement priorities and existing programs, which could limit demand for our UxS and LMS.</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With the inception of the global war on terror, operational activity in the US-CENTCOM combatant command area of operations led to broad deployment and increased demand for UxS and LMS products, training and spares. Since such time, there have been periods during which the tempo of DoD counterinsurgency operations receded, reducing demand for certain of our UxS and LMS products, training and spares from prior levels. We cannot predict whether and when a reduction in overseas operational levels will occur, how future procurement priorities related to defense transformation will be impacted, including by future events such as the conflicts between Russia and Ukraine or Israel and Hamas, or how changes in the threat environment will impact opportunities and competition for our UxS and LMS products, in terms of existing, additional or replacement programs. An example was the closure of all of our Mid-Endurance Unmanned Aircraft System (“MEUAS”) COCO sites during the three months ended April 30, 2023. If defense transformation or overseas operations slow down or cease in key operational areas, then our business, financial condition and results of operations could be impacted negatively.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evolving markets, which makes it difficult to evaluate our business and future prospects.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solutions are sold in new and rapidly evolving markets. The market for HAPS UAS is also in an early stage of development. Accordingly, our business and future prospects may be difficult to evaluate. We cannot accurately predict the extent to which demand for our products and services will increase, if at all. The challenges, risks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19"/>
        <w:spacing w:after="0" w:line="282" w:lineRule="auto"/>
        <w:rPr>
          <w:sz w:val="20"/>
          <w:szCs w:val="20"/>
          <w:color w:val="auto"/>
        </w:rPr>
      </w:pPr>
      <w:r>
        <w:rPr>
          <w:rFonts w:ascii="Times New Roman" w:cs="Times New Roman" w:eastAsia="Times New Roman" w:hAnsi="Times New Roman"/>
          <w:sz w:val="18"/>
          <w:szCs w:val="18"/>
          <w:color w:val="auto"/>
        </w:rPr>
        <w:t>uncertainties frequently encountered by companies in rapidly evolving markets could impact our ability to do the following:</w:t>
      </w:r>
    </w:p>
    <w:p>
      <w:pPr>
        <w:spacing w:after="0" w:line="162" w:lineRule="exact"/>
        <w:rPr>
          <w:sz w:val="20"/>
          <w:szCs w:val="20"/>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revenue to maintain profitability;</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maintain market share;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or manage growth in our operations;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renew contracts;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additional engineers and other highly-qualified personnel;</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commercially market new products and services;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new or changing policies and spending priorities of governments and government agencies; and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additional capital when required and on reasonable terms.</w:t>
      </w:r>
    </w:p>
    <w:p>
      <w:pPr>
        <w:spacing w:after="0" w:line="225"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If we fail to address these and other challenges, risks and uncertainties successfully, our business, results of operations and financial condition would be materially harmed.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other firms, many of which have substantially greater resources.</w:t>
      </w:r>
    </w:p>
    <w:p>
      <w:pPr>
        <w:spacing w:after="0" w:line="22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The defense industry is highly competitive and generally characterized by intense competition to win contracts. Our current principal SUAS competitors include Elbit Systems Ltd., Quantum-Systems, Inc., Edge Autonomy, Teledyne Technologies, Inc., Sierra Nevada Corporation and Lockheed Martin Corporation. Our principal MUAS competitors are The Boeing Company, Shield AI, Inc., Northrop Grumman Corporation, Textron, Inc., Sierra Nevada Corporation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Griffon Aerospace, Inc. and L3Harris Technologies, Inc. and international competitors Elbit Systems Ltd. and Israeli Aircraft Industries. We do not view large UAS producers such as Northrop Grumman Corporation or General Atomics, Inc. as direct competitors to our SUAS because they perform different missions, do not typically deliver their information directly to front-line ground forces, and are not hand launched and controlled. We do not view large UAS producers as direct competitors to our MUAS because they perform different missions, require a larger logistical footprint and cost considerably more to procure and operate. However, we cannot be certain that these platforms will not become direct competitors to our SUAS and MUAS in the future. Our LMS business faces competition from Textron Inc., RTX Corporation, Lockheed Martin Corporation, Anduril Industries, Inc., Aevex Holdings, LLC and UVision Air Ltd. Our competitors in the U.S. defense market for UGVs include L3Harris Technologies, Inc., Teledyne Technologies, Inc., QinetiQ North America, Inc., Peraton Remotec, ICOR Technology, Inc., Ghost Robotics, Inc. and Boston Dynamics, Inc.</w:t>
      </w:r>
    </w:p>
    <w:p>
      <w:pPr>
        <w:spacing w:after="0" w:line="197"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We also face emerging competition from consumer and commercially focused drone manufacturers as their product capabilities increase and their product prices remain low relative to existing defense solutions, which has resulted in some level of military consideration and procurement even though their UAS products do not meet traditional military performance or security specifications.</w:t>
      </w:r>
    </w:p>
    <w:p>
      <w:pPr>
        <w:spacing w:after="0" w:line="18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HAPS UAS market is in an early stage of development and our HAPS UAS faces competition from several aerospace and defense contractors and internet technology companies pursuing the high altitude long endurance UAS market for global communication and remote sensing, including The Boeing Company, Airbus SE, Lockheed Martin Corporation and Northrop Grumman Corporation, and competition from companies pursuing alternative solutions for this market such as Lockheed Martin Corporation and Northrop Grumman Corporation with airships (high altitude aircraft that are kept buoyant by a body of gas that is lighter than air) and companies pursuing conventional satellites, such as The Boeing Company, Lockheed Martin Corporation, General Dynamics Corporation, EADS N.V., BAE Systems and Northrop Grumman Corporation, and LEO micro or cubesat satellite constellations, including include Amazon, Planet Labs PBC, OneWeb, SpaceX and The Boeing Company. Companies owning and operating terrestrial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cellular tower networks include American Tower Corporation, Crown Castle International Corp. and SBA Communications Corporation.</w:t>
      </w:r>
    </w:p>
    <w:p>
      <w:pPr>
        <w:spacing w:after="0" w:line="162"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Some of these firms have substantially greater financial, management, research and marketing resources than we have. Our UAS services business also faces competition from smaller businesses that can provide training and logistics services for multiple UAS platforms, including our SUAS and MUAS.</w:t>
      </w:r>
    </w:p>
    <w:p>
      <w:pPr>
        <w:spacing w:after="0" w:line="176"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Our competitors may be able to provide customers with different or greater capabilities or benefits than we can provide in areas such as technical qualifications, past contract performance, geographic presence, price and the availability of key professional personnel, including those with security clearances. Furthermore, many of our competitors may be able to utilize their substantially greater resources and economies of scale to develop competing products and technologies, manufacture in high volumes more efficiently, divert sales away from us by winning broader contracts or hire away our employees by offering more lucrative compensation packages. Small business competitors may be able to offer more cost competitive solutions, due to their lower overhead costs, and take advantage of small business incentive and set aside programs for which we are ineligible. Foreign competitors may also be able to offer more cost competitive solutions for our UxS and LMS products and services. The markets for UxS and LMS products and services are expanding, and competition intensifying as additional competitors enter such markets and current competitors expand their product lines. In order to secure contracts successfully when competing with larger, well-financed companies, we may be forced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Our failure to compete effectively with respect to any of these or other factors could have a material adverse effect on our business, prospects, financial condition or operating results.</w:t>
      </w:r>
    </w:p>
    <w:p>
      <w:pPr>
        <w:spacing w:after="0" w:line="191" w:lineRule="exact"/>
        <w:rPr>
          <w:sz w:val="20"/>
          <w:szCs w:val="20"/>
          <w:color w:val="auto"/>
        </w:rPr>
      </w:pPr>
    </w:p>
    <w:p>
      <w:pPr>
        <w:ind w:left="60" w:right="1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markets for UxS and LMS do not experience significant growth, if we cannot expand our customer base or if our products and services do not achieve broad acceptance, then we may not be able to achieve our anticipated level of growth.</w:t>
      </w:r>
    </w:p>
    <w:p>
      <w:pPr>
        <w:spacing w:after="0" w:line="17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cannot accurately predict the future growth rates or sizes of the markets for our products and services. Demand for our products and services may not increase, or may decrease, either generally or in specific markets, for particular types of products and services or during particular time periods. Moreover, there are only a limited number of major programs under which the U.S. military, our primary customer, is currently funding the development or purchase of our UxS and LMS. Although we have expanded our UxS customer base to include foreign governments and domestic non-military agencies, and made our first approved export of our LMS to a foreign customer, we cannot assure you that our continued efforts to further increase our sales to international customers will be successful. The expansion of the markets for UxS and LMS in general, and the market for our products and services in particular, depends on a number of factors, including the following:</w:t>
      </w:r>
    </w:p>
    <w:p>
      <w:pPr>
        <w:spacing w:after="0" w:line="188" w:lineRule="exact"/>
        <w:rPr>
          <w:sz w:val="20"/>
          <w:szCs w:val="20"/>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satisfaction with these types of systems as solutions;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performance and reliability of our products and products offered by our competitors;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perceptions regarding the effectiveness and value of these types of systems;</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market our UxS and LMS products and services outside the United States due to U.S. government regulations;</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timely regulatory approvals, including, with respect to any of our uncrewed systems, access to airspace and wireless spectrum;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efforts and publicity regarding these types of systems and services.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Even if the markets for UxS and LMS gain wide acceptance, our products and services may not adequately address market requirements and may not continue to gain market acceptance. If these types of systems generally, or our products and services specifically, do not gain wide market acceptance, then we may not be able to achieve our anticipated level of growth and our revenue and results of operations would decline.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business poses potentially greater risks than our domestic business.</w:t>
      </w:r>
    </w:p>
    <w:p>
      <w:pPr>
        <w:spacing w:after="0" w:line="22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We derived approximately 62% of our revenue from international sales, including U.S. government foreign military sales in which an end user is a foreign government, during the fiscal year ended April 30, 2024 compared to 53% for the fiscal year ended April 30, 2023. We expect to continue to derive a significant portion of our revenue from international sales, including direct sales to allied nations, and initiated through our international operations, Telerob Gesellschaft für Fernhantierungstechnik mbH (“Telerob”). Our international revenue and operations are subject to a number of material risks, including the following:</w:t>
      </w:r>
    </w:p>
    <w:p>
      <w:pPr>
        <w:spacing w:after="0" w:line="187" w:lineRule="exact"/>
        <w:rPr>
          <w:sz w:val="20"/>
          <w:szCs w:val="20"/>
          <w:color w:val="auto"/>
        </w:rPr>
      </w:pPr>
    </w:p>
    <w:p>
      <w:pPr>
        <w:ind w:left="1040" w:right="47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or difficulties in obtaining any, necessary U.S. governmental authorizations for the export of our products and services to certain foreign jurisdictions;</w:t>
      </w:r>
    </w:p>
    <w:p>
      <w:pPr>
        <w:spacing w:after="0" w:line="161"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that may adversely affect our ability to operate in foreign jurisdictions, sell certain products and services or repatriate profits to the United States;</w:t>
      </w:r>
    </w:p>
    <w:p>
      <w:pPr>
        <w:spacing w:after="0" w:line="161"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and necessity of using foreign representatives and consultants, and delays in and difficulty of validating foreign representatives and brokers;</w:t>
      </w:r>
    </w:p>
    <w:p>
      <w:pPr>
        <w:spacing w:after="0" w:line="161" w:lineRule="exact"/>
        <w:rPr>
          <w:rFonts w:ascii="Times New Roman" w:cs="Times New Roman" w:eastAsia="Times New Roman" w:hAnsi="Times New Roman"/>
          <w:sz w:val="18"/>
          <w:szCs w:val="18"/>
          <w:color w:val="auto"/>
        </w:rPr>
      </w:pPr>
    </w:p>
    <w:p>
      <w:pPr>
        <w:ind w:left="1040" w:right="43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operating a business in an international location through a subsidiary or joint venture structure that may include foreign business partners, subcontractors and suppliers;</w:t>
      </w:r>
    </w:p>
    <w:p>
      <w:pPr>
        <w:spacing w:after="0" w:line="161" w:lineRule="exact"/>
        <w:rPr>
          <w:rFonts w:ascii="Times New Roman" w:cs="Times New Roman" w:eastAsia="Times New Roman" w:hAnsi="Times New Roman"/>
          <w:sz w:val="18"/>
          <w:szCs w:val="18"/>
          <w:color w:val="auto"/>
        </w:rPr>
      </w:pPr>
    </w:p>
    <w:p>
      <w:pPr>
        <w:ind w:left="1040" w:right="109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managing a workforce under foreign labor and employment law and related organizational requirements;</w:t>
      </w:r>
    </w:p>
    <w:p>
      <w:pPr>
        <w:spacing w:after="0" w:line="161" w:lineRule="exact"/>
        <w:rPr>
          <w:rFonts w:ascii="Times New Roman" w:cs="Times New Roman" w:eastAsia="Times New Roman" w:hAnsi="Times New Roman"/>
          <w:sz w:val="18"/>
          <w:szCs w:val="18"/>
          <w:color w:val="auto"/>
        </w:rPr>
      </w:pPr>
    </w:p>
    <w:p>
      <w:pPr>
        <w:ind w:left="1040" w:right="45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shipping our products internationally through multiple jurisdictions with varying legal requirements;</w:t>
      </w:r>
    </w:p>
    <w:p>
      <w:pPr>
        <w:spacing w:after="0" w:line="161" w:lineRule="exact"/>
        <w:rPr>
          <w:rFonts w:ascii="Times New Roman" w:cs="Times New Roman" w:eastAsia="Times New Roman" w:hAnsi="Times New Roman"/>
          <w:sz w:val="18"/>
          <w:szCs w:val="18"/>
          <w:color w:val="auto"/>
        </w:rPr>
      </w:pPr>
    </w:p>
    <w:p>
      <w:pPr>
        <w:ind w:left="1040" w:right="59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agreements and collecting receivables through foreign legal systems and other relevant legal issues, including fewer legal protections for intellectual property;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in foreign economies and in the value of foreign currencies and interest rates;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preferences by prospective customers to purchase from local (non-U.S.) sources;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the markets in which we operate;</w:t>
      </w:r>
    </w:p>
    <w:p>
      <w:pPr>
        <w:spacing w:after="0" w:line="225" w:lineRule="exact"/>
        <w:rPr>
          <w:rFonts w:ascii="Times New Roman" w:cs="Times New Roman" w:eastAsia="Times New Roman" w:hAnsi="Times New Roman"/>
          <w:sz w:val="18"/>
          <w:szCs w:val="18"/>
          <w:color w:val="auto"/>
        </w:rPr>
      </w:pPr>
    </w:p>
    <w:p>
      <w:pPr>
        <w:ind w:left="1040" w:right="159" w:hanging="315"/>
        <w:spacing w:after="0" w:line="282"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or regulations relating to non-U.S. military contracts that favor purchases from non-U.S. manufacturers over U.S. manufacturers;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in-country production and manufacturing requirements by international customers;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tariffs, embargoes, export controls and other trade restrictions; and</w:t>
      </w:r>
    </w:p>
    <w:p>
      <w:pPr>
        <w:spacing w:after="0" w:line="225" w:lineRule="exact"/>
        <w:rPr>
          <w:rFonts w:ascii="Times New Roman" w:cs="Times New Roman" w:eastAsia="Times New Roman" w:hAnsi="Times New Roman"/>
          <w:sz w:val="18"/>
          <w:szCs w:val="18"/>
          <w:color w:val="auto"/>
        </w:rPr>
      </w:pPr>
    </w:p>
    <w:p>
      <w:pPr>
        <w:ind w:left="1040" w:right="179" w:hanging="315"/>
        <w:spacing w:after="0" w:line="266"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and changing legal and regulatory requirements, including those pertaining to anti-corruption, anti-boycott, data protection and privacy, employment law, intellectual property, contracts and tax in the jurisdictions in which we currently operate or may operate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Negative developments in any of these areas in one or more countries could result in a reduction in demand for our products, the cancellation or delay of orders already placed, threats to our intellectual property, destabilization of performance, difficulty in collecting receivables and a higher cost of doing business, any of which could negatively impact our business, financial condition or results of operations. While we have adopted policies and procedures to facilitate compliance with laws and regulations applicable to our international operations and sales, our failure, or the failure by our employees or others working on our behalf, to comply with such laws and regulations may result in administrative, civil or criminal liabilities, including fines, suspension or debarment from government contracts or suspension of our export privileges. Moreover, our sales, including sales to customers outside the United States, substantially all are denominated in U.S. dollars, and downward fluctuations in the value of foreign currencies relative to the U.S. dollar may make our products more expensive than other products, which could harm our business.</w:t>
      </w:r>
    </w:p>
    <w:p>
      <w:pPr>
        <w:spacing w:after="0" w:line="190"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manage the increasing complexity of our business, or achieve or manage our expected growth, our business could be adversely affected.</w:t>
      </w:r>
    </w:p>
    <w:p>
      <w:pPr>
        <w:spacing w:after="0" w:line="15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complexity of our business has increased significantly over the last several years. We have expanded the number of product lines being pursued, shifting from primarily a U.S. government focused business to a business that includes substantial international product sales, added commercial services, accelerated development on HAPS UAS and engaged in numerous acquisitions further expanding our operations domestically and abroad. Further, in conjunction with the acquisition of Arcturus in February 2021, we entered into certain credit facilities that include affirmative and negative covenants and place some restrictions on how we operate our business. Our growth has placed, and our expected growth will continue to place, a strain on our management and our administrative, operational and financial infrastructure. We anticipate further growth of headcount and facilities will be required to address expansion in our product and service offerings and the geographic scope of our customer base. However, if we are unsuccessful in our efforts, our business could decline. Our success will depend in part upon the ability of our senior management to manage our increased complexity and expected growth effectively. To do so, we must continue to hire, train, manage and integrate a significant number of qualified managers and engineers. If our new employees perform poorly, or if we are unsuccessful in hiring, training, managing and integrating these new employees, or retaining these or our existing employees, then our business may experience declines.</w:t>
      </w:r>
    </w:p>
    <w:p>
      <w:pPr>
        <w:spacing w:after="0" w:line="197"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To support our expected growth, we must continue to improve our operational, financial and management information systems. If we are unable to manage our growth while maintaining our quality of service, or if new systems that we implement to assist in managing our growth do not produce the expected benefits, then our business, prospects, financial condition or operating results could be adversely affected.</w:t>
      </w:r>
    </w:p>
    <w:p>
      <w:pPr>
        <w:spacing w:after="0" w:line="176"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efforts to expand our offerings beyond our current markets may not succeed, which could negatively impact our operating results.</w:t>
      </w:r>
    </w:p>
    <w:p>
      <w:pPr>
        <w:spacing w:after="0" w:line="159" w:lineRule="exact"/>
        <w:rPr>
          <w:sz w:val="20"/>
          <w:szCs w:val="20"/>
          <w:color w:val="auto"/>
        </w:rPr>
      </w:pPr>
    </w:p>
    <w:p>
      <w:pPr>
        <w:jc w:val="both"/>
        <w:ind w:left="60" w:right="99" w:firstLine="648"/>
        <w:spacing w:after="0" w:line="274" w:lineRule="auto"/>
        <w:rPr>
          <w:sz w:val="20"/>
          <w:szCs w:val="20"/>
          <w:color w:val="auto"/>
        </w:rPr>
      </w:pPr>
      <w:r>
        <w:rPr>
          <w:rFonts w:ascii="Times New Roman" w:cs="Times New Roman" w:eastAsia="Times New Roman" w:hAnsi="Times New Roman"/>
          <w:sz w:val="17"/>
          <w:szCs w:val="17"/>
          <w:color w:val="auto"/>
        </w:rPr>
        <w:t>The U.S. military represents our largest source of revenue. We have, however, expanded our product sales into new market segments, including (i) those served by our relationships with SoftBank and the U.S. DoD to develop HAPS UAS for global communication and remote sensing applications and (ii) the AI-enabled common control system from our recent Tomahawk acquisition. Our efforts to expand our product and service offerings beyond our traditional markets may divert management resources from existing operations and require us to commit significant financial resources to unproven businesses that may not generate additional sales, either of which could significantly impair our operating results.</w:t>
      </w:r>
    </w:p>
    <w:p>
      <w:pPr>
        <w:spacing w:after="0" w:line="169"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compete are characterized by rapid technological change, which requires us to develop new products and product enhancements, and could render our existing products obsolete.</w:t>
      </w:r>
    </w:p>
    <w:p>
      <w:pPr>
        <w:spacing w:after="0" w:line="15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Continuing technological changes in the market for our products could make our products and services less competitive or obsolete, either generally or for particular applications. The length and severity of the up-and-down cycles in the commercial and defense industries are difficult to predict. Our future success will depend upon our ability to develop and introduce a variety of new capabilities and enhancements, including but not limited to addressing counter UAS technologies, to our existing product offerings, as well as introduce a variety of new product offerings, to address the changing needs of the markets in which we offer our products. Delays in introducing new products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99"/>
        <w:spacing w:after="0" w:line="312" w:lineRule="auto"/>
        <w:rPr>
          <w:sz w:val="20"/>
          <w:szCs w:val="20"/>
          <w:color w:val="auto"/>
        </w:rPr>
      </w:pPr>
      <w:r>
        <w:rPr>
          <w:rFonts w:ascii="Times New Roman" w:cs="Times New Roman" w:eastAsia="Times New Roman" w:hAnsi="Times New Roman"/>
          <w:sz w:val="17"/>
          <w:szCs w:val="17"/>
          <w:color w:val="auto"/>
        </w:rPr>
        <w:t>enhancements, the failure to choose correctly among technical alternatives or the failure to offer innovative products or enhancements at competitive prices may cause existing and potential customers to purchase our competitors’ products.</w:t>
      </w:r>
    </w:p>
    <w:p>
      <w:pPr>
        <w:spacing w:after="0" w:line="140"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devote adequate resources to develop new products or cannot otherwise successfully develop new products or enhancements that meet customer requirements on a timely basis, our products could lose market share, our revenue and profits could decline, and we could experience operating losses.</w:t>
      </w:r>
    </w:p>
    <w:p>
      <w:pPr>
        <w:spacing w:after="0" w:line="172" w:lineRule="exact"/>
        <w:rPr>
          <w:sz w:val="20"/>
          <w:szCs w:val="20"/>
          <w:color w:val="auto"/>
        </w:rPr>
      </w:pPr>
    </w:p>
    <w:p>
      <w:pPr>
        <w:ind w:left="60" w:right="4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expect to incur substantial R&amp;D costs and devote significant resources to identifying and commercializing new products and services, which could significantly reduce our profitability and may never result in revenue to us.</w:t>
      </w:r>
    </w:p>
    <w:p>
      <w:pPr>
        <w:spacing w:after="0" w:line="1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growth depends on penetrating new markets, adapting existing products to new applications,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introducing new products and services that achieve market acceptance. We plan to incur substantial R&amp;D costs as part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efforts to design, develop and commercialize new products and services and enhance existing products. We spent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$97.7 million, or 14% of our revenue, in our fiscal year ended April 30, 2024 on internal R&amp;D activities. We believe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are significant investment opportunities in a number of business areas. Because we account for internal R&amp;D as an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operating expense, these expenditures will adversely affect our earnings in the future. Further, our R&amp;D programs may not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produce successful results, and our new products and services may not achieve market acceptance, create additional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revenue or become profitable, which could materially harm our business, prospects, financial results and liquidity.</w:t>
      </w:r>
    </w:p>
    <w:p>
      <w:pPr>
        <w:spacing w:after="0" w:line="203"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are complex and could have unknown defects or errors, which may give rise to claims against us, diminish our brand or divert our resources from other purposes.</w:t>
      </w:r>
    </w:p>
    <w:p>
      <w:pPr>
        <w:spacing w:after="0" w:line="15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products rely on complex avionics, sensors, user-friendly interfaces and tightly-integrated, electromechanical designs to accomplish their missions. Despite testing, our products have contained defects and errors and may in the future contain defects, errors or performance problems when first introduced, when new versions or enhancements are released, or even after these products have been used by our customers for a period of time. These problems could result in expensive and time-consuming design modifications or warranty charges, delays in the introduction of new products or enhancements, significant increases in our service and maintenance costs, exposure to liability for damages, damaged customer relationships and harm to our reputation, any of which could materially harm our results of operations and ability to achieve market acceptance. In addition, increased development and warranty costs could be substantial and could reduce our operating margins.</w:t>
      </w:r>
    </w:p>
    <w:p>
      <w:pPr>
        <w:spacing w:after="0" w:line="188"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existence of any defects, errors, or failures in our products or the misuse of our products could also lead to product liability claims or lawsuits against us. A defect, error or failure in one of our products could result in injury, death or property damage and significantly damage our reputation and support for our products in general. We anticipate this risk will grow as our products begin to be used in U.S. domestic airspace and urban areas.</w:t>
      </w:r>
    </w:p>
    <w:p>
      <w:pPr>
        <w:spacing w:after="0" w:line="18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Although we maintain insurance policies, we cannot provide assurance that this insurance will be adequate to protect us from all material judgments and expenses related to potential future claims or that these levels of insurance will be available in the future at economical prices or at all. A successful product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183"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w:t>
      </w:r>
    </w:p>
    <w:p>
      <w:pPr>
        <w:spacing w:after="0" w:line="175"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ability to meet customers’ demands depends, in part, on our ability to obtain timely and adequate delivery of quality materials, parts and components from our suppliers. We obtain certain of our hardware components, various subsystems and systems from a limited group of suppliers, some of which are sole source suppliers. Although we hold long term non-binding contracts with certain key suppliers that establish pricing, minimize lead times and to some degree mitigate risk, we do not have long-term agreements with all suppliers that obligate them to continue to sell components, products required to build our systems or products to us. Our reliance on suppliers without long term non-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59"/>
        <w:spacing w:after="0" w:line="266" w:lineRule="auto"/>
        <w:rPr>
          <w:sz w:val="20"/>
          <w:szCs w:val="20"/>
          <w:color w:val="auto"/>
        </w:rPr>
      </w:pPr>
      <w:r>
        <w:rPr>
          <w:rFonts w:ascii="Times New Roman" w:cs="Times New Roman" w:eastAsia="Times New Roman" w:hAnsi="Times New Roman"/>
          <w:sz w:val="18"/>
          <w:szCs w:val="18"/>
          <w:color w:val="auto"/>
        </w:rPr>
        <w:t>binding contracts involves significant risks and uncertainties, including whether our suppliers will provide an adequate supply of required components or products of sufficient quality, will increase prices for the components or products and will perform their obligations on a timely basis.</w:t>
      </w:r>
    </w:p>
    <w:p>
      <w:pPr>
        <w:spacing w:after="0" w:line="17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If any of our supplier’s face capacity constraints, financial instability, or an unwillingness to provide raw materials or components to us, we may need to seek alternative suppliers or revise our designs, particularly because some of our components are sourced from foreign countries. Locating alternative sources may take several months, and even then, we might encounter significant delays in manufacturing and shipping. Additionally, credit constraints among key suppliers could impact our cash flow. We have also experienced rising costs for components, shipping, warehousing, and inventory. The permanence of these cost increases remains uncertain, and obtaining replacement components within our required time frames may prove challenging. Shortages could lead to excess inventory and potential obsolescence risks.</w:t>
      </w:r>
    </w:p>
    <w:p>
      <w:pPr>
        <w:spacing w:after="0" w:line="18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addition, certain raw materials and components used in the manufacture of our products and in our development programs, are periodically subject to supply shortages, and our business is subject to the risk of price increases and periodic delays in delivery. The electronic components industry has experienced significant shifts in supply levels in recent years. Demand for components in the memory sector is poised for substantial growth, driven by artificial intelligence applications such as large language models and generative artificial intelligence. Due to the volatility of supply and increase in demand, lead times and prices for certain components, such as memory related microprocessors, may continue to experience supply and price uncertainty.</w:t>
      </w:r>
    </w:p>
    <w:p>
      <w:pPr>
        <w:spacing w:after="0" w:line="18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Escalating restrictions between the U.S. and China contribute to supply chain complexities. In January 2024, China imposed sanctions on AeroVironment in response to sales of military equipment by the U.S. Government to Taiwan. The impact of the announced sanctions, or other potential sanctions implemented by China, on our business is uncertain. Some of our components sourced from foreign countries, including China, are at risk of further sanctions and other trade restrictive actions, and any escalation in global trade tensions or trade restrictions may hinder our ability to obtain these components from new suppliers. Restrictions on semiconductor manufacturing equipment and raw materials could lead to higher material costs, material unavailability, and transportation uncertainty.</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and cash flows can be impacted by changes in tax laws.</w:t>
      </w:r>
    </w:p>
    <w:p>
      <w:pPr>
        <w:spacing w:after="0" w:line="22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As a U.S.-based multinational business, we are subject to income tax in the U.S. and numerous jurisdictions outside the U.S. The relevant tax rules and regulations are complex, often changing and, in some cases, are interdependent. If these or other tax rules and regulations should change, the company’s earnings and cash flows could be negatively impacted. In particular, the changes proposed by the U.S. administration, including increasing the U.S. corporate income tax rate from 21% to 28%, doubling the rate of tax on certain earnings of non-U.S. subsidiaries and the imposition of a 15% minimum tax on worldwide book income, could materially negatively affect the company’s financial results if enacted. The company’s worldwide provision for income taxes is determined, in part, through the use of significant estimates and judgments. Numerous transactions arise in the ordinary course of business where the ultimate tax determination is uncertain. The company undergoes tax examinations by tax authorities on a regular basis. While the company believes its estimates of its tax obligations are reasonable, the final outcome after the conclusion of any tax examinations and any litigation could be materially different from what has been reflected in the company’s historical financial statements. Also due to the new U.S. Internal Revenue Service tax capitalization rules, Section 174, which requires R&amp;D expenditures to be capitalized and amortized over a 5-year period for tax purposes, we expect an increase in cash paid for U.S. federal income taxes in future fiscal years relative to prior periods.</w:t>
      </w:r>
    </w:p>
    <w:p>
      <w:pPr>
        <w:spacing w:after="0" w:line="193"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earnings and profit margins may decrease based on the mix of our contracts and programs and other factors related to our contracts.</w:t>
      </w:r>
    </w:p>
    <w:p>
      <w:pPr>
        <w:spacing w:after="0" w:line="15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general, we perform our production work under fixed-price contracts and our repair and customer-funded R&amp;D work under cost-plus-fee contracts. Under fixed-price contracts, we perform services under a contract at a stipulated price. Under cost-plus-fee contracts, which are subject to a contract ceiling amount, we are reimbursed for allowable costs and paid a fee, which may be fixed or performance based. We typically experience lower profit margins under cost-plus-fee contracts than under fixed-price contracts, though fixed-price contracts involve higher risks. In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general, if the volume of services we perform under cost-plus-fee contracts increases relative to the volume of services we perform under fixed-price contracts, we expect that our operating margin will decline. In addition, our earnings and margins may decrease depending on the costs we incur in contract performance, our achievement of other contract performance objectives and the stage of our performance at which our right to receive fees, particularly under incentive and award fee contracts, is finally determined.</w:t>
      </w:r>
    </w:p>
    <w:p>
      <w:pPr>
        <w:spacing w:after="0" w:line="179" w:lineRule="exact"/>
        <w:rPr>
          <w:sz w:val="20"/>
          <w:szCs w:val="20"/>
          <w:color w:val="auto"/>
        </w:rPr>
      </w:pPr>
    </w:p>
    <w:p>
      <w:pPr>
        <w:ind w:left="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estimates in accounting for many of our programs and changes in our estimates could adversely affect our future financial results.</w:t>
      </w:r>
    </w:p>
    <w:p>
      <w:pPr>
        <w:spacing w:after="0" w:line="15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Contract accounting requires judgments relative to assessing risks, including risks associated with estimating contract transaction prices and costs, definitization of certain contract prices, assumptions for schedule and technical issues, customer-directed delays and reductions in scheduled deliveries, and unfavorable resolutions of claims and contractual matters. Due to the size and nature of many of our contracts, the estimation of total costs at completion is complicated and subject to many variables. For example, we must make assumptions regarding the length of time to complete the contract because costs also include expected increases in wages and prices for materials; and consider incentives or penalties related to performance on contracts and include them in the variable consideration to the extent that it is probable that a significant reversal in the amount of cumulative revenue recognized will not occur when the related uncertainty is resolved. Because of the significance of the judgments and estimation processes described above, it is likely that materially different amounts could be recorded if we used different assumptions or if the underlying circumstances were to change. Changes in underlying assumptions, circumstances or estimates may adversely affect our future results of operations and financial condition.</w:t>
      </w:r>
    </w:p>
    <w:p>
      <w:pPr>
        <w:spacing w:after="0" w:line="186" w:lineRule="exact"/>
        <w:rPr>
          <w:sz w:val="20"/>
          <w:szCs w:val="20"/>
          <w:color w:val="auto"/>
        </w:rPr>
      </w:pPr>
    </w:p>
    <w:p>
      <w:pPr>
        <w:ind w:left="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 overruns on our contracts could subject us to losses, decrease our operating margins and adversely affect our future business.</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Fixed-price contracts (including both government and commercial contracts) represented approximately 88% of our revenue for the fiscal year ended April 30, 2024. If we fail to anticipate technical problems, estimate costs accurately or control costs during our performance of fixed-price contracts, then we may incur losses on these contracts because we absorb any costs in excess of the fixed price. Under cost-plus-fee contracts, if costs exceed the contract ceiling or are not allowable under the provisions of the contract or applicable regulations, then we may not be able to obtain reimbursement for all such costs. Under time and materials contracts, we are paid for labor at negotiated hourly billing rates and for certain expenses. Because many of our contracts involve advanced designs and innovative technologies, we may experience unforeseen technological difficulties and cost overruns. Under each type of contract, if we are unable to control the costs we incur in performing under the contract, then our financial condition and results of operations could be materially adversely affected. Cost overruns also may adversely affect our ability to sustain existing programs and obtain future contract awards.</w:t>
      </w:r>
    </w:p>
    <w:p>
      <w:pPr>
        <w:spacing w:after="0" w:line="188"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senior management and key employees, including key employees of businesses recently acquired, are important to our customer relationships and overall business.</w:t>
      </w:r>
    </w:p>
    <w:p>
      <w:pPr>
        <w:spacing w:after="0" w:line="15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We believe that our success depends in part on the continued contributions of our senior management and key employees. We rely on our executive officers, senior management and key employees to generate business and execute programs successfully. In addition, the relationships and reputation that members of our management team and key employees have established and maintain with government defense personnel contribute to our ability to maintain good customer relations and to identify new business opportunities. We do not have employment agreements with any of our executive officers or key employees, and these individuals could terminate their employment with us at any time. We have had some departures in fiscal years 2023 and 2022 from our senior management team, which has resulted in remaining members bearing additional responsibilities as we seek to recruit additional leadership talent. The loss of any of our continuing executive officers, members of our senior management team or key employees could significantly delay or prevent the achievement of our business objectives and could materially harm our business and customer relationships and impair our ability to identify and secure new contracts and otherwise manage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must recruit and retain highly-skilled employees to succeed in our competitive business.</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depend on our ability to recruit and retain employees who have advanced engineering and technical services skills and who work well with our customers. These employees are in great demand and are likely to remain a limited resource in the foreseeable future. Our ability to recruit qualified, technical personnel, such as engineers, has been adversely impacted by the labor market. Increased restrictions on the import of foreign labor may also increase demand for engineering personnel and adversely impact our ability to hire and retain qualified personnel. If we are unable to recruit and retain a sufficient number of these employees, then our ability to maintain our competitiveness and grow our business could be negatively affected. In addition, because of the highly technical nature of our products, the loss of any significant number of our existing engineering personnel could have a material adverse effect on our business and operating results. Moreover, some of our U.S. government contracts contain provisions requiring us to staff a program with certain personnel the customer considers key to our successful performance under the contract. In the event we are unable to provide these key personnel or acceptable substitutes, the customer may terminate the contract. We have experienced shortages of skilled employees that has negatively affected our progress on development programs and our results of operations. We cannot predict the extent to which these shortages will continue or the extent to which they could negatively impact our development programs and results of operations in future periods.</w:t>
      </w:r>
    </w:p>
    <w:p>
      <w:pPr>
        <w:spacing w:after="0" w:line="193" w:lineRule="exact"/>
        <w:rPr>
          <w:sz w:val="20"/>
          <w:szCs w:val="20"/>
          <w:color w:val="auto"/>
        </w:rPr>
      </w:pPr>
    </w:p>
    <w:p>
      <w:pPr>
        <w:ind w:left="6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ability to stay competitive within our markets may be dependent upon increasing manufacturing capacity to support anticipated growth and achieving cost reductions and projected economies of scale from increasing manufacturing quantities of our products. Failing to adequately increase production capacity and achieve such reductions in manufacturing costs and projected economies of scale could materially adversely affect our business.</w:t>
      </w:r>
    </w:p>
    <w:p>
      <w:pPr>
        <w:spacing w:after="0" w:line="180"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Our future growth depends on increasing manufacturing capacity of our product, and our failure to adequately increase such capacity could have a material adverse impact on our business and financial results. We do not know whether or when we will be able to develop efficient, low-cost manufacturing capabilities and processes that will enable us to manufacture (or contract for the manufacture of) these products in commercial quantities while meeting the volume, speed, quality, price, engineering, design and production standards required to successfully market our products. Our failure to develop such manufacturing processes and capabilities in locations that can efficiently service our markets could have a material adverse effect on our business, financial condition, results of operations and prospects. Our ability to remain competitive \is, in part, dependent upon achieving increased savings from volume purchases of raw materials and component parts, achieving acceptable manufacturing yield and capitalizing on machinery efficiencies. We expect our suppliers to experience a sharp increase in demand for their products. During the fiscal years ended April 30, 2024, 2023 and 2022, global supply chain issues resulted in delays in procuring components for our products, and we experienced significant increases in the costs to procure certain components. The extent to which we will have reliable access to supplies that we require or be able to purchase such materials or components at cost effective prices is uncertain. There is no assurance that we will ever be in a position to realize any material, labor and machinery cost reductions associated with higher purchasing power and higher production levels. Failure to achieve these cost reductions could adversely impact our business and financial results.</w:t>
      </w:r>
    </w:p>
    <w:p>
      <w:pPr>
        <w:spacing w:after="0" w:line="191"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risks in the management of our inventory, and failure to effectively manage our inventory levels may result in supply imbalances that could harm our business.</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maintain a variety of parts and components in inventory to allow us to customize our UxS products for specific customer requirements, which parts are subject to obsolescence and expiration. Due to the long-lead time for obtaining certain UxS product components, including in response to procurement issues caused by shortages in the supply chain for such components, and the manufacturing cycles, we need to make forecasts of demand and commit significant resources towards manufacturing our products. As such, we are subject to significant risks in managing the inventory needs of our business during the year, including estimating the appropriate demand for our products. Should orders and market conditions differ significantly from our estimates, our future results of operations could be materially adversely affected. In the future, we may be required to record write-downs of finished products and materials on-hand and/or additional charges for excess purchase commitments as a result of future changes in our sales forecasts or customer orders. We may hold material amounts of inventory at third parties which are subject to separate management processes. Additionally, our failure to manage inventory effectively, including in response to the effects of shortages of our components, could expose us to losses.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Additionally, shortages of components may result in increased inventory of unfinished products and significant quantities of other unused components remaining in inventory, which could expose us to increased risks of obsolescence and losses which may not be covered by insurance.</w:t>
      </w:r>
    </w:p>
    <w:p>
      <w:pPr>
        <w:spacing w:after="0" w:line="172"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15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development and manufacture of certain of our products involves the handling of a variety of explosive and flammable materials as well as high power equipment. From time to time, these activities may result in incidents that could cause us to temporarily shut down or otherwise disrupt some manufacturing processes, which could cause production delays, and could result in liability for workplace injuries and/or fatalities. We have safety and loss prevention programs that require detailed reviews of process changes and new operations, along with routine safety audits of operations involving explosive materials, to mitigate such incidents, as well as a variety of insurance policies, though our insurance coverage may be inadequate to cover all claims and losses related to such incidents. We may experience such incidents in the future, which could result in production delays or otherwise have a material adverse effect on our business and financial condition.</w:t>
      </w:r>
    </w:p>
    <w:p>
      <w:pPr>
        <w:spacing w:after="0" w:line="184" w:lineRule="exact"/>
        <w:rPr>
          <w:sz w:val="20"/>
          <w:szCs w:val="20"/>
          <w:color w:val="auto"/>
        </w:rPr>
      </w:pPr>
    </w:p>
    <w:p>
      <w:pPr>
        <w:ind w:left="60" w:right="1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operation of UAS in urban environments may be subject to risks, such as accidental collisions and transmission interference, which may limit demand for our UAS in such environments and harm our business and operating results.</w:t>
      </w:r>
    </w:p>
    <w:p>
      <w:pPr>
        <w:spacing w:after="0" w:line="136"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Urban environments may present certain challenges to the operators of UAS. UAS may accidentally collide with other aircraft, persons or property, which could result in injury, death or property damage and significantly damage the reputation of and support for UAS in general. As the usage of UAS has increased, particularly by military customers, the danger of such collisions has increased. Furthermore, the incorporation of our DDL technology into our SUAS has increased the number of vehicles which can operate simultaneously in a given area and with this increase has come an increase in the risk of accidental collision. In addition, obstructions to effective transmissions in urban environments, such as large buildings, may limit the ability of the operator to utilize the aircraft for its intended purpose. The risks or limitations of operating UAS in urban environments may limit their value in such environments, which may limit demand for our UAS and consequently materially harm our business and operating results.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vary widely.</w:t>
      </w:r>
    </w:p>
    <w:p>
      <w:pPr>
        <w:spacing w:after="0" w:line="229"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Our quarterly revenue, cash flow and operating results have and may continue to fluctuate significantly in the future due to a number of factors, including the following:</w:t>
      </w:r>
    </w:p>
    <w:p>
      <w:pPr>
        <w:spacing w:after="0" w:line="162" w:lineRule="exact"/>
        <w:rPr>
          <w:sz w:val="20"/>
          <w:szCs w:val="20"/>
          <w:color w:val="auto"/>
        </w:rPr>
      </w:pPr>
    </w:p>
    <w:p>
      <w:pPr>
        <w:ind w:left="1040" w:right="25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revenue derived from government contracts, including undefinitized contracts, cost-plus-fee contracts and contracts with a performance-based fee structure;</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timing of orders from military and other governmental agencies, including increased purchase requests from government customers for equipment and materials in connection with the U.S. government’s fiscal year end, which may affect our quarterly operating results;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products and services that we sell in the period;</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customer demand for some of our products or services;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incurred in the introduction of new products and services;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adoption of our products and services in new markets;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win additional contracts from existing customers or other contracts from new customers;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7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delays or contract amendments by our U.S. governmental agency and foreign government customers;</w:t>
      </w:r>
    </w:p>
    <w:p>
      <w:pPr>
        <w:spacing w:after="0" w:line="161" w:lineRule="exact"/>
        <w:rPr>
          <w:rFonts w:ascii="Times New Roman" w:cs="Times New Roman" w:eastAsia="Times New Roman" w:hAnsi="Times New Roman"/>
          <w:sz w:val="18"/>
          <w:szCs w:val="18"/>
          <w:color w:val="auto"/>
        </w:rPr>
      </w:pPr>
    </w:p>
    <w:p>
      <w:pPr>
        <w:ind w:left="1040" w:right="41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policy or budgetary measures that adversely affect our U.S. governmental agency and foreign government customers;</w:t>
      </w:r>
    </w:p>
    <w:p>
      <w:pPr>
        <w:spacing w:after="0" w:line="161"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complying with various regulatory requirements applicable to our business and the potential penalties or sanctions that could be imposed for non-compliance; and</w:t>
      </w:r>
    </w:p>
    <w:p>
      <w:pPr>
        <w:spacing w:after="0" w:line="161" w:lineRule="exact"/>
        <w:rPr>
          <w:rFonts w:ascii="Times New Roman" w:cs="Times New Roman" w:eastAsia="Times New Roman" w:hAnsi="Times New Roman"/>
          <w:sz w:val="18"/>
          <w:szCs w:val="18"/>
          <w:color w:val="auto"/>
        </w:rPr>
      </w:pPr>
    </w:p>
    <w:p>
      <w:pPr>
        <w:ind w:left="1040" w:right="55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necessary export licenses for sales of our products and services to international customers.</w:t>
      </w:r>
    </w:p>
    <w:p>
      <w:pPr>
        <w:spacing w:after="0" w:line="162"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Changes in the volume of products and services provided under existing contracts and the number of contracts commenced, completed or terminated during any quarter may cause significant variations in our cash flow from operations because a relatively large amount of our expenses are fixed. We incur significant operating expenses during the start-up and early stages of large contracts and typically do not receive corresponding payments in that same quarter. We may also incur significant or unanticipated expenses when contracts expire or are terminated or are not renewed. In addition, payments due to us from government agencies may be delayed due to billing cycles or as a result of failures of governmental budgets to gain congressional and presidential approval in a timely manner.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Shortfalls in available external R&amp;D funding could adversely affect us.</w:t>
      </w:r>
    </w:p>
    <w:p>
      <w:pPr>
        <w:spacing w:after="0" w:line="22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We depend on our R&amp;D activities to develop the core technologies used in our products and for the development of our future products. A portion of our R&amp;D activities depends on funding by commercial companies and the U.S. government. U.S. government and commercial spending levels can be impacted by a number of variables, including general economic conditions, specific companies’ financial performance and competition for U.S. government funding with other U.S. government-sponsored programs in the budget formulation and appropriation processes. To the extent that these external sources of funding are reduced or eliminated, company funding for R&amp;D could be reduced. Any reductions in available R&amp;D funding could harm our business, financial condition and operating results.</w:t>
      </w:r>
    </w:p>
    <w:p>
      <w:pPr>
        <w:spacing w:after="0" w:line="185"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Unauthorized access to our, our customers’ and/or our suppliers’ information and systems could negatively impact our business.</w:t>
      </w:r>
    </w:p>
    <w:p>
      <w:pPr>
        <w:spacing w:after="0" w:line="15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We face various security threats, including cyber security attacks on our information technology infrastructure, which may include attempts to gain access to our proprietary, financial, banking or classified information, disrupt use of our systems or otherwise compromise the integrity of our operations. Although we utilize various procedures and controls to monitor and mitigate these threats, there can be no assurance that these procedures and controls will be sufficient to prevent physical or cyber access or system disruptions, including the unauthorized release of confidential technical, financial or banking information or corruption of data. Accordingly, any significant operational delays, or any destruction, manipulation or improper use of our data, information systems or networks could adversely affect our financial results and damage our reputation with customers, suppliers and stockholders, and the reputation of our products and services. The occurrence of some of these risks may be increased due to the increase in remote working by our employees, suppliers, contractors and other third parties. Previous cyber-attacks directed at us have not materially impacted our business or financial results, but the impact of future incidents cannot be predicted due to the constantly evolving nature and complexity of cyber-attacks. If we or our partners are subject to data security breaches, whether cyber or due to a failure in physical security protocols, we may have a loss in existing sales and new business opportunities, increased costs arising from remediation of the breach and the restoration or implementation of additional security measures, be subject to regulatory investigations and litigation, including fines and penalties, and face increased insurance or audit requirements in our third-party contracts, any of which could materially and adversely affect our business and financial results. Additionally, expenses resulting from cyber security attacks and other security risks may not be fully insured or otherwise mitigated, which could harm our financial results.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work for the U.S. government and international governments may expose us to increased security risks.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As a government contractor, given the enhanced sensitivity of the information we have access to and the nature of our products and services, we are at increased risk of being targeted for cyber and other security attacks, including threats to the physical security of our facilities and employees. In addition, we work in international locations where there are high security risks, which could result in harm to our employees, contractors, and remote assets, and substantial protection or recovery costs. Some of our services are performed in or adjacent to high-risk locations where the country or location is experiencing political, social or economic issues, or war or civil unrest. In those locations where we have employees or operations, we may incur substantial costs to maintain the safety of our personnel, our remote assets and our information. As such international locations and the risks associated with them change rapidly, such precautions may be insufficient to avoid such risks including possible possession of our remote assets and related access to our intellectual property by unintended third parties and the possible loss of our personnel in these locations, which could harm our business and operating results.</w:t>
      </w:r>
    </w:p>
    <w:p>
      <w:pPr>
        <w:spacing w:after="0" w:line="188"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cash may be subject to a risk of loss, and we may be exposed to fluctuations in the market values of our portfolio investments and in interest rates.</w:t>
      </w:r>
    </w:p>
    <w:p>
      <w:pPr>
        <w:spacing w:after="0" w:line="15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Our assets include a significant amount of cash and investments. We adhere to an investment policy set by our board of directors which aims to preserve our financial assets, maintain adequate liquidity and maximize returns. Nearly all of our cash and bank deposits are not insured by the Federal Deposit Insurance Corporation. Therefore, our cash and any bank deposits that we now hold or may acquire in the future may be subject to risks, including the risk of loss or of reduced value or liquidity. Our investments classified as available-for-sale are recorded at fair value each reporting period. Our investments classified as equity method investments are recorded using the equity method. Unrealized gains and losses are recorded as other income or loss.</w:t>
      </w:r>
    </w:p>
    <w:p>
      <w:pPr>
        <w:spacing w:after="0" w:line="185"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Global credit and financial markets have experienced extreme disruptions in recent years, including severely diminished liquidity and credit availability, declines in consumer confidence, declines in economic growth, increases in unemployment rates and uncertainty about economic stability. There can be no assurance that renewed deterioration in credit and financial markets and confidence in economic conditions will not occur. Our general business strategy may be adversely affected by any economic downturn, volatile business environment or continued unpredictable and unstable market conditions. If the current equity and credit markets deteriorate, or do not improve, it may make any necessary debt or equity financing more difficult, costlier and more dilutive. Failure to secure any necessary financing in a timely manner and on favorable terms could have a material adverse effect on our growth strategy, financial performance and stock price and could require us to delay or abandon implementing business initiatives. These events and the continuing market upheavals could adversely affect our business in a number of ways, including:</w:t>
      </w:r>
    </w:p>
    <w:p>
      <w:pPr>
        <w:spacing w:after="0" w:line="192" w:lineRule="exact"/>
        <w:rPr>
          <w:sz w:val="20"/>
          <w:szCs w:val="20"/>
          <w:color w:val="auto"/>
        </w:rPr>
      </w:pPr>
    </w:p>
    <w:p>
      <w:pPr>
        <w:ind w:left="60" w:right="199" w:firstLine="648"/>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Potential Deferment of Purchases and Orders by Customers: </w:t>
      </w:r>
      <w:r>
        <w:rPr>
          <w:rFonts w:ascii="Times New Roman" w:cs="Times New Roman" w:eastAsia="Times New Roman" w:hAnsi="Times New Roman"/>
          <w:sz w:val="17"/>
          <w:szCs w:val="17"/>
          <w:color w:val="auto"/>
        </w:rPr>
        <w:t>Uncertainty about current and future global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economic conditions may cause governments, including the U.S. government, which is our largest customer, consumers and businesses to modify, defer or cancel purchases in response to tighter credit, decreased cash availability and declining consumer confidence. Accordingly, future demand for our products could differ materially from our current expectations. Additionally, if customers are not successful in generating sufficient revenue or are precluded from securing financing, they may not be able to pay, or may delay payment of, accounts receivable that are owed to us. Any inability of current and/or potential customers to pay us for our products may adversely affect our earnings and cash flow.</w:t>
      </w:r>
    </w:p>
    <w:p>
      <w:pPr>
        <w:spacing w:after="0" w:line="171" w:lineRule="exact"/>
        <w:rPr>
          <w:sz w:val="20"/>
          <w:szCs w:val="20"/>
          <w:color w:val="auto"/>
        </w:rPr>
      </w:pPr>
    </w:p>
    <w:p>
      <w:pPr>
        <w:ind w:left="60" w:right="17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Negative Impact from Increased Financial Pressures on Key Suppliers: </w:t>
      </w:r>
      <w:r>
        <w:rPr>
          <w:rFonts w:ascii="Times New Roman" w:cs="Times New Roman" w:eastAsia="Times New Roman" w:hAnsi="Times New Roman"/>
          <w:sz w:val="18"/>
          <w:szCs w:val="18"/>
          <w:color w:val="auto"/>
        </w:rPr>
        <w:t>Our ability to meet customers’ demands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depends, in part, on our ability to obtain timely and adequate delivery of quality materials, parts and components from our suppliers. If certain key suppliers were to become capacity constrained or insolvent as a result of a market downturn or disruption, then we may have to find new suppliers, which can result in significant delays in manufacturing and shipping our products to customers and additional costs. See above risk factor “If critical components or raw materials used to manufacture our products or used in our development programs become scarce or unavailable,</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then we may incur delays in manufacturing and delivery of our products and in completing our development programs, which could damage our business” for more detail on risks related to our supply chain.</w:t>
      </w:r>
    </w:p>
    <w:p>
      <w:pPr>
        <w:spacing w:after="0" w:line="160" w:lineRule="exact"/>
        <w:rPr>
          <w:sz w:val="20"/>
          <w:szCs w:val="20"/>
          <w:color w:val="auto"/>
        </w:rPr>
      </w:pPr>
    </w:p>
    <w:p>
      <w:pPr>
        <w:ind w:left="60" w:right="1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Customers’ Inability to Obtain Financing to Make Purchases from Us and/or Maintain Their Business: </w:t>
      </w:r>
      <w:r>
        <w:rPr>
          <w:rFonts w:ascii="Times New Roman" w:cs="Times New Roman" w:eastAsia="Times New Roman" w:hAnsi="Times New Roman"/>
          <w:sz w:val="18"/>
          <w:szCs w:val="18"/>
          <w:color w:val="auto"/>
        </w:rPr>
        <w:t>Some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customers may require substantial financing in order to fund their operations and make purchases from us. The inability of these customers to obtain sufficient credit to finance purchases of our products, or otherwise meet their payment obligations to us could adversely impact our financial condition and results of operations. In addition, if a market downturn results in insolvencies for our customers, it could adversely impact our financial condition and results of operations.</w:t>
      </w:r>
    </w:p>
    <w:p>
      <w:pPr>
        <w:spacing w:after="0" w:line="180" w:lineRule="exact"/>
        <w:rPr>
          <w:sz w:val="20"/>
          <w:szCs w:val="20"/>
          <w:color w:val="auto"/>
        </w:rPr>
      </w:pPr>
    </w:p>
    <w:p>
      <w:pPr>
        <w:ind w:left="60" w:right="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could be difficult to integrate, divert the attention of key personnel, disrupt our business, dilute stockholder value and impair our financial results.</w:t>
      </w:r>
    </w:p>
    <w:p>
      <w:pPr>
        <w:spacing w:after="0" w:line="159"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In February 2021, we completed the acquisition of Arcturus and the Intelligent Systems Group business segment (“ISG”). We acquired Telerob in May 2021, Planck Aerosystems, Inc. (“Planck”) in August 2022, and Tomahawk Robotics, Inc. (“Tomahawk”) in September 2023. We intend to consider additional acquisitions that could add to our customer base, technological capabilities or system offerings. Acquisitions involve numerous risks, any of which could harm our business, including the following:</w:t>
      </w:r>
    </w:p>
    <w:p>
      <w:pPr>
        <w:spacing w:after="0" w:line="183" w:lineRule="exact"/>
        <w:rPr>
          <w:sz w:val="20"/>
          <w:szCs w:val="20"/>
          <w:color w:val="auto"/>
        </w:rPr>
      </w:pPr>
    </w:p>
    <w:p>
      <w:pPr>
        <w:ind w:left="1040" w:right="13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operations, technologies, products, existing contracts, accounting and personnel of the companies we acquire and realizing the anticipated synergies of the combined businesses;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supporting and transitioning customers, if any, of the companies we acquire;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management resources from existing operations;</w:t>
      </w:r>
    </w:p>
    <w:p>
      <w:pPr>
        <w:spacing w:after="0" w:line="225" w:lineRule="exact"/>
        <w:rPr>
          <w:rFonts w:ascii="Times New Roman" w:cs="Times New Roman" w:eastAsia="Times New Roman" w:hAnsi="Times New Roman"/>
          <w:sz w:val="18"/>
          <w:szCs w:val="18"/>
          <w:color w:val="auto"/>
        </w:rPr>
      </w:pPr>
    </w:p>
    <w:p>
      <w:pPr>
        <w:ind w:left="1040" w:right="33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we pay or other resources that we devote may exceed the value we realize, or the value we could have realized if we had allocated the purchase price or other resources to another opportunity;</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entering new markets in which we have limited or no experience;</w:t>
      </w:r>
    </w:p>
    <w:p>
      <w:pPr>
        <w:spacing w:after="0" w:line="225" w:lineRule="exact"/>
        <w:rPr>
          <w:rFonts w:ascii="Times New Roman" w:cs="Times New Roman" w:eastAsia="Times New Roman" w:hAnsi="Times New Roman"/>
          <w:sz w:val="18"/>
          <w:szCs w:val="18"/>
          <w:color w:val="auto"/>
        </w:rPr>
      </w:pPr>
    </w:p>
    <w:p>
      <w:pPr>
        <w:ind w:left="1040" w:right="109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complexities of managing a workforce under foreign labor and employment law and related organizational requirements;</w:t>
      </w:r>
    </w:p>
    <w:p>
      <w:pPr>
        <w:spacing w:after="0" w:line="161" w:lineRule="exact"/>
        <w:rPr>
          <w:rFonts w:ascii="Times New Roman" w:cs="Times New Roman" w:eastAsia="Times New Roman" w:hAnsi="Times New Roman"/>
          <w:sz w:val="18"/>
          <w:szCs w:val="18"/>
          <w:color w:val="auto"/>
        </w:rPr>
      </w:pPr>
    </w:p>
    <w:p>
      <w:pPr>
        <w:ind w:left="1040" w:right="43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customers and strategic alliances from either our current business or the acquired company’s business;</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unanticipated problems or latent liabilities, such as problems with the quality of the acquired company’s products or its regulatory compliance; and</w:t>
      </w:r>
    </w:p>
    <w:p>
      <w:pPr>
        <w:spacing w:after="0" w:line="161"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regulatory compliance complexity and risk, including compliance with regulations of foreign jurisdictions.</w:t>
      </w:r>
    </w:p>
    <w:p>
      <w:pPr>
        <w:spacing w:after="0" w:line="16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Acquisitions also frequently result in the recording of goodwill and other intangible assets that are subject to potential impairments in the future that could harm our financial results, such as the MUAS goodwill impairment charge of $156.0 million and accelerated amortization of certain MUAS intangibles of $34.1 million recorded for the MUAS reporting unit for the fiscal year ended April 30, 2023. These charges resulted from decreases in expected cash flows associated with the Company not being down selected for a U.S. DoD program of record and the closure of all of our MEUAS COCO sites in the fiscal year ended April 30, 2023. In addition, if we finance acquisitions by issuing equity, or securities convertible into equity, such as the stock issued as considerations for the purchase of Arcturus and Tomahawk, then our existing stockholders may be diluted, which could lower the market price of our common stock. Further, as lock-up and other restrictions on such consideration shares lapse, we could experience heightened trading activity that could disrupt the market price for our common stock. If we finance acquisitions through debt, such as the credit facilities we entered into in connection with the consummation of our acquisition of Arcturus, then such future debt financing may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contain covenants or other provisions that limit our operational or financial flexibility and represent default risk if we are unable to maintain certain financial performance metrics while the debt remains outstanding.</w:t>
      </w:r>
    </w:p>
    <w:p>
      <w:pPr>
        <w:spacing w:after="0" w:line="16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If we fail to properly evaluate acquisitions or investments, then we may not achieve the anticipated benefits of any such acquisitions, and we may incur costs in excess of what we anticipate. The failure to successfully evaluate and execute acquisitions or investments or otherwise adequately address these risks could materially harm our business and financial results.</w:t>
      </w:r>
    </w:p>
    <w:p>
      <w:pPr>
        <w:spacing w:after="0" w:line="176" w:lineRule="exact"/>
        <w:rPr>
          <w:sz w:val="20"/>
          <w:szCs w:val="20"/>
          <w:color w:val="auto"/>
        </w:rPr>
      </w:pPr>
    </w:p>
    <w:p>
      <w:pPr>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goodwill and intangible assets on our consolidated financial statements that are subject to impairment based upon future adverse changes in our business or prospects, such as the impairment recorded for the MUAS reporting unit.</w:t>
      </w:r>
    </w:p>
    <w:p>
      <w:pPr>
        <w:spacing w:after="0" w:line="175"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At April 30, 2024, the carrying values of goodwill and identifiable intangible assets on our balance sheet were $275.7 million and $72.2 million, respectively. We perform our annual impairment tests during the fourth quarter of each fiscal year or when events or circumstances change in a manner that indicates an asset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projected future results of operations.</w:t>
      </w:r>
    </w:p>
    <w:p>
      <w:pPr>
        <w:spacing w:after="0" w:line="192"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In May 2023, a trigger event was identified that indicated that the carrying value of the MUAS reporting unit exceeded its fair value. Specifically, we received notification that we were not down selected for a U.S. DoD program of record which resulted in a significant decrease in the projected future cash flows of the MUAS reporting unit. As a result, we updated our estimates of long-term future cash flows used in the valuation of the MUAS reporting unit. These changes in estimates, resulted in the recognition of a goodwill impairment charge of $156.0 million in the MUAS reporting unit. Additionally, the closure of all of our MEUAS COCO sites resulted in accelerated intangible amortization expenses of $34.1 million during the fiscal year ended April 30, 2023. Accordingly, the MUAS reporting unit is considered at an increased risk of failing future quantitative goodwill impairment tests as the estimated fair value of the MUAS reporting unit does not substantially exceed its carrying value.</w:t>
      </w:r>
    </w:p>
    <w:p>
      <w:pPr>
        <w:spacing w:after="0" w:line="188"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Fair value determinations utilized in the quantitative goodwill impairment test require considerable judgment and are sensitive to changes in underlying assumptions, estimates, and market factors. Estimating the fair value of individual reporting units requires us to make assumptions and estimates regarding future plans, as well as industry, economic, and regulatory conditions. These assumptions and estimates include estimated future annual net cash flows, income tax rates, discount rates, growth rates, and other market factors. Estimated future annual net cash flows based in part upon the Company’s ability to obtain contracts from the U.S. DoD and foreign allied nations and negotiate the estimated pricing are considered the most significant, sensitive assumptions. Actual results can be materially different from the estimates and assumptions. If current expectations of future growth rates and margins are not met, if market factors outside of the Company’s control, such as discount rates, income tax rates, or inflation, change, or if management’s expectations or plans otherwise change, including updates to long-term operating plans, then we could recognize further future impairment charges, the amount of which could be material.</w:t>
      </w:r>
    </w:p>
    <w:p>
      <w:pPr>
        <w:spacing w:after="0" w:line="188" w:lineRule="exact"/>
        <w:rPr>
          <w:sz w:val="20"/>
          <w:szCs w:val="20"/>
          <w:color w:val="auto"/>
        </w:rPr>
      </w:pPr>
    </w:p>
    <w:p>
      <w:pPr>
        <w:ind w:left="6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Borrowings under our credit facilities could adversely affect our financial condition and restrict our operating flexibility.</w:t>
      </w:r>
    </w:p>
    <w:p>
      <w:pPr>
        <w:spacing w:after="0" w:line="15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On February 19, 2021, in connection with the consummation of the Arcturus acquisition, we entered into a credit agreement with certain lenders, letter of credit issuers, and others (as amended February 4, 2022 and June 6, 2023, the “Credit Agreement”), which, together with its associated Security and Pledge Agreement, sets forth the terms and conditions of a five-year $100 million revolving credit facility, which includes a $25 million sublimit for the issuance of standby and commercial letters of credit (the “Revolving Facility”), and a five-year amortized $200 million term A loan (the “Term Loan Facility”, and together with the Revolving Facility, the “Credit Facilities”). Upon execution of the Credit Agreement, we drew down $200.0 million, the full principal amount of the Term Loan Facility, to partially finance the acquisition of Arcturus.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The Term Loan Facility, as amended, has a five-year term expiring in February 2026 and bears interest, at our option, either at a secured overnight financing rate (“SOFR”) or a base rate plus a fixed applicable margin dependent on our consolidated leverage ratio under the terms of the agreement. We are required to pay 5.0% of the outstanding obligations under the Term Loan Facility in each of the first four loan years, with the remaining 80.0% payable in the fifth loan year, consisting of three quarterly payments of 1.25% each, with the remaining outstanding principal amount of the Term Loan Facility due and payable on the maturity date. The Revolving Facility has a term of 5 years. As of April 30, 2024, the outstanding balance of the Term Loan Facilities was $28.0 million, and we had only letters of credit issued pursuant to the Revolving Facility, totaling $15.5 million.</w:t>
      </w:r>
    </w:p>
    <w:p>
      <w:pPr>
        <w:spacing w:after="0" w:line="192" w:lineRule="exact"/>
        <w:rPr>
          <w:sz w:val="20"/>
          <w:szCs w:val="20"/>
          <w:color w:val="auto"/>
        </w:rPr>
      </w:pPr>
    </w:p>
    <w:p>
      <w:pPr>
        <w:ind w:left="60" w:right="99" w:firstLine="648"/>
        <w:spacing w:after="0" w:line="281" w:lineRule="auto"/>
        <w:rPr>
          <w:sz w:val="20"/>
          <w:szCs w:val="20"/>
          <w:color w:val="auto"/>
        </w:rPr>
      </w:pPr>
      <w:r>
        <w:rPr>
          <w:rFonts w:ascii="Times New Roman" w:cs="Times New Roman" w:eastAsia="Times New Roman" w:hAnsi="Times New Roman"/>
          <w:sz w:val="17"/>
          <w:szCs w:val="17"/>
          <w:color w:val="auto"/>
        </w:rPr>
        <w:t>In support of our obligations under the Credit Facilities, we have granted security interests in substantially all of our personal property and that of our domestic subsidiaries, including a pledge of the equity interests in our subsidiaries (limited to 65% of outstanding equity interests in the case of our foreign subsidiaries), subject to customary exclusions and exceptions. In addition, our domestic subsidiaries, including Arcturus, are required to be guarantors of the Credit Facilities.</w:t>
      </w:r>
    </w:p>
    <w:p>
      <w:pPr>
        <w:spacing w:after="0" w:line="1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addition, our increased level of indebtedness may have important consequences to us, including:</w:t>
      </w:r>
    </w:p>
    <w:p>
      <w:pPr>
        <w:spacing w:after="0" w:line="225" w:lineRule="exact"/>
        <w:rPr>
          <w:sz w:val="20"/>
          <w:szCs w:val="20"/>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general economic and industry conditions;</w:t>
      </w:r>
    </w:p>
    <w:p>
      <w:pPr>
        <w:spacing w:after="0" w:line="225" w:lineRule="exact"/>
        <w:rPr>
          <w:rFonts w:ascii="Times New Roman" w:cs="Times New Roman" w:eastAsia="Times New Roman" w:hAnsi="Times New Roman"/>
          <w:sz w:val="18"/>
          <w:szCs w:val="18"/>
          <w:color w:val="auto"/>
        </w:rPr>
      </w:pPr>
    </w:p>
    <w:p>
      <w:pPr>
        <w:jc w:val="both"/>
        <w:ind w:left="1040" w:right="119" w:hanging="315"/>
        <w:spacing w:after="0" w:line="261"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flows to the payment of interest and when applicable, principal, on our indebtedness and other obligations thereby reducing the availability of our cash flow to fund working capital, capital expenditures, R&amp;D efforts, execution of our business strategy, acquisitions and other general corporate purposes;</w:t>
      </w:r>
    </w:p>
    <w:p>
      <w:pPr>
        <w:spacing w:after="0" w:line="179"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the economy, the defense industry, and the markets in which we operate;</w:t>
      </w:r>
    </w:p>
    <w:p>
      <w:pPr>
        <w:spacing w:after="0" w:line="161" w:lineRule="exact"/>
        <w:rPr>
          <w:rFonts w:ascii="Times New Roman" w:cs="Times New Roman" w:eastAsia="Times New Roman" w:hAnsi="Times New Roman"/>
          <w:sz w:val="18"/>
          <w:szCs w:val="18"/>
          <w:color w:val="auto"/>
        </w:rPr>
      </w:pPr>
    </w:p>
    <w:p>
      <w:pPr>
        <w:ind w:left="1040" w:right="199" w:hanging="315"/>
        <w:spacing w:after="0" w:line="266"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maintenance of various financial covenants and adherence to certain other affirmative and negative covenants, requiring us to seek lender consent or waiver in relation to our financial performance or other potential strategic actions in the future;</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with less indebtedness;</w:t>
      </w:r>
    </w:p>
    <w:p>
      <w:pPr>
        <w:spacing w:after="0" w:line="225" w:lineRule="exact"/>
        <w:rPr>
          <w:rFonts w:ascii="Times New Roman" w:cs="Times New Roman" w:eastAsia="Times New Roman" w:hAnsi="Times New Roman"/>
          <w:sz w:val="18"/>
          <w:szCs w:val="18"/>
          <w:color w:val="auto"/>
        </w:rPr>
      </w:pPr>
    </w:p>
    <w:p>
      <w:pPr>
        <w:ind w:left="1040" w:right="299" w:hanging="315"/>
        <w:spacing w:after="0" w:line="261"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substantial interest rate risk due to the variable interest rate under the Credit Facilities, such that, if interest rates were to increase substantially during the term of the Credit Facilities, the resulting increase in our interest payment obligations could adversely affect our operating results and our ability to service the indebtedness under the Credit Facilities; and</w:t>
      </w:r>
    </w:p>
    <w:p>
      <w:pPr>
        <w:spacing w:after="0" w:line="179" w:lineRule="exact"/>
        <w:rPr>
          <w:rFonts w:ascii="Times New Roman" w:cs="Times New Roman" w:eastAsia="Times New Roman" w:hAnsi="Times New Roman"/>
          <w:sz w:val="18"/>
          <w:szCs w:val="18"/>
          <w:color w:val="auto"/>
        </w:rPr>
      </w:pPr>
    </w:p>
    <w:p>
      <w:pPr>
        <w:ind w:left="1040" w:right="51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borrow additional funds in the future to fund our growth, acquisitions, working capital, capital expenditures, and other purposes.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 the extent we incur additional indebtedness, the risks described above could increase.</w:t>
      </w:r>
    </w:p>
    <w:p>
      <w:pPr>
        <w:spacing w:after="0" w:line="225"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If we do not have sufficient funds to repay the Term Loan Facility when it becomes due in 2026, it may be necessary to refinance our debt through additional debt or equity financings. If, at the time of any such refinancing, prevailing interest rates or other factors result in higher interest rates on such refinanced debt, such increases in our interest expense could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events of default, upon the occurrence and during the continuation of which, after any applicable grace period, the lenders would have the ability to declare the loans due and payable in whole or in part. Among other things, if we fail to make required debt payments, or if we fail to comply with financial or other covenants in the Credit Agreement, we would be in default under the terms thereof. The Credit Agreement contains customary negative covenants that include, subject to customary exclusions:</w:t>
      </w:r>
    </w:p>
    <w:p>
      <w:pPr>
        <w:spacing w:after="0" w:line="183" w:lineRule="exact"/>
        <w:rPr>
          <w:sz w:val="20"/>
          <w:szCs w:val="20"/>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additional liens on our assets.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incurring additional indebtedness.</w:t>
      </w:r>
    </w:p>
    <w:p>
      <w:pPr>
        <w:spacing w:after="0" w:line="9" w:lineRule="exact"/>
        <w:rPr>
          <w:rFonts w:ascii="Times New Roman" w:cs="Times New Roman" w:eastAsia="Times New Roman" w:hAnsi="Times New Roman"/>
          <w:sz w:val="18"/>
          <w:szCs w:val="18"/>
          <w:color w:val="auto"/>
        </w:rPr>
      </w:pPr>
    </w:p>
    <w:p>
      <w:pPr>
        <w:ind w:left="1040" w:right="419" w:hanging="315"/>
        <w:spacing w:after="0" w:line="250"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new investments, including acquisitions, mergers, investments in subsidiaries that are not guarantors of the debt, and joint ventures.</w:t>
      </w: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disposal of assets.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payments of cash dividends.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changing the nature of our business.</w:t>
      </w:r>
    </w:p>
    <w:p>
      <w:pPr>
        <w:spacing w:after="0" w:line="9" w:lineRule="exact"/>
        <w:rPr>
          <w:rFonts w:ascii="Times New Roman" w:cs="Times New Roman" w:eastAsia="Times New Roman" w:hAnsi="Times New Roman"/>
          <w:sz w:val="18"/>
          <w:szCs w:val="18"/>
          <w:color w:val="auto"/>
        </w:rPr>
      </w:pPr>
    </w:p>
    <w:p>
      <w:pPr>
        <w:ind w:left="1040" w:right="379" w:hanging="315"/>
        <w:spacing w:after="0" w:line="250"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to maintain a maximum consolidated leverage ratio and a minimum fixed charge coverage ratio.</w:t>
      </w: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changes to our accounting policies.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payments of any junior indebtedness.</w:t>
      </w:r>
    </w:p>
    <w:p>
      <w:pPr>
        <w:spacing w:after="0" w:line="20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To the extent we would wish to engage in any of the prohibited behaviors, we would need to obtain consent under the Credit Agreement, which may not be timely forthcoming or at all. If a default event were to occur, we may not have sufficient available cash to repay such outstanding debt obligations at the time they become due or be able to refinance such debt on acceptable terms or at all.</w:t>
      </w:r>
    </w:p>
    <w:p>
      <w:pPr>
        <w:spacing w:after="0" w:line="180"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Any of the foregoing limitations or events could materially and adversely affect our financial condition and results of operations.</w:t>
      </w:r>
    </w:p>
    <w:p>
      <w:pPr>
        <w:spacing w:after="0" w:line="158"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environmental, social and governance matters (“ESG”), including climate change specifically and other environmental impacts, could negatively affect our business and operations.</w:t>
      </w:r>
    </w:p>
    <w:p>
      <w:pPr>
        <w:spacing w:after="0" w:line="15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ESG matters significantly impact our business and operations and present evolving risks and challenges. Environmental impacts, including climate change specifically, create short and long-term financial risks to our business globally. The majority of our R&amp;D and manufacturing operations are located in California in regions known for seismic activity and wildfires. Climate related changes can increase the frequency and severity of significant weather events and natural disasters. While we maintain insurance coverage to cover certain risks of losses for damage or destruction to facilities and property and for interruption of our business, such insurance may not cover specific losses and the amount of our insurance coverage may not be adequate to cover all of our losses. A significant natural disaster, such as an earthquake, fire or other catastrophic event, could severely affect our ability to conduct normal business operations, and as a result, our future operating results could be materially and adversely affected, including if our losses are not adequately or timely covered by our insurance.</w:t>
      </w:r>
    </w:p>
    <w:p>
      <w:pPr>
        <w:spacing w:after="0" w:line="194"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Increased attention on ESG matters, including from our customers, shareholders and other stakeholders, may lead to us expending more resources addressing these issues. Legislative and regulatory efforts to combat climate change and address ESG issues may prove costly and burdensome for us to comply with and will likely continue to impact us, our customers and our suppliers.</w:t>
      </w:r>
    </w:p>
    <w:p>
      <w:pPr>
        <w:spacing w:after="0" w:line="176"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various risks related to pandemics and similar public health crises, such as the recent COVID-19 coronavirus pandemic, which may adversely impact our business.</w:t>
      </w:r>
    </w:p>
    <w:p>
      <w:pPr>
        <w:spacing w:after="0" w:line="15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Global pandemics and similar public health crises, such as the recent COVID-19 coronavirus pandemic. Although our operations mostly continued uninterrupted during the COVID-19 pandemic, we cannot predict the effect of future public health crises on our business and operations. Pandemics and other public health crises can require the adoption of work from home protocols, social distancing measures in the workplace, international travel restrictions, vaccine mandates and other responsive actions and other changes to our operations. Public health crisis may result in travel disruptions, quarantine requirements or other similar logistics restrictions, may further reduce our and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customers’ capabilities to travel, domestically and internationally, which may impact our ability to perform certain contracts, develop and renew contracts, or market our products, or could otherwise disrupt portions of our business and have a material adverse effect on our results of operations.</w:t>
      </w:r>
    </w:p>
    <w:p>
      <w:pPr>
        <w:spacing w:after="0" w:line="172"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self-insure a portion of our health insurance program, which may expose us to unexpected costs and negatively affect our results of operations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We are self-insured for the majority of our employee medical claims, subject to individual and aggregate stop loss insurance policies. We estimate liability for claims filed and incurred but not reported based upon recent claims experience and an analysis of the average period of time between the occurrence of a claim and the time it is reported to and paid by us. However, unanticipated changes in assumptions and management estimates underlying our recorded liabilities for medical claims could result in materially different amounts of expense than expected under our health insurance program, which could have an adverse material impact on our financial condition and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Recession, financial and credit market disruptions may adversely affect us.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If another global recession emerges, we may experience declines in revenues, profitability and cash flows from reduced orders, payment delays, collection difficulties, increased price pressures for our products, increased risk of excess and obsolete inventories or other factors caused by the economic problems of our customers. If negative conditions in the global credit markets prevent our customers from having access to credit or render them insolvent, orders for our products may decrease, which would result in lower revenue. Likewise, if our suppliers face challenges in obtaining credit, in selling their products, or otherwise in operating their businesses or remaining solvent, they may become unable to offer the materials we use to manufacture our products. An economic or credit crisis could also have an impact on our ability to raise capital when needed. These events could adversely impact our ability to manufacture affected products and could also result in reductions in our revenue, increased price competition, and increased operating costs, which could adversely affect our business, financial condition, operational results, and cash flows.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U.S. Government Contracts</w:t>
      </w:r>
    </w:p>
    <w:p>
      <w:pPr>
        <w:spacing w:after="0" w:line="225" w:lineRule="exact"/>
        <w:rPr>
          <w:sz w:val="20"/>
          <w:szCs w:val="20"/>
          <w:color w:val="auto"/>
        </w:rPr>
      </w:pPr>
    </w:p>
    <w:p>
      <w:pPr>
        <w:ind w:left="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presently classified as a small business defense contractor and the loss of our small business status may adversely affect our ability to compete for small business set aside US government contracts.</w:t>
      </w:r>
    </w:p>
    <w:p>
      <w:pPr>
        <w:spacing w:after="0" w:line="15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Because we have fewer than 1,500 employees, we are presently classified as a small business defense contractor under our primary North American Industry Classification Systems (“NAICS”) industry and product specific codes (336411 - Aircraft Manufacturing) which are regulated in the United States by the Small Business Administration (“SBA”). Businesses that meet the small business size standard for the relevant NAICS code are able to bid on small business set aside contracts. While we do not presently derive a substantial portion of our business from contracts which are set aside for small businesses, we are able to bid on small business set aside contracts as well as contracts which are open to non-small business entities. As we continue to grow and add employees, including through acquisitions, or if NAICS codes are revised, we could cease to qualify as a small business, which could adversely impact our eligibility for special small business programs and limit our ability to partner with other business entities that seek to team with small business entities as may be required under a specific contract. If we outgrow our small business classification, we would not be eligible to serve as the prime contractor on small business set aside programs and may need to implement a small business subcontracting plan with other companies that qualify as a small business, for SBA approval. The loss of our small business classification could have a material adverse effect on our financial position and/or results of operations. Additionally, in accordance with 48 CFR § 9903.201-1(b), Cost Accounting Standards (“CAS”) Applicability, if we are no longer eligible for the small business exemption and we receive a CAS triggering contract of more than $7.5 million, we will be subject to the requirements of modified CAS. If net CAS-covered awards received in the prior year exceed $50 million or we receive a single CAS-covered contract of $50 million or more in the current year, we will be subject to full CAS requirements. We would be required to demonstrate compliance with such standards upon the award of a contract subject to the full range of CAS, which will impose additional administrative costs on our business, and may significantly affect the manner in which we conduct our business with our customers and adversely affect our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government regulation, and our failure to comply with applicable regulations could subject us to penalties that may restrict our ability to conduct our business.</w:t>
      </w:r>
    </w:p>
    <w:p>
      <w:pPr>
        <w:spacing w:after="0" w:line="15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As a contractor to the U.S. government, we are subject to and must comply with various government regulations that impact our revenue, operating costs, profit margins and the internal organization and operation of our business. The most significant regulations and regulatory authorities affecting our business include the following:</w:t>
      </w:r>
    </w:p>
    <w:p>
      <w:pPr>
        <w:spacing w:after="0" w:line="176" w:lineRule="exact"/>
        <w:rPr>
          <w:sz w:val="20"/>
          <w:szCs w:val="20"/>
          <w:color w:val="auto"/>
        </w:rPr>
      </w:pPr>
    </w:p>
    <w:p>
      <w:pPr>
        <w:ind w:left="1040" w:right="23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Acquisition Regulations and supplemental agency regulations, which comprehensively regulate the formation and administration of, and performance under, U.S. government contracts;</w:t>
      </w:r>
    </w:p>
    <w:p>
      <w:pPr>
        <w:spacing w:after="0" w:line="161"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in Negotiations Act, which requires certification and disclosure of all factual cost and pricing data in connection with contract negotiations;</w:t>
      </w:r>
    </w:p>
    <w:p>
      <w:pPr>
        <w:spacing w:after="0" w:line="161" w:lineRule="exact"/>
        <w:rPr>
          <w:rFonts w:ascii="Times New Roman" w:cs="Times New Roman" w:eastAsia="Times New Roman" w:hAnsi="Times New Roman"/>
          <w:sz w:val="18"/>
          <w:szCs w:val="18"/>
          <w:color w:val="auto"/>
        </w:rPr>
      </w:pPr>
    </w:p>
    <w:p>
      <w:pPr>
        <w:ind w:left="1040" w:right="239" w:hanging="315"/>
        <w:spacing w:after="0" w:line="266"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False Claims Act and the False Statements Act, which impose penalties for payments made on the basis of false facts provided to the government and on the basis of false statements made to the government, respectively;</w:t>
      </w:r>
    </w:p>
    <w:p>
      <w:pPr>
        <w:spacing w:after="0" w:line="175" w:lineRule="exact"/>
        <w:rPr>
          <w:rFonts w:ascii="Times New Roman" w:cs="Times New Roman" w:eastAsia="Times New Roman" w:hAnsi="Times New Roman"/>
          <w:sz w:val="18"/>
          <w:szCs w:val="18"/>
          <w:color w:val="auto"/>
        </w:rPr>
      </w:pPr>
    </w:p>
    <w:p>
      <w:pPr>
        <w:ind w:left="1040" w:right="39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which prohibits U.S. companies from providing anything of value to a foreign official to help obtain, retain or direct business, or obtain any unfair advantage;</w:t>
      </w:r>
    </w:p>
    <w:p>
      <w:pPr>
        <w:spacing w:after="0" w:line="161" w:lineRule="exact"/>
        <w:rPr>
          <w:rFonts w:ascii="Times New Roman" w:cs="Times New Roman" w:eastAsia="Times New Roman" w:hAnsi="Times New Roman"/>
          <w:sz w:val="18"/>
          <w:szCs w:val="18"/>
          <w:color w:val="auto"/>
        </w:rPr>
      </w:pPr>
    </w:p>
    <w:p>
      <w:pPr>
        <w:ind w:left="1040" w:right="339" w:hanging="315"/>
        <w:spacing w:after="0" w:line="266"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Telecommunications and Information Administration and the Federal Communications Commission, which regulate the wireless spectrum allocations upon which UAS depend for operation and data transmission in the United States;</w:t>
      </w:r>
    </w:p>
    <w:p>
      <w:pPr>
        <w:spacing w:after="0" w:line="175" w:lineRule="exact"/>
        <w:rPr>
          <w:rFonts w:ascii="Times New Roman" w:cs="Times New Roman" w:eastAsia="Times New Roman" w:hAnsi="Times New Roman"/>
          <w:sz w:val="18"/>
          <w:szCs w:val="18"/>
          <w:color w:val="auto"/>
        </w:rPr>
      </w:pPr>
    </w:p>
    <w:p>
      <w:pPr>
        <w:ind w:left="1040" w:right="53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Aviation Administration, which regulates the use of airspace for all aircraft, including UAS operation in the United States;</w:t>
      </w:r>
    </w:p>
    <w:p>
      <w:pPr>
        <w:spacing w:after="0" w:line="161" w:lineRule="exact"/>
        <w:rPr>
          <w:rFonts w:ascii="Times New Roman" w:cs="Times New Roman" w:eastAsia="Times New Roman" w:hAnsi="Times New Roman"/>
          <w:sz w:val="18"/>
          <w:szCs w:val="18"/>
          <w:color w:val="auto"/>
        </w:rPr>
      </w:pPr>
    </w:p>
    <w:p>
      <w:pPr>
        <w:ind w:left="1040" w:right="25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to protect U.S. Government controlled unclassified information (“CUI”), which our suppliers have access to in order to comply with cyber security regulations;</w:t>
      </w:r>
    </w:p>
    <w:p>
      <w:pPr>
        <w:spacing w:after="0" w:line="161" w:lineRule="exact"/>
        <w:rPr>
          <w:rFonts w:ascii="Times New Roman" w:cs="Times New Roman" w:eastAsia="Times New Roman" w:hAnsi="Times New Roman"/>
          <w:sz w:val="18"/>
          <w:szCs w:val="18"/>
          <w:color w:val="auto"/>
        </w:rPr>
      </w:pPr>
    </w:p>
    <w:p>
      <w:pPr>
        <w:ind w:left="1040" w:right="99" w:hanging="315"/>
        <w:spacing w:after="0" w:line="261"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International Traffic in Arms Regulations and Export Administration Regulations, which regulate the export of sensitive technology and hardware, including controlled technical data, defense articles and defense services and restrict the countries from which we may purchase materials and services used in the production of certain of our products; and</w:t>
      </w:r>
    </w:p>
    <w:p>
      <w:pPr>
        <w:spacing w:after="0" w:line="179" w:lineRule="exact"/>
        <w:rPr>
          <w:rFonts w:ascii="Times New Roman" w:cs="Times New Roman" w:eastAsia="Times New Roman" w:hAnsi="Times New Roman"/>
          <w:sz w:val="18"/>
          <w:szCs w:val="18"/>
          <w:color w:val="auto"/>
        </w:rPr>
      </w:pPr>
    </w:p>
    <w:p>
      <w:pPr>
        <w:jc w:val="both"/>
        <w:ind w:left="1040" w:right="459" w:hanging="315"/>
        <w:spacing w:after="0" w:line="266"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regulations and executive orders restricting the use and dissemination of information classified for national security purposes or determined to be CUI and the exportation of certain products and technical data.</w:t>
      </w:r>
    </w:p>
    <w:p>
      <w:pPr>
        <w:spacing w:after="0" w:line="1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Also, we need special security clearances and regulatory approvals to continue working on certain of our projects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and facilities to obtain government security clearances. We also must implement controls to protect U.S. government CUI. Failure to implement such controls to protect CUI could jeopardize our ability to continue receiving U.S. government contracts. Additionally, certain of our products are sold to the U.S. government as commercial items. If the U.S. government were to dispute the commercial designation of such items, and absent a successful appeal by us of such designation, the profitability of sales of such items could be negatively affected. Our failure to comply with applicable regulations, rules and approvals; changes in the government’s interpretation of such regulations, rules and approvals as have been and are applied to our contracts, proposals or business or misconduct by any of our employees could result in the imposition of fines and penalties, the loss of security clearances, a decrease in profitability, the loss of our government contracts or our suspension or debarment from contracting with the U.S. government generally, any of which could harm our business, financial condition and results of operations. We are also subject to certain regulations of comparable government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282" w:lineRule="auto"/>
        <w:rPr>
          <w:sz w:val="20"/>
          <w:szCs w:val="20"/>
          <w:color w:val="auto"/>
        </w:rPr>
      </w:pPr>
      <w:r>
        <w:rPr>
          <w:rFonts w:ascii="Times New Roman" w:cs="Times New Roman" w:eastAsia="Times New Roman" w:hAnsi="Times New Roman"/>
          <w:sz w:val="18"/>
          <w:szCs w:val="18"/>
          <w:color w:val="auto"/>
        </w:rPr>
        <w:t>agencies in other countries, and our failure to comply with these non-U.S. regulations could also harm our business, financial condition or results of operations.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a negative audit or investigation by the U.S. government.</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U.S. government agencies, primarily the DCAA and the DCMA, routinely audit and investigate government contractors. These agencies review a contractor’s performance under its contracts, cost structure and compliance with applicable laws, regulations and standards. These agencies also may review the adequacy of, and a contractor’s compliance with, its internal control systems and policies, including the contractor’s purchasing, quality, accounting, property, estimating, compensation and management information systems.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Like most government contractors, our contracts are audited and reviewed on a continual basis by the DCMA and the DCAA. The indirect costs we incur in performing government contracts have been audited or have been subject to audit on an annual basis. The audits of our incurred cost claims through fiscal year 2022 have been settled. At April 30, 2024, we had no reserve for open incurred cost claim audits. In addition, non-audit reviews or investigations by the government may still be conducted on all of our government contracts.</w:t>
      </w:r>
    </w:p>
    <w:p>
      <w:pPr>
        <w:spacing w:after="0" w:line="183"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Any costs found to be improperly allocated to a specific cost reimbursement contract will not be reimbursed, while such costs already reimbursed must be refunded. If an audit or investigation of our business were to uncover improper or illegal activities, we could be subject to civil and criminal penalties and administrative sanctions, including termination of contracts, suspension of payments, fines and suspension or debarment from doing business with the U.S. government. We could experience serious harm to our reputation if allegations of impropriety or illegal acts were made against us, even if the allegations were inaccurate. In addition, responding to governmental audits or investigations may involve significant expense and divert management attention. If any of the foregoing were to occur, our financial condition and operating results could be materially adversely affected.</w:t>
      </w:r>
    </w:p>
    <w:p>
      <w:pPr>
        <w:spacing w:after="0" w:line="192"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Moreover, if any of our administrative processes and business systems are found not to comply with the applicable requirements, we may be subjected to increased government scrutiny or required to obtain additional governmental approvals that could delay or otherwise adversely affect our ability to compete for or perform contracts. The purchasing systems was most recently reviewed and approved again in March 2022. An unfavorable outcome to such an audit or investigation by the DCAA, U.S. Department of Justice (“DOJ”), or other government agency, could materially adversely affect our competitive position, affect our ability to obtain new government business, and obtain the maximum price for our products and services, and result in a substantial reduction of our revenues.</w:t>
      </w:r>
    </w:p>
    <w:p>
      <w:pPr>
        <w:spacing w:after="0" w:line="18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If we were suspended or debarred from contracting with the federal government generally, or any specific agency, if our reputation or relationship with government agencies were impaired, or if the government otherwise ceased doing business with us or significantly decreased the amount of business it does with us, our revenue and operating results could be materially harmed.</w:t>
      </w:r>
    </w:p>
    <w:p>
      <w:pPr>
        <w:spacing w:after="0" w:line="176"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contracts with the U.S. government allow it to use inventions developed under the contracts and to disclose technical data to third parties, which could harm our ability to compete.</w:t>
      </w:r>
    </w:p>
    <w:p>
      <w:pPr>
        <w:spacing w:after="0" w:line="15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Some of our contracts allow the U.S. government to use, royalty-free, or have others use, inventions developed under those contracts on behalf of the government. Some of the contracts allow the federal government to disclose technical data without constraining the recipient on how that data is used. The ability of third parties to use patents and technical data for government purposes creates the possibility that the government could attempt to establish alternative suppliers or to negotiate with us to reduce our prices. The potential that the government may release some of the technical data without constraint creates the possibility that third parties may be able to use this data to compete with us,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6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U.S. government contracts are generally not fully funded at inception, contain certain provisions that may be unfavorable to us and may be undefinitized at the time of the start of performance, which could prevent us from realizing our contract backlog and materially harm our business and results of operations.</w:t>
      </w:r>
    </w:p>
    <w:p>
      <w:pPr>
        <w:spacing w:after="0" w:line="175"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U.S. government contracts typically involve long lead times for design and development and are subject to significant changes in contract scheduling. Congress generally appropriates funds on a fiscal year basis even though a program may continue for several years. Consequently, programs are often only partially funded initially, and additional funds are committed only as Congress makes further appropriations. The termination or reduction of funding for a government program would result in a loss of anticipated future revenue attributable to that program.</w:t>
      </w:r>
    </w:p>
    <w:p>
      <w:pPr>
        <w:spacing w:after="0" w:line="183" w:lineRule="exact"/>
        <w:rPr>
          <w:sz w:val="20"/>
          <w:szCs w:val="20"/>
          <w:color w:val="auto"/>
        </w:rPr>
      </w:pPr>
    </w:p>
    <w:p>
      <w:pPr>
        <w:ind w:left="60" w:right="239" w:firstLine="648"/>
        <w:spacing w:after="0" w:line="312" w:lineRule="auto"/>
        <w:rPr>
          <w:sz w:val="20"/>
          <w:szCs w:val="20"/>
          <w:color w:val="auto"/>
        </w:rPr>
      </w:pPr>
      <w:r>
        <w:rPr>
          <w:rFonts w:ascii="Times New Roman" w:cs="Times New Roman" w:eastAsia="Times New Roman" w:hAnsi="Times New Roman"/>
          <w:sz w:val="17"/>
          <w:szCs w:val="17"/>
          <w:color w:val="auto"/>
        </w:rPr>
        <w:t>The actual receipt of revenue on awards included in backlog may never occur or may change because a program schedule could change or the program could be canceled, or a contract could be reduced, modified or terminated early.</w:t>
      </w:r>
    </w:p>
    <w:p>
      <w:pPr>
        <w:spacing w:after="0" w:line="140"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In addition, U.S. government contracts generally contain provisions permitting termination, in whole or in part, at the government’s convenience or for contractor default. Since a substantial majority of our revenue is dependent on the procurement, performance and payment under our U.S. government contracts, the termination of one or more critical government contracts could have a negative impact on our results of operations and financial condition. Termination arising out of our default could result in damage to our reputation, expose us to liability and have a material adverse effect on our ability to re-compete for future contracts and orders. Moreover, several of our contracts with the U.S. government do not contain a limitation of liability provision, creating a risk of responsibility for indirect, incidental damages and consequential damages. These provisions could cause substantial liability for us, especially given the use to which our products may be put.</w:t>
      </w:r>
    </w:p>
    <w:p>
      <w:pPr>
        <w:spacing w:after="0" w:line="18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Furthermore, we may operate from time to time under UCAs or UCOs, under which we may begin performance at the direction of the U.S. government prior to completing contract negotiations regarding pricing, specifications and other terms. Under a UCA, the U.S. Government has the ability to unilaterally definitize contracts and, absent a successful appeal of such action, the unilateral definitization of the contract would obligate us to perform under terms and conditions imposed by the U.S. government. Such unilaterally imposed contract terms could include less favorable pricing and/or terms and conditions more burdensome than those negotiated in other circumstances, which could negatively affect our expected profitability under such contract and could negatively affect our results of operations.</w:t>
      </w:r>
    </w:p>
    <w:p>
      <w:pPr>
        <w:spacing w:after="0" w:line="185"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government contracts are subject to a competitive bidding process that can consume significant resources without generating any revenue.</w:t>
      </w:r>
    </w:p>
    <w:p>
      <w:pPr>
        <w:spacing w:after="0" w:line="15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U.S. government contracts are frequently awarded only after formal, protracted competitive bidding processes and, in many cases, unsuccessful bidders for U.S. government contracts are provided the opportunity to protest contract awards through various agency, administrative and judicial channels. We derive significant revenue from U.S. government contracts that were awarded through a competitive bidding process. Much of the business that we expect to seek in the foreseeable future likely will be awarded through competitive bidding. Competitive bidding presents a number of risks, including the following:</w:t>
      </w:r>
    </w:p>
    <w:p>
      <w:pPr>
        <w:spacing w:after="0" w:line="187" w:lineRule="exact"/>
        <w:rPr>
          <w:sz w:val="20"/>
          <w:szCs w:val="20"/>
          <w:color w:val="auto"/>
        </w:rPr>
      </w:pPr>
    </w:p>
    <w:p>
      <w:pPr>
        <w:ind w:left="1040" w:right="39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bid on programs in advance of the completion of their design, which may result in unforeseen technological difficulties and cost overruns;</w:t>
      </w:r>
    </w:p>
    <w:p>
      <w:pPr>
        <w:spacing w:after="0" w:line="161" w:lineRule="exact"/>
        <w:rPr>
          <w:rFonts w:ascii="Times New Roman" w:cs="Times New Roman" w:eastAsia="Times New Roman" w:hAnsi="Times New Roman"/>
          <w:sz w:val="18"/>
          <w:szCs w:val="18"/>
          <w:color w:val="auto"/>
        </w:rPr>
      </w:pPr>
    </w:p>
    <w:p>
      <w:pPr>
        <w:ind w:left="1040" w:right="57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cost and managerial time and effort that must be spent to prepare bids and proposals for contracts that may not be awarded to us;</w:t>
      </w:r>
    </w:p>
    <w:p>
      <w:pPr>
        <w:spacing w:after="0" w:line="161"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estimate accurately the resources and cost structure that will be required to service any contract we are awarded; and</w:t>
      </w:r>
    </w:p>
    <w:p>
      <w:pPr>
        <w:spacing w:after="0" w:line="161" w:lineRule="exact"/>
        <w:rPr>
          <w:rFonts w:ascii="Times New Roman" w:cs="Times New Roman" w:eastAsia="Times New Roman" w:hAnsi="Times New Roman"/>
          <w:sz w:val="18"/>
          <w:szCs w:val="18"/>
          <w:color w:val="auto"/>
        </w:rPr>
      </w:pPr>
    </w:p>
    <w:p>
      <w:pPr>
        <w:ind w:left="1040" w:right="319" w:hanging="315"/>
        <w:spacing w:after="0" w:line="261"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and delay that may arise if our competitors protest or challenge contract awards made to us pursuant to competitive bidding, and the risk that any such protest or challenge could result in the delay of our contract performance, the distraction of management, the resubmission of bids on modified specifications, or in termination, reduction or modification of the awarded contract.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We may not be provided the opportunity to bid on contracts that are held by other companies and are scheduled to expire if the government extends the existing contract. If we are unable to win particular contracts that are awarded through a competitive bidding process, then we may not be able to operate for a number of years in the market for goods and services that are provided under those contracts. If we are unable to win new contract awards over any extended period consistently, then our business and prospects will be adversely affected.</w:t>
      </w:r>
    </w:p>
    <w:p>
      <w:pPr>
        <w:spacing w:after="0" w:line="179"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procurement rules and regulations, which increase our performance and compliance costs under our U.S. government contracts.</w:t>
      </w:r>
    </w:p>
    <w:p>
      <w:pPr>
        <w:spacing w:after="0" w:line="159"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We must comply with, and are affected by, laws and regulations relating to the formation, administration and performance of U.S. government contracts. These laws and regulations, among other things, require certification and disclosure of all cost and pricing data in connection with contract negotiation, define allowable and unallowable costs and otherwise govern our right to reimbursement under certain cost-based U.S. government contracts, and restrict the use and dissemination of classified information and the exportation of certain products and technical data. These requirements, although customary in U.S. government contracts, increase our performance and compliance costs. These costs might increase in the future, reducing our margins, which could have a negative effect on our financial condition. Although we believe we have procedures in place to comply with these regulations and requirements, the regulations and requirements are complex and change frequently. Our or our agents’ failure to comply with these regulations and requirements under certain circumstances could lead to suspension or debarment from U.S. government contracting or subcontracting for a period of time and could have a negative effect on our reputation and ability to receive other U.S. government contract awards in the future.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Requirements</w:t>
      </w:r>
    </w:p>
    <w:p>
      <w:pPr>
        <w:spacing w:after="0" w:line="225"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could be prohibited from shipping our products to certain countries if we are unable to obtain U.S. government authorization regarding the export of our products and services, or if current or future export laws limit or otherwise restrict our business. In addition, failure to comply with export laws could result in fines, export restrictions and other sanctions and penalties.</w:t>
      </w:r>
    </w:p>
    <w:p>
      <w:pPr>
        <w:spacing w:after="0" w:line="180" w:lineRule="exact"/>
        <w:rPr>
          <w:sz w:val="20"/>
          <w:szCs w:val="20"/>
          <w:color w:val="auto"/>
        </w:rPr>
      </w:pPr>
    </w:p>
    <w:p>
      <w:pPr>
        <w:ind w:left="60" w:right="179" w:firstLine="648"/>
        <w:spacing w:after="0" w:line="274" w:lineRule="auto"/>
        <w:rPr>
          <w:sz w:val="20"/>
          <w:szCs w:val="20"/>
          <w:color w:val="auto"/>
        </w:rPr>
      </w:pPr>
      <w:r>
        <w:rPr>
          <w:rFonts w:ascii="Times New Roman" w:cs="Times New Roman" w:eastAsia="Times New Roman" w:hAnsi="Times New Roman"/>
          <w:sz w:val="17"/>
          <w:szCs w:val="17"/>
          <w:color w:val="auto"/>
        </w:rPr>
        <w:t>We must comply with U.S. and other laws regulating the export of our products and services. In some cases, explicit authorization from the relevant U.S. government authorities is needed to export our products and services. The export regulations and the governing policies applicable to our business are subject to change. We cannot provide assurance that such export authorizations will be available for our products and services in the future. Compliance with these laws has not significantly limited our operations or our sales in the recent past but could significantly limit them in the future. We maintain an export compliance program but there are risks that our compliance controls may be ineffective.</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November 2019, we entered into a consent agreement (the “Consent Agreement”) with the U.S. Department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State’s Directorate of Defense Trade Controls Office of Defense Trade Controls Compliance to resolve various alleged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violations of the Armed Export Control Act and the International Traffic in Arms Regulations (“ITAR”) that occurred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between June 2014 and December 2016. The Consent Agreement provided among other things: (i) a civil penalty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$1,000,000 payable in installments, $500,000 of which was suspended on the condition that such amount be used for future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remedial compliance costs over the term of the Consent Agreement and/or credited against prior compliance enhancement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costs already expended by us; (ii) the appointment of an external Special Compliance Officer for a minimum of one year to</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oversee our compliance with the Consent Agreement and ITAR; and (iii) one external audit of our compliance with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Consent Agreement and ITAR. The $500,000 suspension amount was satisfied by our compliance program remediation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efforts during our fiscal year ended April 30, 2021. While we were released from the Consent Agreement in May 2023, our</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failure to comply with the export laws and regulations in the future can subject us to additional fines, penalties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sanctions, including suspension of export privileges, which could have a material adverse impact on our business,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operations and financial condition and limit or prevent us from being able to sell our products in certain international</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jurisdictions.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obtain necessary regulatory approvals from the FAA or other governmental agencies, or limitations put on the use of SUAS and MUAS in response to public privacy concerns, may prevent us from expanding the sales of our SUAS and MUAS to non-military customers in the United States.</w:t>
      </w:r>
    </w:p>
    <w:p>
      <w:pPr>
        <w:spacing w:after="0" w:line="175" w:lineRule="exact"/>
        <w:rPr>
          <w:sz w:val="20"/>
          <w:szCs w:val="20"/>
          <w:color w:val="auto"/>
        </w:rPr>
      </w:pPr>
    </w:p>
    <w:p>
      <w:pPr>
        <w:ind w:left="60" w:right="99" w:firstLine="648"/>
        <w:spacing w:after="0" w:line="271" w:lineRule="auto"/>
        <w:rPr>
          <w:sz w:val="20"/>
          <w:szCs w:val="20"/>
          <w:color w:val="auto"/>
        </w:rPr>
      </w:pPr>
      <w:r>
        <w:rPr>
          <w:rFonts w:ascii="Times New Roman" w:cs="Times New Roman" w:eastAsia="Times New Roman" w:hAnsi="Times New Roman"/>
          <w:sz w:val="17"/>
          <w:szCs w:val="17"/>
          <w:color w:val="auto"/>
        </w:rPr>
        <w:t>The regulation of SUAS and MUAS for commercial use in the United States is undergoing substantial change and the ultimate treatment is uncertain. In 2006, the FAA issued a clarification of its existing policies stating that, in order to engage in commercial use of SUAS and MUAS in the U.S. National Airspace System, a public operator must obtain a COA from the FAA or fly in restricted airspace. The FAA’s COA approval process requires that the public operator certify the airworthiness of the aircraft for its intended purpose, that a collision with another aircraft or other airspace user is extremely improbable, that the small uncrewed aircraft system complies with appropriate cloud and terrain clearances and that the operator or spotter of the small uncrewed aircraft system is generally within one half-mile laterally and 400 feet vertically of the small uncrewed aircraft system while in operation. Furthermore, the FAA’s clarification of existing policy stated that the rules for radio-controlled hobby aircraft do not apply to public or commercial use of SUAS and MUAS.</w:t>
      </w:r>
    </w:p>
    <w:p>
      <w:pPr>
        <w:spacing w:after="0" w:line="17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On February 14, 2012, the FAA Modernization and Reform Act of 2012 was enacted, establishing various deadlines for the FAA to allow expanded use of SUAS and MUAS for both public and commercial applications. On June 21, 2016, the FAA released its final rules regarding the routine use of certain SUAS (under 55 pounds) in the U.S. National Airspace System pursuant to the act (the “Part 107 Rules”). The Part 107 Rules, which became effective in August 2016, provided safety regulations for SUAS conducting non-recreational operations and contain various limitations and restrictions for such operations, including a requirement that operators keep UAS within visual-line-of-sight and prohibiting flights over unprotected people on the ground who are not directly participating in the operation of the UAS. Additionally, in December 2019, the FAA proposed rules regarding remote UAS identification, which final rule became effective on September 16, 2023. In April 2021, the final rule for operation of SUAS over people went into effect, which permits routine operations of small, uncrewed aircraft over people, moving vehicles, and at night under certain conditions. The FAA has also introduced proposed rules for a new policy regarding the airworthiness certification of a newly created special class of UAS, which rules are not yet in effect.</w:t>
      </w:r>
    </w:p>
    <w:p>
      <w:pPr>
        <w:spacing w:after="0" w:line="190"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It is unclear when, if ever, the FAA will create a new class of UAS and what the final rules regarding the certification of such new class of UAS will state. We cannot assure you that the Part 107 Rules, or any final rules enacted in furtherance on the FAA’s announced proposals, will result in the expanded use of our SUAS and MUAS by law enforcement or other non-military government agencies or commercial entities and we may not be able to expand our sales of SUAS and MUAS beyond our military customers, which could harm our business prospects.</w:t>
      </w:r>
    </w:p>
    <w:p>
      <w:pPr>
        <w:spacing w:after="0" w:line="183"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In addition, there exists public concern regarding the privacy implications of U.S. commercial and law enforcement use of SUAS. This concern has included calls to develop explicit written policies and procedures establishing usage limitations. We cannot assure you that the response from regulatory agencies, customers and privacy advocates to these concerns will not delay or restrict the adoption of SUAS and MUAS by non-military customers.</w:t>
      </w:r>
    </w:p>
    <w:p>
      <w:pPr>
        <w:spacing w:after="0" w:line="176"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dependent upon our employees obtaining and maintaining required security clearances, as well as our ability to obtain security clearances for the facilities in which we perform sensitive government work.</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Certain of our U.S. government contracts require our employees to maintain various levels of security clearances, and we are required to maintain certain facility security clearances complying with DoD requirements. The DoD has strict security clearance requirements for personnel who work on classified programs.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 clearances or terminate employment with us, then a customer requiring classified work could terminate the contract or decide not to renew it upon its expiration. In addition, we expect that many of the contracts on which we will bid will require us to demonstrate our ability to obtain facility security clearances and employ personnel with specified types of security clearances. To the extent we are not able to obtain facility security clearances or engage employees with the required security clearances for a particular contract, we may not be able to bid on or win new contracts, or effectively rebid on expiring contracts.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could be the subject of future product liability suits or product recalls, which could harm our business.</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may be subject to involuntary product recalls or may voluntarily conduct a product recall. The costs associated with any future product recalls could be significant. In addition, any product recall, regardless of the direct costs of the recall, may harm consumer perceptions of our products and have a negative impact on our future revenues and results of operations.</w:t>
      </w:r>
    </w:p>
    <w:p>
      <w:pPr>
        <w:spacing w:after="0" w:line="180"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addition to government regulation, products that have been or may be developed by us may expose us to potential liability from personal injury or property damage claims by the users of such products. There can be no assurance that a claim will not be brought against us in the future, regardless of merit. While we maintain insurance coverage for product liability claims, our insurance may be inadequate to cover any such claims. Any successful claim or material settlement of such claims could significantly harm our business, financial condition and results of operations.</w:t>
      </w:r>
    </w:p>
    <w:p>
      <w:pPr>
        <w:spacing w:after="0" w:line="179"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pending legal proceedings that may disrupt our business, cause us to incur substantial costs, expose us to significant legal liabilities and could have a material adverse impact on our financial performance.</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are subject to various legal proceedings and claims, and additional lawsuits may arise in the future. Occasionally we are also involved in governmental inquiries and investigations and administrative and regulatory proceedings. Our activities relating to defending and responding to any such proceedings may result in substantial legal expenses, may disrupt our sales and marketing or other business activities, including our relationships with our customers, suppliers, employees and other third parties, and divert management’s and our employees’ attention from our day-to-day operations, which may have an adverse impact on our financial performance. The results of any such proceedings are unpredictable. We record accruals for liabilities where we believe a loss is probable and reasonably estimable, including when negotiating settlement where appropriate in response to such claims, however, our actual losses may differ significantly from our interim estimates. An adverse or unfavorable resolution of any proceedings against us could have a material impact on our financial position, cash flows and results of operations.</w:t>
      </w:r>
    </w:p>
    <w:p>
      <w:pPr>
        <w:spacing w:after="0" w:line="190"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federal, state and international laws regarding data protection, privacy, and information security, as well as confidentiality obligations under various agreements, and our actual or perceived failure to comply with such obligations could damage our reputation, expose us to litigation risk and adversely affect our business and operating results.</w:t>
      </w:r>
    </w:p>
    <w:p>
      <w:pPr>
        <w:spacing w:after="0" w:line="180"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our business, we receive, collect, process and retain certain sensitive and confidential customer information. As a result, we are subject to increasingly rigorous federal, state and international laws regarding privacy and data protection. Personal privacy, data protection and information security are significant issues in the United States and the other jurisdictions where we offer our products and services. The regulatory framework for privacy and security issues worldwide is rapidly evolving and is likely to remain uncertain for the foreseeable future. Our handling of data is subject to a variety of laws and regulations, including regulation by various government agencies, including the United States Federal Trade Commission (“FTC”) and various state, local and foreign bodies and agencies. We also execute confidentiality agreements with various parties under which we are required to protect their confidential information.</w:t>
      </w:r>
    </w:p>
    <w:p>
      <w:pPr>
        <w:spacing w:after="0" w:line="192"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United States federal and various state and foreign governments have adopted or proposed limitations on the collection, distribution, use and storage of personal information of individuals, including end-customers and employees. In the United States, the FTC and many state attorneys general are applying federal and state consumer protection laws to the online collection, use and dissemination of data. Additionally, many foreign countries and governmental bodies, and other jurisdictions in which we operate or conduct our business, have laws and regulations concerning the collection and use of personal information obtained from their residents or by businesses operating within their jurisdiction. These laws and regulations often are more restrictive than those in the United States. Such laws and regulations may require companies to implement new privacy and security policies, permit individuals to access, correct and delete personal information stored or maintained by such companies, inform individuals of security breaches that affect their personal information, and, in some cases, obtain individuals’ consent to use personal information for certain purposes.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also expect that there will continue to be new proposed laws, regulations and industry standards concerning privacy, data protection and information security in the United States, the European Union and other jurisdictions, and we cannot yet determine the impact of such future laws, regulations and standards may have on our business. For example, the California Consumer Privacy Act, which became effective in 2020, provides new data privacy rights for consumers and employees and new operational requirements for companies. Additionally, we expect that existing laws, regulations and standards may be interpreted differently in the future. There remains significant uncertainty surrounding the regulatory framework for the future of personal data transfers from the European Union to the United States with regulations such as the General Data Protection Regulation (“GDPR”), which imposes stringent E.U. data protection requirements, provides an enforcement authority, and imposes large penalties for noncompliance, including for the transfer of personal data between the Company and our German subsidiary, Telerob. Future laws, regulations, standards and other obligations, including the adoption of the GDPR, as well as changes in the interpretation of existing laws, regulations, standards and other obligations could impair our ability to collect, use or disclose information relating to individuals, which could decrease demand for our products, require us to restrict our business operations, increase our costs and impair our ability to maintain and grow our customer base and increase our revenue.</w:t>
      </w:r>
    </w:p>
    <w:p>
      <w:pPr>
        <w:spacing w:after="0" w:line="197"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Our business operations are subject to the evolving requirements of the U.S. DoD Cybersecurity Maturity Model Certification (CMMC) program. CMMC mandates third-party assessments for companies working with the U.S. DoD, verifying their adherence to specific cybersecurity standards. These certifications are essential for eligibility in new contract awards. We have achieved CMMC Level 2 certification, demonstrating our commitment to cybersecurity best practices. However, we are actively preparing to meet the more stringent requirements of CMMC Level 3. There's a potential risk of not achieving Level 3 certification before upcoming contract awards or failing to attain the level required for a specific contract. This scenario could restrict us from bidding on those contracts, including follow-on awards for existing U.S. DoD work. Such limitations could negatively impact our revenue, profitability, and cash flow. Furthermore, compliance with CMMC may extend to our subcontractors and certain vendors, potentially requiring their certification as well. Their non-compliance could also pose challenges for our business. The associated costs of CMMC compliance are significant and may increase in the future, potentially affecting our operating results.</w:t>
      </w:r>
    </w:p>
    <w:p>
      <w:pPr>
        <w:spacing w:after="0" w:line="19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Although we endeavor to comply with those federal, state and foreign laws and regulations, industry standards, contractual obligations and other legal obligations that apply to us, such laws, regulations, standards and obligations are evolving and may be modified, interpreted and applied in an inconsistent manner from one jurisdiction to another, and may conflict with one another, other requirements or legal obligations, our practices or the features of our products. As such, we cannot assure ongoing compliance with all such laws or regulations, industry standards, contractual obligations and other legal obligations, and our efforts to do so may cause us to incur significant costs or require changes to our business practices, which could adversely affect our business and operating results. Any failure or perceived failure by us to comply with federal, state or foreign laws or regulations, industry standards, contractual obligations or other legal obligations, or any actual or suspected security incident, whether or not resulting in unauthorized access to, or acquisition, release or transfer of personal information or other data, may result in governmental enforcement actions and prosecutions, private litigation, fines and penalties or adverse publicity and could cause our customers to lose trust in us, which could have an adverse effect on our reputation and business. Any inability to adequately address privacy and security concerns, even if unfounded, or comply with applicable laws, regulations, policies, industry standards, contractual obligations or other legal obligations could result in additional cost and liability to us, damage our reputation, inhibit sales, and adversely affect our business and operating results.</w:t>
      </w:r>
    </w:p>
    <w:p>
      <w:pPr>
        <w:spacing w:after="0" w:line="192"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laws and regulations and unforeseen costs, including in response to climate change, could impact our future earnings.</w:t>
      </w:r>
    </w:p>
    <w:p>
      <w:pPr>
        <w:spacing w:after="0" w:line="15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manufacture and sale of our products in certain states and countries may subject us to environmental and other regulations. For example, we obtain a significant number of our electronics components from companies located in East Asia, where environmental rules may be less stringent than in the United States. Over time, the countries where these companies are located may adopt more stringent environmental regulations, resulting in an increase in our manufacturing costs. Given the increasing focus on environmental compliance by regulators and the general public, any incidence of non-compliance could result in damage to our reputation beyond the fines and other sanctions that could be imposed. Furthermore, certain environmental laws, including the U.S. Comprehensive, Environmental Response, Compensation and Liability Act of 1980, impose strict, joint and several liability on current and previous owners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operators of real property for the cost of removal or remediation of hazardous substances and impose liability for damages to natural resources. These laws often impose liability even if the owner or operator did not know of, or was not responsible for, the release of such hazardous substances. These environmental laws also assess liability on persons who arrange for hazardous substances to be sent to disposal or treatment facilities when such facilities are later found to be contaminated. Such persons can be responsible for cleanup costs even if they never owned or operated the contaminated facility. Although we have never been named a responsible party at a contaminated site, we could be named a potentially responsible party in the future.</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increasing global focus on climate change, including greenhouse gas (“GHG”) emissions, has resulted in legislative and regulatory efforts to address the causes and impacts of climate change. New and more strict laws and regulations to reduce GHG emissions and address other aspects of climate change, including carbon taxes, cap and trade programs, GHG reduction requirements, requirements for the use of green energy, and changes in procurement requirements, may result in increased operational and compliance obligations, which could adversely affect our financial condition and results of operations. Such laws and regulations could result in increased energy costs and costs to upgrade our facilities or change our manufacturing processes. Additionally, our suppliers may also face similar increased costs, which could result in them increasing the costs of components for our products and development programs. Changes to government procurement laws, including changes to the Federal Acquisition Regulations, designed to require climate risk and GHG emissions to be taken into account in the procurement process could result in increased costs to change our operations and manufacturing processes to ensure we remain competitive in the bidding process. We cannot predict the materiality of any potential additional costs associated with complying with such laws and regulations or whether we could raise prices to account for any such additional costs. Any non-compliance could negatively affect our reputation, our ability to compete in competitive bidding processes, including with the U.S. government, and our ability to sell our products and services. We cannot assure you that such existing laws or future laws addressing environmental concerns, including climate change, will not have a material adverse effect on our future earnings or results of operations.</w:t>
      </w:r>
    </w:p>
    <w:p>
      <w:pPr>
        <w:spacing w:after="0" w:line="191"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SEC’s conflict minerals regulations may increase our costs and adversely impact the supply-chain for our UAS products.</w:t>
      </w:r>
    </w:p>
    <w:p>
      <w:pPr>
        <w:spacing w:after="0" w:line="15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In August 2012, the SEC adopted disclosure rules regarding a company’s use of conflict minerals in its products with substantial supply chain verification requirements in the event that the conflict minerals come from, or could have come from, the Democratic Republic of the Congo or adjoining countries. These rules and verification requirements have imposed additional costs on us and on our suppliers, including costs related to determining the source of conflict minerals used in our products, which may adversely affect our results of operations. We are dependent on information supplied by our first tier suppliers in conducting due diligence into the origins of conflict minerals in our products and in complying with our SEC reporting obligations. To the extent that information we receive from our suppliers is inaccurate or inadequate, we may not be able to determine whether our products are conflict mineral-free. We may face challenges in satisfying our customers who may require that our products be certified as conflict mineral-free, which could place us at a competitive disadvantage and could harm our business. These regulations could also have the effect of limiting the pool of suppliers from which we source items containing conflict minerals, and we may be unable to obtain conflict-free minerals at competitive prices, if at all, which could increase our costs and adversely affect our results of operations.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or incur significant costs in defending or enforcing our intellectual property and other proprietary rights, our business, financial condition and results of operations could be materially harmed.</w:t>
      </w:r>
    </w:p>
    <w:p>
      <w:pPr>
        <w:spacing w:after="0" w:line="15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Our success depends, in large part, on our ability to protect our intellectual property and other proprietary rights. We rely primarily on patents, trademarks, copyrights, trade secrets and unfair competition laws, as well as license agreements and other contractual provisions, to protect our intellectual property and other proprietary rights. However, a significant portion of our technology is not patented, and we may be unable or may not seek to obtain patent protection for this technology. In addition, the U.S. government has licenses under certain of our patents and certain other intellectual property that are developed or used in performance of government contracts, and it may use or authorize others to use such patents and intellectual property for government and other purposes. Moreover, existing U.S. legal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standards relating to the validity, enforceability and scope of protection of intellectual property rights offer only limited protection, may not provide us with any competitive advantages, and our rights may be challenged by third parties. The laws of countries other than the United States may be even less protective of our intellectual property rights. Accordingly, despite our efforts, we may be unable to prevent third parties from infringing upon or misappropriating our intellectual property or otherwise gaining access to our technology. Unauthorized third parties may try to copy or reverse engineer our products or portions of our products or otherwise obtain and use our intellectual property. Moreover, many of our employees have access to our trade secrets and other intellectual property. If one or more of these employees leave our employment to work for one of our competitors, then they may disseminate this proprietary information, which may as a result damage our competitive position. If we fail to protect our intellectual property and other proprietary rights, then our business, results of operations or financial condition could be materially harmed. From time to time, we have initiated lawsuits to protect our intellectual property and other proprietary rights. Pursuing these claims is time consuming and expensive and could adversely impact our results of operations.</w:t>
      </w:r>
    </w:p>
    <w:p>
      <w:pPr>
        <w:spacing w:after="0" w:line="19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In addition, affirmatively defending our intellectual property rights and investigating whether any of our products or services violate the rights of others may entail significant expense. Our intellectual property rights may be challenged by others or invalidated through administrative processes or litigation. If we resort to legal proceedings to enforce our intellectual property rights or to determine the validity and scope of the intellectual property or other proprietary rights of others, then the proceedings could result in significant expense to us and divert the attention and efforts of our management and technical employees, even if we prevail.</w:t>
      </w:r>
    </w:p>
    <w:p>
      <w:pPr>
        <w:spacing w:after="0" w:line="183" w:lineRule="exact"/>
        <w:rPr>
          <w:sz w:val="20"/>
          <w:szCs w:val="20"/>
          <w:color w:val="auto"/>
        </w:rPr>
      </w:pPr>
    </w:p>
    <w:p>
      <w:pPr>
        <w:ind w:left="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sued by third parties for alleged infringement of their proprietary rights, which could be costly, time consuming and limit our ability to use certain technologies in the future.</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may become subject to claims that our technologies infringe upon the intellectual property or other proprietary rights of third parties. Defending against, or otherwise addressing, any such claims, whether they are with or without merit, could be time-consuming and expensive, and could divert our management’s attention away from the execution of our business plan. Moreover, any settlement or adverse judgment resulting from these claims could require us to pay substantial amounts or obtain a license to continue to use the disputed technology, or otherwise restrict or prohibit our use of the technology. We cannot assure you that we would be able to: obtain from the third party asserting the claim a license on commercially reasonable terms, if at all; develop alternative technology on a timely basis, if at all; or obtain a license to use a suitable alternative technology to permit us to continue offering, and our customers to continue using, our affected product. An adverse determination could prevent us from offering our products to others. Infringement claims asserted against us may have a material adverse effect on our business, results of operations or financial condition.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Securities Markets and Investment in Our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 significantly.</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The market prices for securities of emerging technology companies have historically been highly volatile, and the market has from time to time experienced significant price and volume fluctuations that are unrelated to the operating performance of particular companies. The market price of our common stock may fluctuate significantly in response to a number of factors, most of which we cannot control, including the following:</w:t>
      </w:r>
    </w:p>
    <w:p>
      <w:pPr>
        <w:spacing w:after="0" w:line="180" w:lineRule="exact"/>
        <w:rPr>
          <w:sz w:val="20"/>
          <w:szCs w:val="20"/>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spending levels, both generally and by our particular customers;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operational activity by the U.S. military;</w:t>
      </w:r>
    </w:p>
    <w:p>
      <w:pPr>
        <w:spacing w:after="0" w:line="225" w:lineRule="exact"/>
        <w:rPr>
          <w:rFonts w:ascii="Times New Roman" w:cs="Times New Roman" w:eastAsia="Times New Roman" w:hAnsi="Times New Roman"/>
          <w:sz w:val="18"/>
          <w:szCs w:val="18"/>
          <w:color w:val="auto"/>
        </w:rPr>
      </w:pPr>
    </w:p>
    <w:p>
      <w:pPr>
        <w:ind w:left="1040" w:right="619" w:hanging="315"/>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payment of our invoices by government payment offices, resulting in potentially reduced earnings during a particular fiscal quarter;</w:t>
      </w:r>
    </w:p>
    <w:p>
      <w:pPr>
        <w:spacing w:after="0" w:line="161" w:lineRule="exact"/>
        <w:rPr>
          <w:rFonts w:ascii="Times New Roman" w:cs="Times New Roman" w:eastAsia="Times New Roman" w:hAnsi="Times New Roman"/>
          <w:sz w:val="18"/>
          <w:szCs w:val="18"/>
          <w:color w:val="auto"/>
        </w:rPr>
      </w:pPr>
    </w:p>
    <w:p>
      <w:pPr>
        <w:ind w:left="1040" w:right="299" w:hanging="315"/>
        <w:spacing w:after="0" w:line="282"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technologies, commercial relationships or other events relating to us or our industry or our competitors;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key products to gain market acceptance;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of the prospects for the markets in which we compete;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performance;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trading volumes of similar companies;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about the markets in which we compete or regarding our competitors;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or military action related to international conflicts, wars or otherwise;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coverage regarding our products and services;</w:t>
      </w:r>
    </w:p>
    <w:p>
      <w:pPr>
        <w:spacing w:after="0" w:line="225" w:lineRule="exact"/>
        <w:rPr>
          <w:rFonts w:ascii="Times New Roman" w:cs="Times New Roman" w:eastAsia="Times New Roman" w:hAnsi="Times New Roman"/>
          <w:sz w:val="18"/>
          <w:szCs w:val="18"/>
          <w:color w:val="auto"/>
        </w:rPr>
      </w:pPr>
    </w:p>
    <w:p>
      <w:pPr>
        <w:ind w:left="1040" w:right="9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addition, the equity markets in general, and NASDAQ in particular, have experienced extreme price and volume fluctuations that have often been unrelated or disproportionate to the operating performance of companies. Further, the market prices of securities of emerging technology companies have been particularly volatile. These broad market and industry factors may affect the market price of our common stock adversely, regardless of our operating performance. In the past, following periods of volatility in the market price of a company’s securities, securities class action litigation often has been instituted against that company. This type of litigation, if instituted against us, could result in substantial costs and a diversion of management’s attention and resources.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decline because of our acquisition activity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market price of our common stock may decline as a result of our acquisition activity if, among other things, we are unable to achieve the expected growth in revenue and earnings, or if the operational cost savings estimates in connection with the integration of acquired businesses are not realized. The market price of our common stock also may decline if we do not achieve the perceived benefits of the acquisitions as rapidly or to the extent anticipated by financial or industry analysts or if the effect of the acquisitions on our financial results is not consistent with the expectations of financial or industry analysts. The market price of our common stock may also be influenced by the issuance of our equity securities in acquisition transactions, which may or may not be at prevailing market prices and may have a dilutive effect on other stockholders.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capital when desired on favorable terms, if at all, or without dilution to our stockholders.</w:t>
      </w:r>
    </w:p>
    <w:p>
      <w:pPr>
        <w:spacing w:after="0" w:line="229" w:lineRule="exact"/>
        <w:rPr>
          <w:sz w:val="20"/>
          <w:szCs w:val="20"/>
          <w:color w:val="auto"/>
        </w:rPr>
      </w:pPr>
    </w:p>
    <w:p>
      <w:pPr>
        <w:ind w:left="60" w:right="179" w:firstLine="648"/>
        <w:spacing w:after="0" w:line="289" w:lineRule="auto"/>
        <w:rPr>
          <w:sz w:val="20"/>
          <w:szCs w:val="20"/>
          <w:color w:val="auto"/>
        </w:rPr>
      </w:pPr>
      <w:r>
        <w:rPr>
          <w:rFonts w:ascii="Times New Roman" w:cs="Times New Roman" w:eastAsia="Times New Roman" w:hAnsi="Times New Roman"/>
          <w:sz w:val="17"/>
          <w:szCs w:val="17"/>
          <w:color w:val="auto"/>
        </w:rPr>
        <w:t>We operate in emerging and rapidly evolving markets, which makes our prospects difficult to evaluate. It is possible that we may not generate sufficient cash flow from operations or otherwise have the capital resources to meet our future capital needs. If this occurs, then we may need additional financing to pursue our business strategies, including to:</w:t>
      </w:r>
    </w:p>
    <w:p>
      <w:pPr>
        <w:spacing w:after="0" w:line="158" w:lineRule="exact"/>
        <w:rPr>
          <w:sz w:val="20"/>
          <w:szCs w:val="20"/>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engineers and other personnel;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new or enhance existing products and services;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operating infrastructure;</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working capital requirements;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or technologies; or</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respond to competitive pressures.</w:t>
      </w:r>
    </w:p>
    <w:p>
      <w:pPr>
        <w:spacing w:after="0" w:line="225"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the issuance of equity or convertible debt securities, the percentage ownership of our stockholders could be significantly diluted, and these newly-issued securities may have rights, preferences or privileges senior to those of existing stockholders. We have obtained capital from the Credit Facilities noted above including the Term Loan Facility and Revolving Facility. We cannot assure you that additional financing will be available on terms favorable to us, or at all. Our current Credit Facilities contain, and future debt financing may contain, covenants or other provisions that limit our operational or financial flexibility. In addition, certain of our customers require that we obtain letters of credit to support our obligations under some of our contracts.</w:t>
      </w:r>
    </w:p>
    <w:p>
      <w:pPr>
        <w:spacing w:after="0" w:line="185"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 over financial reporting could adversely affect our financial results.</w:t>
      </w:r>
    </w:p>
    <w:p>
      <w:pPr>
        <w:spacing w:after="0" w:line="15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It is management’s responsibility to establish and maintain effective internal control in order to provide reasonable assurance regarding the financial reporting soundness for external purposes. Internal control over financial reporting is not intended to impart absolute assurance that the Company can prevent or detect misstatements of its financial statement or fraud due to its inherent limitations.</w:t>
      </w:r>
    </w:p>
    <w:p>
      <w:pPr>
        <w:spacing w:after="0" w:line="180"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failure to maintain an effective system of internal control over financial reporting could limit our ability to report financial results accurately and in a timely manner or to detect and prevent fraud, which could cause a loss of investor confidence in our reporting, depress our stock price, adversely limit our liquidity and access to the capital markets and we may be unable to maintain compliance with applicable stock exchange listing requirements and debt covenant requirements.</w:t>
      </w:r>
    </w:p>
    <w:p>
      <w:pPr>
        <w:spacing w:after="0" w:line="179"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any cash dividends on our common stock and do not anticipate paying any cash dividends in the foreseeable future.</w:t>
      </w:r>
    </w:p>
    <w:p>
      <w:pPr>
        <w:spacing w:after="0" w:line="15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We have not declared any cash dividends since becoming a public company and currently intend to retain all earnings to finance the operation and expansion of our business. Therefore, we do not anticipate that we will pay any cash dividends on shares of our common stock in the foreseeable future. We also do not expect to buy back any of our common stock for the foreseeable future. In addition, our ability to pay dividends and buy back shares of our common stock is restricted by the Credit Agreement. Any determination to pay dividends or stock buybacks in the future will be at the discretion of our board of directors and will be dependent upon our future financial condition, results of operations, capital requirements, legal restrictions, general business conditions and other relevant factors as determined by our board of directors. See the section herein titled, “Dividend Policy.”</w:t>
      </w:r>
    </w:p>
    <w:p>
      <w:pPr>
        <w:spacing w:after="0" w:line="188" w:lineRule="exact"/>
        <w:rPr>
          <w:sz w:val="20"/>
          <w:szCs w:val="20"/>
          <w:color w:val="auto"/>
        </w:rPr>
      </w:pPr>
    </w:p>
    <w:p>
      <w:pPr>
        <w:ind w:left="60" w:right="1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anti-takeover provisions in our organizational documents may discourage our acquisition by a third party, which could make it more difficult to acquire us and limit your ability to sell your shares at a premium</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certain provisions that reduce the probability of a change of control or acquisition of our company, even if such a transaction would be beneficial to our stockholders. These provisions include, but are not limited to:</w:t>
      </w:r>
    </w:p>
    <w:p>
      <w:pPr>
        <w:spacing w:after="0" w:line="176" w:lineRule="exact"/>
        <w:rPr>
          <w:sz w:val="20"/>
          <w:szCs w:val="20"/>
          <w:color w:val="auto"/>
        </w:rPr>
      </w:pPr>
    </w:p>
    <w:p>
      <w:pPr>
        <w:ind w:left="1040" w:right="23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preferred stock in one or more series of with such rights, obligations and preferences as the board may determine, without further vote or action by our stockholders;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40" w:right="11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notice procedures for stockholders to nominate candidates for election to the board of directors and for stockholders to submit proposals for consideration at a meeting of stockholders;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cumulative voting rights for our stockholders;</w:t>
      </w:r>
    </w:p>
    <w:p>
      <w:pPr>
        <w:spacing w:after="0" w:line="225" w:lineRule="exact"/>
        <w:rPr>
          <w:rFonts w:ascii="Times New Roman" w:cs="Times New Roman" w:eastAsia="Times New Roman" w:hAnsi="Times New Roman"/>
          <w:sz w:val="18"/>
          <w:szCs w:val="18"/>
          <w:color w:val="auto"/>
        </w:rPr>
      </w:pPr>
    </w:p>
    <w:p>
      <w:pPr>
        <w:ind w:left="1040" w:right="219" w:hanging="315"/>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our board of directors, which effectively prevents stockholders from electing a majority of the directors at any one annual meeting of stockholders;</w:t>
      </w:r>
    </w:p>
    <w:p>
      <w:pPr>
        <w:spacing w:after="0" w:line="67" w:lineRule="exact"/>
        <w:rPr>
          <w:rFonts w:ascii="Times New Roman" w:cs="Times New Roman" w:eastAsia="Times New Roman" w:hAnsi="Times New Roman"/>
          <w:sz w:val="18"/>
          <w:szCs w:val="18"/>
          <w:color w:val="auto"/>
        </w:rPr>
      </w:pPr>
    </w:p>
    <w:p>
      <w:pPr>
        <w:ind w:left="1040" w:right="79" w:hanging="315"/>
        <w:spacing w:after="0" w:line="268"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that directors may be removed only for cause by the affirmative vote of the holders of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total voting power of all of our outstanding securities entitled to vote in the election of directors, voting together as a single class; and</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ability of our stockholders to call a special meeting of stockholders.</w:t>
      </w:r>
    </w:p>
    <w:p>
      <w:pPr>
        <w:spacing w:after="0" w:line="225"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We are also subject to Section 203 of the Delaware General Corporation Law which, subject to certain exceptions, prohibits “business combinations” between a publicly-held Delaware corporation and an “interested stockholder,” which is generally defined as a stockholder who becomes a beneficial owner of 15% or more of a Delaware corporation’s voting stock for a three-year period following the date that such stockholder became an interested stockholder. This statute, as well as the provisions in our organizational documents, could have the effect of delaying, deterring or preventing certain potential acquisitions or a change in control of us.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inflation could adversely affect our business and financial results.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Although historically our operations have not been materially affected by inflation and we have been successful in adjusting prices to our customers to reflect changes in our material and labor costs, the rate of current inflation and resulting pressures on our costs and pricing could adversely impact our business and financial results. Inflation can adversely affect us by increasing our operating costs, including our materials, freight and labor costs, which are already under pressure due to supply chain constraints. As interest rates rise to address inflation, such increases will also impact the base rates applicable in our credit arrangements and will result in borrowed funds becoming more expensive to us over time; similar financing pressures from inflation also can have a negative impact on customers’ willingness to purchase our products in the same volumes and at the same rates as previously anticipated. In a highly inflationary environment, we may be unable to raise the sales prices of our products at or above the rate of inflation, which could reduce our profit margins having a material adverse effect on our financial performance.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left="60" w:right="259" w:firstLine="648"/>
        <w:spacing w:after="0" w:line="255" w:lineRule="auto"/>
        <w:rPr>
          <w:sz w:val="20"/>
          <w:szCs w:val="20"/>
          <w:color w:val="auto"/>
        </w:rPr>
      </w:pPr>
      <w:r>
        <w:rPr>
          <w:rFonts w:ascii="Times New Roman" w:cs="Times New Roman" w:eastAsia="Times New Roman" w:hAnsi="Times New Roman"/>
          <w:sz w:val="18"/>
          <w:szCs w:val="18"/>
          <w:color w:val="auto"/>
        </w:rPr>
        <w:t>We face various cybersecurity threats, including denial-of-service attacks, ransomware, phishing, and advanced persistent threats. In addition, as an aerospace and defense company that provides sophisticated defense products and services to the U.S. and foreign governments, we are also subject to cybersecurity risks from organized adversaries, including groups affiliated with various nation states. Our customers, suppliers, subcontractors and vendors also face similar threats. Cybersecurity incidents impacting us or any of these third parties could have a material adverse effect on our operations, financial condition and results of operations. Given the cybersecurity risks we face, we believe it is imperative that we dedicate ample resources to addressing and mitigating our cyber risks.</w:t>
      </w:r>
    </w:p>
    <w:p>
      <w:pPr>
        <w:spacing w:after="0" w:line="1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Our cybersecurity program is designed to identify, detect, protect against, respond to, and recover from cyber risks from the cyber threats we face. Our cybersecurity program is part of our internal risk management processes. We continually improve and revise our cybersecurity practices as new threats and vulnerabilities emerge.</w:t>
      </w:r>
    </w:p>
    <w:p>
      <w:pPr>
        <w:spacing w:after="0" w:line="176"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Our Chief Information Security Officer (“CISO”) and our Director of Global Cybersecurity (“Cybersecurity Director”) lead our Detection and Response Team (“DART”), which is responsible for our cybersecurity incident response processes pursuant to our Incident Response Plan and playbooks. The DART consists of members of our IT department responsible for protecting against, detecting, containing, mitigating, and recovering from cybersecurity incidents. The DART evaluates and assigns severity levels to cybersecurity incidents, and based on the severity, escalates and engages incident response teams based on severity, and responds to and mitigates the related risks.</w:t>
      </w:r>
    </w:p>
    <w:p>
      <w:pPr>
        <w:spacing w:after="0" w:line="187" w:lineRule="exact"/>
        <w:rPr>
          <w:sz w:val="20"/>
          <w:szCs w:val="20"/>
          <w:color w:val="auto"/>
        </w:rPr>
      </w:pPr>
    </w:p>
    <w:p>
      <w:pPr>
        <w:ind w:left="60" w:right="259" w:firstLine="648"/>
        <w:spacing w:after="0" w:line="254" w:lineRule="auto"/>
        <w:rPr>
          <w:sz w:val="20"/>
          <w:szCs w:val="20"/>
          <w:color w:val="auto"/>
        </w:rPr>
      </w:pPr>
      <w:r>
        <w:rPr>
          <w:rFonts w:ascii="Times New Roman" w:cs="Times New Roman" w:eastAsia="Times New Roman" w:hAnsi="Times New Roman"/>
          <w:sz w:val="18"/>
          <w:szCs w:val="18"/>
          <w:color w:val="auto"/>
        </w:rPr>
        <w:t>Our cybersecurity team proactively hunts for cyber threats and vulnerabilities in our networks and information systems as part of our cyber risk management program, including by monitoring our networks and systems for intrusions and other suspicious activity. The cybersecurity team stays apprised of existing and emerging cybersecurity threats, including by partnering with third parties, such as the U.S. government, law enforcement agencies, customers, and other defense industry participants to share and receive information on emerging threats and expanding our cybersecurity knowledge and global monitoring practices. We also engage third parties to conduct evaluations of our cybersecurity controls, such as penetration testing and controlled cybersecurity framework audits. We also review the cybersecurity practices of our third-party service providers.</w:t>
      </w:r>
    </w:p>
    <w:p>
      <w:pPr>
        <w:spacing w:after="0" w:line="19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have aligned our cybersecurity program to the National Institute of Standards and Technology’s (“NIST”) published cybersecurity standards and our policies and processes are compliant with NIST Special Publication 800-171 and other applicable publications. Given our status as a defense contractor, we are subject to numerous regulations, including those pursuant to the Defense Federal Acquisition Regulation Supplement, (“DFARS”) requiring us to have controls in place to protect U.S. Government controlled unclassified information (“CUI”) and to report cybersecurity incidents to the DoD. We will also be subject to the DoD Cybersecurity Maturity Model Certification (“CMMC”) requirements, which will require companies like AeroVironment that do business with the DoD to obtain specific third-party certifications relating to specified cybersecurity standards to be eligible for new contract awards. We are in the process of preparing for the CMMC requirements. While we believe we are in a good position to meet the requirements of CMMC, if we fail to achieve certification in advance of contract awards, or we fail to achieve certification at the level required for a particular contract award, we will be unable to bid on such contract awards or follow-on awards for existing work with the DoD, which could adversely impact our results of operations. Additionally, our subcontractors, and certain of our vendors, may also need to comply with CMMC requirements and, potentially obtain CMMC certification. We may be negatively impacted if our subcontractors or vendors are not compliant with CMMC requirements.</w:t>
      </w:r>
    </w:p>
    <w:p>
      <w:pPr>
        <w:spacing w:after="0" w:line="197"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We require our employees to take cybersecurity-related training regularly that promotes awareness of how to detect, report, and respond to cybersecurity threats. Employees with certain roles and responsibilities are also assigned cyber training for their specific functions. We also maintain an Insider Threat program, headed by our Director of Security, to identify, assess and deal with potential risks from within our company, including cyber risks.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CISO and our Cybersecurity Director are responsible for the day-to-day management of our cybersecurity program and cybersecurity risks. Our CISO, who has approximately 24 years in various information technology and cybersecurity roles, and our Cybersecurity Director, who has approximately 20 years of experience in various cybersecurity roles, are primarily responsible for our overall cybersecurity risk management program and supervise both internal and external resources to identify, protect against, detect, respond to, and recover from cybersecurity risks, threats, and incidents.</w:t>
      </w:r>
    </w:p>
    <w:p>
      <w:pPr>
        <w:spacing w:after="0" w:line="187"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Our Cybersecurity Director leads our internal Cybersecurity Council, which meets monthly to help implement management’s cybersecurity strategy and to monitor and manage our cybersecurity threats and risks. Our Cybersecurity Council consists of the Cybersecurity Director, CISO, Chief Financial Officer, General Counsel and Chief Compliance Officer, Chief Technology Officer, Vice President of Internal Audit, Vice President of Global Supply Chain, Director of Security, and Sr. Manager of Contracts Operations and Compliance. The CISO and/or Cybersecurity Director report cybersecurity incidents to members of the company’s senior management, including the Cybersecurity Council, and/or the Board of Directors based on the severity and type of the incident to ensure that proper external reporting is completed thoroughly and timely.</w:t>
      </w:r>
    </w:p>
    <w:p>
      <w:pPr>
        <w:spacing w:after="0" w:line="192"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Pursuant to its charter, the Cybersecurity Committee of our board of directors is responsible for reviewing, discussing, and making recommendations to the full board of directors regarding cybersecurity matters. Our CISO and Cybersecurity Director provide presentations to the Cybersecurity Committee on our cybersecurity program at each of the committee’s regularly scheduled quarterly meetings. These briefings include assessments of the cyber risk and threats landscape, updates on incidents, policies and procedures, and our investments and plans in cybersecurity risk mitigation and governance. The Cybersecurity Committee also meets with members of the Cybersecurity Council to discuss various aspects of our cybersecurity program in between regular meetings. All members of the board of directors are invited to attend all meetings of the Cybersecurity Committee and the committee regularly briefs the entire board of directors regarding their oversight of our cybersecurity program.</w:t>
      </w:r>
    </w:p>
    <w:p>
      <w:pPr>
        <w:spacing w:after="0" w:line="1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Cybersecurity Threats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have experienced cybersecurity incidents in the past and will experience cybersecurity incidents in the future. Prior cybersecurity incidents have not materially affected, or are reasonably likely to affect, our business strategy, results of operations or financial condition, however, there is no guarantee that a future cybersecurity incident would not have a material adverse effect on such items. While we believe our cybersecurity program is designed to mitigate cybersecurity risks, we cannot eliminate all risks from cybersecurity threats. See Item 1A. Risk Factors for more information on our cybersecurity risks.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60" w:right="179" w:firstLine="648"/>
        <w:spacing w:after="0" w:line="272" w:lineRule="auto"/>
        <w:rPr>
          <w:sz w:val="20"/>
          <w:szCs w:val="20"/>
          <w:color w:val="auto"/>
        </w:rPr>
      </w:pPr>
      <w:r>
        <w:rPr>
          <w:rFonts w:ascii="Times New Roman" w:cs="Times New Roman" w:eastAsia="Times New Roman" w:hAnsi="Times New Roman"/>
          <w:sz w:val="17"/>
          <w:szCs w:val="17"/>
          <w:color w:val="auto"/>
        </w:rPr>
        <w:t>All of our facilities are leased. Our corporate headquarters are located in Arlington, Virginia where we currently occupy approximately 2,000 square feet. In 2024, we expect to move into a larger corporate headquarters space consisting of approximately 7,400 square feet in the same building as the current headquarters space under an amended lease agreement expiring in June 2030. We also lease a total of approximately 280,000 square feet of space in Simi Valley, California, which leases expire between 2025 and 2027, and approximately 150,000 square feet of space in Moorpark, California, which lease expires in 2027, used for administration and to design, engineer, test and manufacture UAS. We also lease other facilities in California, Alabama, Kansas, Massachusetts, Florida, Pennsylvania, Minnesota, Virginia, and Stuttgart, Germany that are used for administration, research and development, logistics, testing and manufacturing.</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April 30, 2024, our business segments had significant operations at the following locations:</w:t>
      </w:r>
    </w:p>
    <w:p>
      <w:pPr>
        <w:spacing w:after="0" w:line="225" w:lineRule="exact"/>
        <w:rPr>
          <w:sz w:val="20"/>
          <w:szCs w:val="20"/>
          <w:color w:val="auto"/>
        </w:rPr>
      </w:pPr>
    </w:p>
    <w:p>
      <w:pPr>
        <w:ind w:left="1040" w:right="359" w:hanging="315"/>
        <w:spacing w:after="0" w:line="261" w:lineRule="auto"/>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UxS, LMS, and MW: Simi Valley, CA; Moorpark, CA; Huntsville, AL; Lawrence, KS; Wilmington, MA; Centreville, VA; and Minneapolis, MN.</w:t>
      </w: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UxS: Petaluma, CA; Rohnert Park, CA; San Diego, CA; Melbourne, FL; Stuttgart, Germany and Erie, PA.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Arlington, VA, Moorpark, CA and Simi Valley, CA.</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On August 9, 2021, a former employee filed a class action complaint against AeroVironment in California Superior Court in Los Angeles, California alleging various claims pursuant to the California Labor Code related to wages, meal breaks, overtime, unreimbursed business expenses and other recordkeeping matters. The complaint seeks a jury trial and payment of various alleged unpaid wages, penalties, interest and attorneys’ fees in unspecified amounts. We filed our answer on December 16, 2021. Written and oral discovery are ongoing.</w:t>
      </w:r>
    </w:p>
    <w:p>
      <w:pPr>
        <w:spacing w:after="0" w:line="183"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On January 22, 2024, a former employee filed a class action complaint against AeroVironment in the Ventura County Superior Court in California alleging that AeroVironment did not indemnify and reimburse employees for certain tools and equipment purchased by such employees needed to discharge their job duties. In April 2024, in order to avoid the future cost, expense, and distraction of litigation, we executed a settlement agreement, under which we did not admit to any fault or wrongdoing, with the former employee to settle the employee’s individual claims against the Company for an immaterial, confidential amount. The lawsuit was dismissed in April 2024.</w:t>
      </w:r>
    </w:p>
    <w:p>
      <w:pPr>
        <w:spacing w:after="0" w:line="187"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March 29, 2024, a former employee filed a complaint against AeroVironment in the Ventura County Superior Court in California, alleging violations of the California Labor Code related to wages, meal breaks, overtime, unreimbursed business expenses and other recordkeeping matters and seeking penalties recoverable under California Labor Code section 2698, et. seq., Private Attorney General Act of 2004 (“PAGA”) and all other remedies available under PAGA. The complaint seeks civil penalties on behalf of the plaintiff and similarly situations persons pursuant to PAGA. We filed our answer on June 20, 2024. We expect discovery will commence shortly.</w:t>
      </w:r>
    </w:p>
    <w:p>
      <w:pPr>
        <w:spacing w:after="0" w:line="18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76" w:lineRule="exact"/>
        <w:rPr>
          <w:sz w:val="20"/>
          <w:szCs w:val="20"/>
          <w:color w:val="auto"/>
        </w:rPr>
      </w:pPr>
    </w:p>
    <w:p>
      <w:pPr>
        <w:jc w:val="center"/>
        <w:ind w:right="6459"/>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22" w:lineRule="exact"/>
        <w:rPr>
          <w:sz w:val="20"/>
          <w:szCs w:val="20"/>
          <w:color w:val="auto"/>
        </w:rPr>
      </w:pPr>
    </w:p>
    <w:p>
      <w:pPr>
        <w:ind w:left="760" w:right="459" w:hanging="712"/>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48"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On June 19, 2024, the closing sales price of our common stock as reported on the NASDAQ Global Select Market, where it trades under the symbol AVAV, was $219.31 per share. As of June 19, 2024, there were 106 holders of record of our common stock.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To date we have retained all earnings for use in the operation and expansion of our business and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capital allocation policy, expected return on invested capital, contractual restrictions and such other factors as our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Price Performance Graph</w:t>
      </w:r>
    </w:p>
    <w:p>
      <w:pPr>
        <w:spacing w:after="0" w:line="148"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following graph shows a comparison of cumulative returns on our common stock, based on the market price of the common stock, with the cumulative total returns of companies in the Russell 2000 Index and the SPADE Defense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71755</wp:posOffset>
            </wp:positionV>
            <wp:extent cx="4345940" cy="2691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4594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value of $100 invested on April 30, 2019 in AeroVironment, Inc., the Russell 2000 Index and the SPADE Defense Index.</w:t>
      </w:r>
    </w:p>
    <w:p>
      <w:pPr>
        <w:spacing w:after="0" w:line="88"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Performance Graph Table ($)</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6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7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7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6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7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4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14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AeroVironment, Inc. Stock</w:t>
            </w:r>
          </w:p>
        </w:tc>
        <w:tc>
          <w:tcPr>
            <w:tcW w:w="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Russell 2000 Index</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SPADE Defense Index</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The stock price performance shown on the graph above is not necessarily indicative of future price performance. Factual material was obtained from sources believed to be reliable, but we are not responsible for any errors or omissions contained therein. No portions of this graph shall be deemed incorporated by reference into any filing under the Securities Act or the Exchange Act through any general statement incorporating by reference in its entirety the report in which this graph appears, except to the extent that we specifically incorporate this graph or a portion of it by reference. In addition, this graph shall not be deemed filed under either the Securities Act or the Exchange Act.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See Notes 13 and 14 in the Notes to Consolidated Financial Statements for further information on our stock-based compensation and long-term equity awards.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right="859" w:firstLine="648"/>
        <w:spacing w:after="0" w:line="282" w:lineRule="auto"/>
        <w:rPr>
          <w:sz w:val="20"/>
          <w:szCs w:val="20"/>
          <w:color w:val="auto"/>
        </w:rPr>
      </w:pPr>
      <w:r>
        <w:rPr>
          <w:rFonts w:ascii="Times New Roman" w:cs="Times New Roman" w:eastAsia="Times New Roman" w:hAnsi="Times New Roman"/>
          <w:sz w:val="18"/>
          <w:szCs w:val="18"/>
          <w:color w:val="auto"/>
        </w:rPr>
        <w:t>Our share repurchase program announced September 2015 was terminated by our Board of Directors in September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Reserved.</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should be read in conjunction with our consolidated financial statements and notes thereto included herein as Item 8. This discussion contains forward-looking statements. Refer to Part I, “Forward-Looking Statements” on page 2 and Part 1A, “Risk Factors” beginning on page 24, for a discussion of the uncertainties, risks and assumptions associated with these statements.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We design, develop, produce, deliver and support a technologically advanced portfolio of intelligent, multi-domain robotic systems and related services for government agencies and businesses. We supply uncrewed aircraft and ground robot systems, loitering munitions systems and related services primarily to organizations within or supplying the U.S. DoD, other federal agencies and to international allied governments. We derive the majority of our revenue from these business areas, and we believe that the markets for these solutions offer the potential for significant long-term growth. In addition, we believe that some of the innovative potential products, services and technologies in our research and development pipeline will emerge as new growth platforms in the future, creating additional market opportunities.</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success of our current product and service offerings stems from our investments in R&amp;D to invent and deliver advanced solutions, utilizing proprietary and commercially available technologies, and in acquiring leading businesses that help our customers achieve their desired outcomes. We develop and acquire these highly innovative solutions by working closely with our key customers to solve their most important challenges related to our areas of expertise. Our core technological capabilities, developed through more than 50 years of innovation or acquired through acquisitions, include robotics and robotics systems autonomy; modular open systems architecture, sensor design, development, miniaturization and integration; embedded software and firmware; miniature, low power, secure wireless digital communications and networks; lightweight aerostructures; high-altitude systems design, integration and operations; machine vision, machine learning and autonomy; land, maritime and air deployment of munitions and aircraft systems; design and qualification for robotics in extreme terrestrial and space environments; munitions systems warhead integration; low SWaP (Size, Weight and Power) system design and integration; collaborative multi-robotic crewed and uncrewed mission operation; power electronics and electric propulsion systems; efficient electric power conversion, storage systems and high density energy packaging; controls and systems integration; vertical takeoff and landing for fixed wing and hybrid aircraft and rotocraft systems; image stabilization and target tracking; advanced flight control systems; fluid dynamics; human-machine interface development; modular dismounted, networked multi-domain robotic control interfaces and analytic processing architecture; and integrated mission solutions for austere environments.</w:t>
      </w:r>
    </w:p>
    <w:p>
      <w:pPr>
        <w:spacing w:after="0" w:line="195"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Our business focuses primarily on the design, development, production, marketing, support and operation of innovative UxS and LMS that provide situational awareness, remote sensing, multi band communications, force protection and other information and mission effects to increase the safety and effectiveness of our customers’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1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generate our revenue primarily from the sale, support, design and operation of our UxS and LMS and HAPS. Support for our SUAS, MUAS and LMS customers includes training, spare parts, product repair and product replacement. Under historical ISR services contracts we have delivered the information our MUAS produce to our customers, who use that information to support their missions; however, these services are no longer a revenue driver. We refer to these support activities, in conjunction with customer-funded R&amp;D, as our services operation. We derive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most of our SUAS, MUAS, LMS and HAPS revenue from fixed-price and cost-plus-fee contracts with the majority from U.S. government and allied foreign governments for SUAS, MUAS, and LMS.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16"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Cost of sales consists of direct costs and allocated indirect costs. Direct costs include labor, materials, travel, subcontracts and other costs directly related to the execution of a specific contract. Indirect costs include overhead expenses, fringe benefits, depreciation of in-service ISR assets, which have been fully depreciated as of April 30, 2023, amortization of acquired intangible assets and other costs that are not directly charged to a specific contract.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216" w:lineRule="exact"/>
        <w:rPr>
          <w:sz w:val="20"/>
          <w:szCs w:val="20"/>
          <w:color w:val="auto"/>
        </w:rPr>
      </w:pPr>
    </w:p>
    <w:p>
      <w:pPr>
        <w:ind w:left="60" w:right="719" w:firstLine="648"/>
        <w:spacing w:after="0" w:line="282" w:lineRule="auto"/>
        <w:rPr>
          <w:sz w:val="20"/>
          <w:szCs w:val="20"/>
          <w:color w:val="auto"/>
        </w:rPr>
      </w:pPr>
      <w:r>
        <w:rPr>
          <w:rFonts w:ascii="Times New Roman" w:cs="Times New Roman" w:eastAsia="Times New Roman" w:hAnsi="Times New Roman"/>
          <w:sz w:val="18"/>
          <w:szCs w:val="18"/>
          <w:color w:val="auto"/>
        </w:rPr>
        <w:t>Gross margin is equal to revenue minus cost of sales. We use gross margin as a financial metric to help us understand trends in our direct costs and allocated indirect costs when compared to the revenue we generate.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1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Our selling, general and administrative expenses (“SG&amp;A”), include salaries, fringe benefits, and other expenses related to selling, marketing and proposal activities, and other administrative costs and amortization of acquired intangible assets. Some SG&amp;A expenses relate to marketing and business development activities that support both ongoing business areas as well as new and emerging market areas. These activities can be directly associated with developing requirements for and applications of capabilities created in our R&amp;D activities. SG&amp;A is an important financial metric that we analyze to help us evaluate the contribution of our selling, marketing and proposal activities to revenue generation.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 Expense</w:t>
      </w:r>
    </w:p>
    <w:p>
      <w:pPr>
        <w:spacing w:after="0" w:line="216"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R&amp;D is an integral part of our business model. We normally conduct significant internally funded R&amp;D. Our R&amp;D activities focus specifically on creating capabilities that support our existing product portfolio as well as new solutions.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Impairment of Goodwill</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Subsequent to the performance of our annual goodwill impairment test, in May 2023 a trigger event was identified that indicated that the carrying value of the MUAS reporting unit exceeded its fair value. Specifically, we received notification that we were not down selected for a U.S. DoD program of record which resulted in a significant decrease in the projected future cash flows of the MUAS reporting unit. As a result, we updated our estimates of long-term future cash flows to reflect lower revenue and EBITDA growth rate expectations used in the valuation of the MUAS reporting unit. These changes in estimates, resulted in the recognition of a goodwill impairment charge of $156.0 million recorded during the year ended April 30, 2023. We determined that it was more likely than not that the fair value of the other reporting units were more than their carrying values as of the annual goodwill impairment test date.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(Loss) Income, net</w:t>
      </w:r>
    </w:p>
    <w:p>
      <w:pPr>
        <w:spacing w:after="0" w:line="216"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Other (loss) income, net includes unrealized losses associated with decreases in the fair market value for equity security investments, the gain on the sale of our equity interest in HAPSMobile, legal accruals related to our former efficient energy systems (“EES”) business, interest income, and interest expense.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p>
      <w:pPr>
        <w:spacing w:after="0" w:line="216"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Our effective tax rates are lower than the statutory rates primarily due to foreign derived intangible income (“FDII”) deductions, R&amp;D tax credits and excess tax benefits from equity awards.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Method Investment (Loss) Income, Net of Tax</w:t>
      </w:r>
    </w:p>
    <w:p>
      <w:pPr>
        <w:spacing w:after="0" w:line="21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Equity method investment (loss) income, net of tax, includes equity method income or loss related to our investment in limited partnership funds for which we have concluded we have influence for holding more than a minor interest. Beginning October 14, 2022, equity method investment (loss) income, net of tax also includes our proportion of any gains or losses of our Turkish joint venture, Altoy Savunma Sanayi ve Havacilik Anonim Sirketi (“Altoy”), due to our share sale in which we decreased our ownership interest to 15% but concluded we retain the ability to exercise significant influence. As of March 2022, equity method investment (loss) income, net of tax, no longer includes equity method income or loss related the HAPSMobile joint venture we formed in December 2017 with SoftBank as we sold our entire equity interest in HAPSMobile.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Interests</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interests includes the 50% interest in the income or losses of Altoy, between September 15, 2021 and October 14, 2022 and 85% interest for all prior periods presented. Subsequent to October 14, 2022, Altoy is no longer consolidated, and therefore, noncontrolling interest is no longer recorded.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90"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believe the following critical accounting estimates affect our more significant judgments and estimates used in preparing our consolidated financial statements. Please see Note 1 to our consolidated financial statements entitled “Organization and Significant Accounting Policies,” which is included in Part II, Item 8 “Financial Statements and Supplementary Data” of this Annual Report. There have been no material changes made to the critical accounting estimates during the periods presented in the consolidated financial statements.</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Management judgments and estimates have been applied consistently and have been reliable historically. We believe that there are two key factors which impact the reliability of management’s estimates. The first of those key factors is that the terms of our contracts are typically less than six months. The short-term nature of such contracts reduces the risk that material changes in accounting estimates will occur on the basis of market conditions or other factors. The second key factor is that we have hundreds of contracts in any given accounting period, which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reduces the risk that any one change in an accounting estimate on one or several contracts would have a material impact on our consolidated financial statements.</w:t>
      </w:r>
    </w:p>
    <w:p>
      <w:pPr>
        <w:spacing w:after="0" w:line="16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substantial majority of our revenue is generated pursuant to written contractual arrangements to design, develop, manufacture and/or modify complex products, and to provide related engineering, technical and other services according to customer specifications. These contracts may be fixed price, cost-reimbursable, or time and materials. We account for all revenue contracts in accordance with ASC 606. 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For contracts with multiple performance obligations, we allocate the contract’s transaction price to each performance obligation using observable standalone selling prices for similar products and services. When the standalone selling price is not directly observable, we use our best estimate of the standalone selling price of each distinct good or service in the contract using the cost plus reasonable margin approach.</w:t>
      </w:r>
    </w:p>
    <w:p>
      <w:pPr>
        <w:spacing w:after="0" w:line="194"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Our performance obligations are satisfied over time or at a point in time. Revenue for LMS product deliveries, customization of UGV transport vehicles and customer-funded R&amp;D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including ISR services, is recognized over time as services are rendered. We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 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87" w:lineRule="exact"/>
        <w:rPr>
          <w:sz w:val="20"/>
          <w:szCs w:val="20"/>
          <w:color w:val="auto"/>
        </w:rPr>
      </w:pPr>
    </w:p>
    <w:p>
      <w:pPr>
        <w:jc w:val="both"/>
        <w:ind w:left="60" w:right="299" w:firstLine="648"/>
        <w:spacing w:after="0" w:line="272" w:lineRule="auto"/>
        <w:rPr>
          <w:sz w:val="20"/>
          <w:szCs w:val="20"/>
          <w:color w:val="auto"/>
        </w:rPr>
      </w:pPr>
      <w:r>
        <w:rPr>
          <w:rFonts w:ascii="Times New Roman" w:cs="Times New Roman" w:eastAsia="Times New Roman" w:hAnsi="Times New Roman"/>
          <w:sz w:val="17"/>
          <w:szCs w:val="17"/>
          <w:color w:val="auto"/>
        </w:rPr>
        <w:t>For performance obligations which are not satisfied over time per the aforementioned criteria above, revenue is recognized at the point in time in which each performance obligation is fully satisfied. Our UxS product sales revenue is primarily composed of revenue recognized on contracts for the delivery of UxS systems and spare parts, respectively.</w:t>
      </w:r>
    </w:p>
    <w:p>
      <w:pPr>
        <w:spacing w:after="0" w:line="2" w:lineRule="exact"/>
        <w:rPr>
          <w:sz w:val="20"/>
          <w:szCs w:val="20"/>
          <w:color w:val="auto"/>
        </w:rPr>
      </w:pPr>
    </w:p>
    <w:p>
      <w:pPr>
        <w:jc w:val="both"/>
        <w:ind w:left="60" w:right="319"/>
        <w:spacing w:after="0" w:line="260" w:lineRule="auto"/>
        <w:rPr>
          <w:sz w:val="20"/>
          <w:szCs w:val="20"/>
          <w:color w:val="auto"/>
        </w:rPr>
      </w:pPr>
      <w:r>
        <w:rPr>
          <w:rFonts w:ascii="Times New Roman" w:cs="Times New Roman" w:eastAsia="Times New Roman" w:hAnsi="Times New Roman"/>
          <w:sz w:val="18"/>
          <w:szCs w:val="18"/>
          <w:color w:val="auto"/>
        </w:rPr>
        <w:t>Revenue is recognized at the point in time when control transfers to the customer, which generally occurs when title and risk of loss have passed to the customer.</w:t>
      </w:r>
    </w:p>
    <w:p>
      <w:pPr>
        <w:spacing w:after="0" w:line="181"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review cost performance, estimates to complete and variable consideration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including the finalization of undefinitized contract actions, occur. The impact of revisions in estimate of completion and variable consideration for all types of contracts are recognized on a cumulative catch-up basis in the period in which the revisions are made. Changes in variable consideration associated with the finalization of undefinitized contract actions could result in cumulative catch up adjustments to revenue that could be material. During the fiscal years ended April 30, 2024, 2023 and 2022, changes in accounting estimates on contracts recognized using the over time method are presented below. Amounts representing contract change orders or claims are included in revenue if the order or claim meets the criteria of a contract or contract modification in accordance with ASC 606. Incentives or penalties and awards applicable to performance on contracts are considered in estimating revenue and profit rates, and are recorded when there is sufficient information to assess anticipated contract performance.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April 30, 2024, 2023 and 2022, favorable and unfavorable cumulative catch-up adjustments included in revenue were as follows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1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adjustments</w:t>
            </w:r>
          </w:p>
        </w:tc>
        <w:tc>
          <w:tcPr>
            <w:tcW w:w="1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April 30, 2024, favorable cumulative catch up adjustments of $7.4 million were primarily due to final cost adjustments on 17 contracts, which individually were not material. For the same period, unfavorable cumulative catch up adjustments of $2.0 million were primarily related to higher than expected costs on 11 contracts. During the year ended April 30, 2024, we revised our estimates of the total expected costs to complete two LMS contracts. The aggregate impact of these adjustments in contract estimates on revenue related to performance obligations satisfied or partially satisfied in previous periods was an increase to revenue of approximately $2.7 million.</w:t>
      </w:r>
    </w:p>
    <w:p>
      <w:pPr>
        <w:spacing w:after="0" w:line="187"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April 30, 2023, favorable cumulative catch up adjustments of $2.9 million were primarily due to final cost adjustments on 23 contracts, which individually were not material. For the same period, unfavorable cumulative catch up adjustments of $3.8 million were primarily related to higher than expected costs on 5 contracts. During the year ended April 30, 2023, we revised our estimates of the total expected costs to complete a TMS variant contract. The aggregate impact of these adjustments in contract estimates on revenue related to performance obligations satisfied or partially satisfied in previous periods was a decrease to revenue of approximately $1.9 million.</w:t>
      </w:r>
    </w:p>
    <w:p>
      <w:pPr>
        <w:spacing w:after="0" w:line="187"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April 30, 2022, favorable cumulative catch up adjustments of $1.3 million were primarily due to final cost adjustments on 19 contracts, which individually were not material. For the same period, unfavorable cumulative catch up adjustments of $2.9 million were primarily related to higher than expected costs on 10 contracts. During the year ended April 30, 2022, we revised our estimates of the total expected costs to complete a LMS contract. The aggregate impact of these adjustments in contract estimates on revenue related to performance obligations satisfied or partially satisfied in previous periods was a decrease to revenue of approximately $1.1 million.</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Inventories Reserves for Excess and Obsolescence</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Our policy for valuation of inventory, including the determination of obsolete or excess inventory, requires us to perform a detailed assessment of inventory at each balance sheet date, which includes a review of, among other factors, an estimate of future demand for products within specific time horizons, valuation of existing inventory, as well as product lifecycle and product development plans. Inventory reserves are also provided to cover risks arising from slow-moving items. We write down our inventory for estimated obsolescence or unmarketable inventory equal to the difference between the cost of inventory and the estimated net realizable value based on assumptions about future demand and market conditions and record to cost of sales. We may be required to record additional inventory write-downs if actual market conditions are less favorable than those projected by our management.</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Intangible Assets – Acquired in Business Combinations</w:t>
      </w:r>
    </w:p>
    <w:p>
      <w:pPr>
        <w:spacing w:after="0" w:line="22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We perform valuations of assets acquired and liabilities assumed on each acquisition accounted for as a business combination and allocate the purchase price of each acquired business to our respective net tangible and intangible assets. Acquired intangible assets include: technology, backlog, in-process research and development, customer relationships, licenses, trademarks and tradenames, and non-compete agreements. We use valuation techniques to value these intangibles assets, with the primary technique being a discounted cash flow analysis. A discounted cash flow analysis requires us to make various assumptions and estimates including projected revenue, gross margins, operating costs, growth rates, useful lives and discount rates. Intangible assets are amortized over their estimated useful lives using the straight-line method which approximates the pattern in which the economic benefits of such assets are consumed. Due to the closure of all of our MUAS COCO sites during the three months ended April 30, 2023, we revised the estimated useful life for MUAS customer relationships which resulted in accelerated intangible amortization expenses of $34.1 million during the fiscal year ended April 30, 2023. Additionally, in conjunction with the goodwill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impairment test performed during the year ended April 30, 2023, the remaining intangibles in the MUAS reporting unit were tested for recoverability. The asset recoverability test did not result in an impairment for the remaining intangibles in the MUAS reporting unit. Refer to Note 6—Goodwill for further details.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cost of an acquired entity over the fair value of the acquired net assets. We test goodwill for impairment annually during the fourth quarter of our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projected future results of operations.</w:t>
      </w:r>
    </w:p>
    <w:p>
      <w:pPr>
        <w:spacing w:after="0" w:line="18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Our evaluation of goodwill for impairment involves the comparison of the fair value of each reporting unit to its carrying value. For the impairment test, we first assess qualitative factors, macroeconomic conditions, industry and market considerations, triggering events, cost factors, and overall financial performance, to determine whether it is necessary to perform a quantitative goodwill impairment test. Alternatively, we may bypass the qualitative assessment for some or all of its reporting units and apply the quantitative impairment test. If determined to be necessary, the quantitative impairment test shall be used to identify goodwill impairment and measure the amount of a goodwill impairment loss to be recognized (if any). For the quantitative impairment test we estimate the fair value by weighting the results from the income approach and the market approach. These valuation approaches consider a number of factors that include, but are not limited to, prospective financial information, growth rates, terminal value, discount rates, and comparable multiples from publicly traded companies in our industry and require us to make certain assumptions and estimates regarding industry economic factors and future profitability of its business.</w:t>
      </w:r>
    </w:p>
    <w:p>
      <w:pPr>
        <w:spacing w:after="0" w:line="19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Subsequent to the performance of our annual goodwill impairment test, in May 2023, a trigger event was identified that indicated that the carrying value of the MUAS reporting unit exceeded its fair value. Specifically, we received notification that we were not down selected for a U.S. DoD program of record which resulted in a significant decrease in the projected future cash flows of the MUAS reporting unit. As a result, we updated our estimates of long-term future cash flows to reflect lower revenue and EBITDA growth rate expectations used in the valuation of the MUAS reporting unit. These changes in estimates, resulted in the recognition of a goodwill impairment charge of $156.0 million in the MUAS reporting unit recorded during the fiscal year ended April 30, 2023.</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As of April 30, 2024, our MUAS reporting unit has a goodwill balance of $135.8 million. The estimated fair value of the MUAS reporting unit does not substantially exceed its carrying value due to the impairment recorded during the fourth quarter ended April 30, 2023, resulting in carrying value being equal to estimated fair value. The fair value of the MUAS reporting unit exceeded the carrying value by 10% as of January 28, 2024, the date of the most recent annual goodwill impairment test. Fair value determinations utilized in the quantitative goodwill impairment test require considerable judgment and are sensitive to changes in underlying assumptions, estimates, and market factors. Estimating the fair value of individual reporting units requires us to make assumptions and estimates regarding future plans, as well as industry, economic, and regulatory conditions. These assumptions and estimates include estimated future annual net cash flows, income tax rates, discount rates, growth rates, and other market factors. Estimated future annual net cash flows based in part upon our ability to obtain contracts from the U.S. DoD and foreign allied nations and negotiate the estimated pricing are considered the most significant, sensitive assumptions. If current expectations of future growth rates and margins are not met, if market factors outside of our control, such as discount rates, income tax rates, or inflation, change, or if management’s expectations or plans otherwise change, including updates to long-term operating plans, then MUAS may become impaired in the future. Accordingly, the MUAS reporting unit is considered at an increased risk of failing future quantitative goodwill impairment tests. During the most recent annual impairment test during the fourth quarter of fiscal year 2024, the estimated fair value of all reporting units, other than MUAS, substantially exceeded their carrying value.</w:t>
      </w:r>
    </w:p>
    <w:p>
      <w:pPr>
        <w:spacing w:after="0" w:line="193" w:lineRule="exact"/>
        <w:rPr>
          <w:sz w:val="20"/>
          <w:szCs w:val="20"/>
          <w:color w:val="auto"/>
        </w:rPr>
      </w:pPr>
    </w:p>
    <w:p>
      <w:pPr>
        <w:ind w:left="60" w:right="279" w:firstLine="648"/>
        <w:spacing w:after="0" w:line="312" w:lineRule="auto"/>
        <w:rPr>
          <w:sz w:val="20"/>
          <w:szCs w:val="20"/>
          <w:color w:val="auto"/>
        </w:rPr>
      </w:pPr>
      <w:r>
        <w:rPr>
          <w:rFonts w:ascii="Times New Roman" w:cs="Times New Roman" w:eastAsia="Times New Roman" w:hAnsi="Times New Roman"/>
          <w:sz w:val="17"/>
          <w:szCs w:val="17"/>
          <w:color w:val="auto"/>
        </w:rPr>
        <w:t>The estimates and assumptions used to determine the fair value of our reporting units are highly subjective in nature. Actual results can be materially different from the estimates and assumptions. If actual market conditions are less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favorable than those projected by the industry or by us, or if events occur or circumstances change that would reduce the estimated fair value of our indefinite-lived intangible assets below the carrying amounts, we could recognize future impairment charges, the amount of which could be material.</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Our income tax provision and related income tax assets and liabilities are based on actual and expected future income, U.S. and foreign statutory income tax rates, and tax regulations and planning opportunities in the various jurisdictions in which it operates. We believe that the accounting estimates related to income taxes are “critical accounting estimates” because significant judgment is required in interpreting tax regulations in the United States and in foreign jurisdictions, evaluating our worldwide uncertain tax positions, and assessing the likelihood of realizing certain tax benefits. Actual results could differ materially from those judgments, and changes in judgments could materially affect our consolidated financial statements.</w:t>
      </w:r>
    </w:p>
    <w:p>
      <w:pPr>
        <w:spacing w:after="0" w:line="189" w:lineRule="exact"/>
        <w:rPr>
          <w:sz w:val="20"/>
          <w:szCs w:val="20"/>
          <w:color w:val="auto"/>
        </w:rPr>
      </w:pPr>
    </w:p>
    <w:p>
      <w:pPr>
        <w:ind w:left="60" w:right="199" w:firstLine="648"/>
        <w:spacing w:after="0" w:line="272" w:lineRule="auto"/>
        <w:rPr>
          <w:sz w:val="20"/>
          <w:szCs w:val="20"/>
          <w:color w:val="auto"/>
        </w:rPr>
      </w:pPr>
      <w:r>
        <w:rPr>
          <w:rFonts w:ascii="Times New Roman" w:cs="Times New Roman" w:eastAsia="Times New Roman" w:hAnsi="Times New Roman"/>
          <w:sz w:val="17"/>
          <w:szCs w:val="17"/>
          <w:color w:val="auto"/>
        </w:rPr>
        <w:t>We are required to estimate our income taxes, which includes estimating our current income taxes as well as measuring the temporary differences resulting from different treatment of items for tax and accounting purposes. We currently have significant deferred tax assets, which are subject to periodic recoverability assessments. Realizing our deferred tax assets principally depends on our achieving projected future taxable income. We may change our judgments regarding future profitability due to future market conditions and other factors, which may result in recording a valuation allowance against those deferred tax assets. We record a valuation allowance to reduce our deferred tax assets if, based on the weight of available evidence, we believe expected future taxable income is not likely to support the use of a deduction or credit in that jurisdiction. We evaluate the level of our valuation allowances during the interim and annually.</w:t>
      </w:r>
    </w:p>
    <w:p>
      <w:pPr>
        <w:spacing w:after="0" w:line="17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record unrecognized tax benefits for U.S. federal, state, local, and foreign tax positions related primarily to tax credits claimed and tax nexus. For each reporting period, we apply a consistent methodology to measure unrecognized tax benefits and all unrecognized tax benefits are reviewed periodically and adjusted as circumstances warrant. Our measurement of our unrecognized tax benefits is based on our assessment of all relevant information, including prior audit experience, the status of audits, conclusions of tax audits, lapsing of applicable statutes of limitations, identification of new issues, and any administrative guidance or developments. We recognize unrecognized tax benefits in the first financial reporting period in which information becomes available indicating that such benefits will more likely than not (a greater than 50% likelihood) be realized.</w:t>
      </w:r>
    </w:p>
    <w:p>
      <w:pPr>
        <w:spacing w:after="0" w:line="19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have various foreign subsidiaries to conduct or support our business outside the United States. We do not provide for U.S. income taxes on undistributed earnings for our foreign subsidiaries as we expect the foreign earnings will be indefinitely reinvested in such foreign jurisdictions.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Our fiscal year ends on April 30. Due to our fixed year end date of April 30, our first and fourth quarters each consist of approximately 13 weeks. The second and third quarters each consist of exactly 13 weeks. Our first three quarters end on a Saturday.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60" w:right="619" w:firstLine="648"/>
        <w:spacing w:after="0" w:line="312" w:lineRule="auto"/>
        <w:rPr>
          <w:sz w:val="20"/>
          <w:szCs w:val="20"/>
          <w:color w:val="auto"/>
        </w:rPr>
      </w:pPr>
      <w:r>
        <w:rPr>
          <w:rFonts w:ascii="Times New Roman" w:cs="Times New Roman" w:eastAsia="Times New Roman" w:hAnsi="Times New Roman"/>
          <w:sz w:val="17"/>
          <w:szCs w:val="17"/>
          <w:color w:val="auto"/>
        </w:rPr>
        <w:t>The following table sets forth certain historical consolidated income statement data expressed in dollars (in thousands) and as a percentage of revenue for the periods indicated. Certain amounts may not sum due to rounding.</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7"/>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716,720</w:t>
            </w:r>
          </w:p>
        </w:tc>
        <w:tc>
          <w:tcPr>
            <w:tcW w:w="180" w:type="dxa"/>
            <w:vAlign w:val="bottom"/>
            <w:shd w:val="clear" w:color="auto" w:fill="CCEEFF"/>
          </w:tcPr>
          <w:p>
            <w:pPr>
              <w:spacing w:after="0"/>
              <w:rPr>
                <w:sz w:val="24"/>
                <w:szCs w:val="24"/>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540,536</w:t>
            </w:r>
          </w:p>
        </w:tc>
        <w:tc>
          <w:tcPr>
            <w:tcW w:w="18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445,732</w:t>
            </w:r>
          </w:p>
        </w:tc>
        <w:tc>
          <w:tcPr>
            <w:tcW w:w="180" w:type="dxa"/>
            <w:vAlign w:val="bottom"/>
            <w:shd w:val="clear" w:color="auto" w:fill="CCEEFF"/>
          </w:tcPr>
          <w:p>
            <w:pPr>
              <w:spacing w:after="0"/>
              <w:rPr>
                <w:sz w:val="24"/>
                <w:szCs w:val="24"/>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432,789</w:t>
            </w:r>
          </w:p>
        </w:tc>
        <w:tc>
          <w:tcPr>
            <w:tcW w:w="1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367,022</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304,496</w:t>
            </w:r>
          </w:p>
        </w:tc>
        <w:tc>
          <w:tcPr>
            <w:tcW w:w="18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283,931</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173,514</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141,236</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114,420</w:t>
            </w:r>
          </w:p>
        </w:tc>
        <w:tc>
          <w:tcPr>
            <w:tcW w:w="1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131,905</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96,434</w:t>
            </w:r>
          </w:p>
        </w:tc>
        <w:tc>
          <w:tcPr>
            <w:tcW w:w="18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97,687</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64,255</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54,689</w:t>
            </w: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156,017</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(178,663)</w:t>
            </w:r>
          </w:p>
        </w:tc>
        <w:tc>
          <w:tcPr>
            <w:tcW w:w="180" w:type="dxa"/>
            <w:vAlign w:val="bottom"/>
            <w:vMerge w:val="continue"/>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180" w:type="dxa"/>
            <w:vAlign w:val="bottom"/>
            <w:vMerge w:val="continue"/>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(4,220)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(9,368)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(5,440)</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(4,373)</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(346)</w:t>
            </w:r>
          </w:p>
        </w:tc>
        <w:tc>
          <w:tcPr>
            <w:tcW w:w="66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(10,313)</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Sale of ownership in HAPSMobile Inc. joint venture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8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09"/>
        </w:trPr>
        <w:tc>
          <w:tcPr>
            <w:tcW w:w="4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(188,377)</w:t>
            </w:r>
          </w:p>
        </w:tc>
        <w:tc>
          <w:tcPr>
            <w:tcW w:w="180" w:type="dxa"/>
            <w:vAlign w:val="bottom"/>
            <w:vMerge w:val="continue"/>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(19,143)</w:t>
            </w:r>
          </w:p>
        </w:tc>
        <w:tc>
          <w:tcPr>
            <w:tcW w:w="1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80" w:type="dxa"/>
            <w:vAlign w:val="bottom"/>
          </w:tcPr>
          <w:p>
            <w:pPr>
              <w:spacing w:after="0"/>
              <w:rPr>
                <w:sz w:val="18"/>
                <w:szCs w:val="18"/>
                <w:color w:val="auto"/>
              </w:rPr>
            </w:pPr>
          </w:p>
        </w:tc>
        <w:tc>
          <w:tcPr>
            <w:tcW w:w="6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(14,663)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(10,369)</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 (loss) income, net of tax</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(2,453)</w:t>
            </w:r>
          </w:p>
        </w:tc>
        <w:tc>
          <w:tcPr>
            <w:tcW w:w="66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59,666</w:t>
            </w: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(176,167)</w:t>
            </w:r>
          </w:p>
        </w:tc>
        <w:tc>
          <w:tcPr>
            <w:tcW w:w="180" w:type="dxa"/>
            <w:vAlign w:val="bottom"/>
            <w:vMerge w:val="continue"/>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80" w:type="dxa"/>
            <w:vAlign w:val="bottom"/>
            <w:vMerge w:val="continue"/>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66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AeroVironment, Inc.</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59,666</w:t>
            </w:r>
          </w:p>
        </w:tc>
        <w:tc>
          <w:tcPr>
            <w:tcW w:w="18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(176,212)</w:t>
            </w:r>
          </w:p>
        </w:tc>
        <w:tc>
          <w:tcPr>
            <w:tcW w:w="18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18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Effective May 1, 2023, the Company reorganized its product lines into the following segments: UnCrewed Systems (“UxS”) segment, our renamed Unmanned Systems segment, consisting of SUAS, including our recent Tomahawk acquisition, MUAS and UGV product lines; Loitering Munition Systems (“LMS”) segment; and the MacCready Works (“MW”) segment, consisting of the HAPS and the MacCready Works businesses. The following table (in thousands) sets forth our revenue and adjusted operating income (loss) from operations generated by each reporting segment for the periods indicated. Adjusted operating income is defined as operating income before impairment of goodwill and accelerated amortization, intangible amortization, amortization of purchase accounting adjustments, and acquisition related expenses.</w:t>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UxS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40" w:type="dxa"/>
            <w:vAlign w:val="bottom"/>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April 30, 2024</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LMS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MW</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415,074</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168,863</w:t>
            </w: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585,771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32,932</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74,293</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130,949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448,006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716,720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income (loss) from operations</w:t>
            </w: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93,122</w:t>
            </w: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24,062</w:t>
            </w:r>
          </w:p>
        </w:tc>
        <w:tc>
          <w:tcPr>
            <w:tcW w:w="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(24,706)</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UxS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April 30, 2023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LMS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MW</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20" w:type="dxa"/>
            <w:vAlign w:val="bottom"/>
            <w:gridSpan w:val="2"/>
            <w:vMerge w:val="continue"/>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268,021</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84,686</w:t>
            </w: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75,889</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35,938</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75,647</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income from operations</w:t>
            </w: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30,568</w:t>
            </w: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UxS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Year Ended April 30, 2022</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LMS</w:t>
            </w: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MW</w:t>
            </w: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106,226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300,743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income (loss) from operations</w:t>
            </w:r>
          </w:p>
        </w:tc>
        <w:tc>
          <w:tcPr>
            <w:tcW w:w="5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28,703</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4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The Company recorded intangible amortization expense and other purchase accounting adjustments in the following categories on the accompanying consolidated statements of income (loss):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16"/>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w:t>
            </w:r>
          </w:p>
        </w:tc>
      </w:tr>
      <w:tr>
        <w:trPr>
          <w:trHeight w:val="216"/>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10,331</w:t>
            </w:r>
          </w:p>
        </w:tc>
      </w:tr>
      <w:tr>
        <w:trPr>
          <w:trHeight w:val="216"/>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49,561</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18,075</w:t>
            </w:r>
          </w:p>
        </w:tc>
      </w:tr>
      <w:tr>
        <w:trPr>
          <w:trHeight w:val="21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18,558</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63,567</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36,707</w:t>
            </w: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 April 30, 2024 Compared to Fiscal Year Ended April 30, 2023</w:t>
      </w:r>
    </w:p>
    <w:p>
      <w:pPr>
        <w:spacing w:after="0" w:line="131"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fiscal year ended April 30, 2024 was $716.7 million, as compared to $540.5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fiscal year ended April 30, 2023, representing an increase of $176.2 million, or 33%. The increase in revenue was due to an increase in product revenue of $232.7 million, partially offset by a decrease in service revenue of $56.5 million. The increase in product revenue was primarily due to an increase of $147.1 million of product deliveries of our UxS products, including $10.6 million associated with the recent Tomahawk acquisition, and an increase of $84.2 million from the production of our Switchblade products. These increases were primarily driven by increased global demand for our uncrewed systems and loitering munitions systems associated with the current global conflicts as well as U.S. DoD resupply. The decrease in service revenue was primarily due to a decrease of $49.7 million due to the closure of all COCO site locations during fiscal year 2023 and a decrease of $11.1 million in other engineering services and customer-funded R&amp;D activities primarily associated with the shift from development to production of certain LMS products, partially offset by $5.3 million associated with the recent Tomahawk acquisition. We expect the increases in LMS product sales to continue into the fiscal year ending April 30, 2025.</w:t>
      </w:r>
    </w:p>
    <w:p>
      <w:pPr>
        <w:spacing w:after="0" w:line="1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for the fiscal year ended April 30, 2024 was $432.8 million, as compared to $367.0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fiscal year ended April 30, 2023, representing an increase of $65.8 million, or 18%. The increase in cost of sales was a result of an increase in product cost of sales of $136.8 million, partially offset by a decrease in service costs of sales of $71.0 million. The increase of $136.8 million in product cost of sales was primarily due to approximately $126 million associated with the increase in product sales volume, an increase in inventory reserve charges of $5.8 million primarily related to the introduction of our next generation products and an increase of $4.1 million in intangible amortization expense primarily resulting from the Tomahawk acquisition. The decrease of $71.0 million in service costs of sales was primarily due to approximately $47 million associated with the decreased service volume, of which $44.4 million is due to the closure of all COCO site locations in the prior year, mix shift of approximately $20 million due to the continuation of services with higher margins than the ceased COCO services, and a decrease of $4.6 million in intangible amortization expense due to intangible assets being fully amortized. Cost of sales for the fiscal year ended April 30, 2024 included $13.5 million of intangible amortization and other related non-cash purchase accounting expenses as compared to $14.0 million for the fiscal year ended April 30, 2023. As a percentage of revenue, cost of sales decreased from 68% to 60%, primarily due to an increase in the proportion of product revenue to total revenue and the prior year COCO accelerated depreciation and amortization expenses resulting in an increase in gross margin from 32% to 40%.</w:t>
      </w:r>
    </w:p>
    <w:p>
      <w:pPr>
        <w:spacing w:after="0" w:line="1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equal to revenue minus cost of sales.</w:t>
      </w:r>
    </w:p>
    <w:p>
      <w:pPr>
        <w:spacing w:after="0" w:line="225" w:lineRule="exact"/>
        <w:rPr>
          <w:sz w:val="20"/>
          <w:szCs w:val="20"/>
          <w:color w:val="auto"/>
        </w:rPr>
      </w:pPr>
    </w:p>
    <w:p>
      <w:pPr>
        <w:ind w:left="60" w:right="599" w:firstLine="648"/>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Selling, General and Administrative. </w:t>
      </w:r>
      <w:r>
        <w:rPr>
          <w:rFonts w:ascii="Times New Roman" w:cs="Times New Roman" w:eastAsia="Times New Roman" w:hAnsi="Times New Roman"/>
          <w:sz w:val="17"/>
          <w:szCs w:val="17"/>
          <w:color w:val="auto"/>
        </w:rPr>
        <w:t>SG&amp;A expense for the fiscal year ended April 30, 2024 was $114.4</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or 16% of revenue, as compared to SG&amp;A expense of $131.9 million, or 24% of revenue, for the fiscal year</w:t>
      </w:r>
    </w:p>
    <w:p>
      <w:pPr>
        <w:sectPr>
          <w:pgSz w:w="11900" w:h="16838" w:orient="portrait"/>
          <w:cols w:equalWidth="0" w:num="1">
            <w:col w:w="9019"/>
          </w:cols>
          <w:pgMar w:left="1440" w:top="513" w:right="1440" w:bottom="1440" w:gutter="0" w:footer="0" w:header="0"/>
        </w:sect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ended April 30, 2023. The decrease in SG&amp;A expense was primarily due to a decrease of $44.6 million in intangible amortization and other non-cash purchase accounting expenses. The decrease in intangible amortization expense was primarily driven by a decrease in COCO customer relationship amortization of $46.5 million due to the accelerated amortization of COCO customer relationships recorded during the three months ended April 30, 2023, partially offset by an increase of $1.7 million resulting from the Tomahawk acquisition. The decrease in SG&amp;A expense was partially offset by an increase in employee related expenses of $15.7 million driven by an increase in average headcount and expansion of our global business development team, an increase in sales and marketing expense of $6.4 million primarily due to an increase in bid and proposal efforts and an increase in depreciation expense of $1.4 million driven by increased capital requirements to support our growth.</w:t>
      </w:r>
    </w:p>
    <w:p>
      <w:pPr>
        <w:spacing w:after="0" w:line="184" w:lineRule="exact"/>
        <w:rPr>
          <w:sz w:val="20"/>
          <w:szCs w:val="20"/>
          <w:color w:val="auto"/>
        </w:rPr>
      </w:pPr>
    </w:p>
    <w:p>
      <w:pPr>
        <w:ind w:left="60" w:right="11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 for the fiscal year ended April 30, 2024 was $97.7 million, or 14%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as compared to R&amp;D expense of $64.3 million, or 12% of revenue, for the fiscal year ended April 30, 2023. R&amp;D expense increased by $33.4 million, or 52%, for the fiscal year ended April 30, 2024, primarily due to an increase in development activities regarding enhanced capabilities for our products, development of new product lines and to support our acquired businesses.</w:t>
      </w:r>
    </w:p>
    <w:p>
      <w:pPr>
        <w:spacing w:after="0" w:line="179" w:lineRule="exact"/>
        <w:rPr>
          <w:sz w:val="20"/>
          <w:szCs w:val="20"/>
          <w:color w:val="auto"/>
        </w:rPr>
      </w:pPr>
    </w:p>
    <w:p>
      <w:pPr>
        <w:ind w:left="60" w:right="7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Goodwill. </w:t>
      </w:r>
      <w:r>
        <w:rPr>
          <w:rFonts w:ascii="Times New Roman" w:cs="Times New Roman" w:eastAsia="Times New Roman" w:hAnsi="Times New Roman"/>
          <w:sz w:val="18"/>
          <w:szCs w:val="18"/>
          <w:color w:val="auto"/>
        </w:rPr>
        <w:t>During the fiscal year ended April 30, 2023, we recorded a goodwill impairment charge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$156.0 million in the MUAS reporting unit due to a trigger event identified once we received notification that we were not down selected for a U.S. DoD program of record which resulted in a significant decrease in the projected future cash flows of the MUAS reporting unit.</w:t>
      </w:r>
    </w:p>
    <w:p>
      <w:pPr>
        <w:spacing w:after="0" w:line="176" w:lineRule="exact"/>
        <w:rPr>
          <w:sz w:val="20"/>
          <w:szCs w:val="20"/>
          <w:color w:val="auto"/>
        </w:rPr>
      </w:pPr>
    </w:p>
    <w:p>
      <w:pPr>
        <w:ind w:left="60" w:right="11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for the fiscal year ended April 30, 2024 was $4.2 million,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interest expense net of $9.4 million for the fiscal year ended April 30, 2023. The decrease in interest expense, net was primarily due to an increase of $2.7 million in interest income due to an increase in the average interest rate earned on our cash balances and a decrease in interest expense of $2.5 million due to lower average outstanding balances on our debt facility, partially offset by higher interest rates applicable to our debt facility.</w:t>
      </w:r>
    </w:p>
    <w:p>
      <w:pPr>
        <w:spacing w:after="0" w:line="179" w:lineRule="exact"/>
        <w:rPr>
          <w:sz w:val="20"/>
          <w:szCs w:val="20"/>
          <w:color w:val="auto"/>
        </w:rPr>
      </w:pPr>
    </w:p>
    <w:p>
      <w:pPr>
        <w:ind w:left="60" w:right="9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net. </w:t>
      </w:r>
      <w:r>
        <w:rPr>
          <w:rFonts w:ascii="Times New Roman" w:cs="Times New Roman" w:eastAsia="Times New Roman" w:hAnsi="Times New Roman"/>
          <w:sz w:val="18"/>
          <w:szCs w:val="18"/>
          <w:color w:val="auto"/>
        </w:rPr>
        <w:t>Other expense, net for the fiscal year ended April 30, 2024 was $4.4 million,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expense, net of $0.3 million for the fiscal year ended April 30, 2023. The increase in other expense, net is primarily due to unrealized losses associated with decreases in fair market value for equity security investments of $3.9 million.</w:t>
      </w:r>
    </w:p>
    <w:p>
      <w:pPr>
        <w:spacing w:after="0" w:line="171" w:lineRule="exact"/>
        <w:rPr>
          <w:sz w:val="20"/>
          <w:szCs w:val="20"/>
          <w:color w:val="auto"/>
        </w:rPr>
      </w:pPr>
    </w:p>
    <w:p>
      <w:pPr>
        <w:ind w:left="60" w:right="23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Our effective income tax rate was 3.0% for the fiscal year ended April 30, 2024,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7.8% for the fiscal year ended April 30, 2023. The decrease in our effective tax rate was primarily due to the prior year’s loss before income taxes, an increase in the foreign-derived intangible income deduction and an increase in R&amp;D tax credits, partially offset by the prior year non-deductible goodwill impairment expense.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method investment loss, net of tax. </w:t>
      </w:r>
      <w:r>
        <w:rPr>
          <w:rFonts w:ascii="Times New Roman" w:cs="Times New Roman" w:eastAsia="Times New Roman" w:hAnsi="Times New Roman"/>
          <w:sz w:val="18"/>
          <w:szCs w:val="18"/>
          <w:color w:val="auto"/>
        </w:rPr>
        <w:t>Equity method investment loss, net of tax for the fiscal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30, 2024 was $1.7 million, as compared to $2.5 million for the fiscal year ended April 30, 2023.</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Segment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UnCrewed Systems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Borders>
              <w:bottom w:val="single" w:sz="8" w:color="auto"/>
            </w:tcBorders>
          </w:tcPr>
          <w:p>
            <w:pPr>
              <w:spacing w:after="0"/>
              <w:rPr>
                <w:sz w:val="14"/>
                <w:szCs w:val="14"/>
                <w:color w:val="auto"/>
              </w:rPr>
            </w:pPr>
          </w:p>
        </w:tc>
      </w:tr>
      <w:tr>
        <w:trPr>
          <w:trHeight w:val="227"/>
        </w:trPr>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00" w:type="dxa"/>
            <w:vAlign w:val="bottom"/>
          </w:tcPr>
          <w:p>
            <w:pPr>
              <w:spacing w:after="0"/>
              <w:rPr>
                <w:sz w:val="19"/>
                <w:szCs w:val="19"/>
                <w:color w:val="auto"/>
              </w:rPr>
            </w:pPr>
          </w:p>
        </w:tc>
        <w:tc>
          <w:tcPr>
            <w:tcW w:w="10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99"/>
        </w:trPr>
        <w:tc>
          <w:tcPr>
            <w:tcW w:w="59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415,074</w:t>
            </w:r>
          </w:p>
        </w:tc>
        <w:tc>
          <w:tcPr>
            <w:tcW w:w="3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268,021</w:t>
            </w:r>
          </w:p>
        </w:tc>
      </w:tr>
      <w:tr>
        <w:trPr>
          <w:trHeight w:val="216"/>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32,932</w:t>
            </w: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75,889</w:t>
            </w:r>
          </w:p>
        </w:tc>
      </w:tr>
      <w:tr>
        <w:trPr>
          <w:trHeight w:val="228"/>
        </w:trPr>
        <w:tc>
          <w:tcPr>
            <w:tcW w:w="59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448,006</w:t>
            </w:r>
          </w:p>
        </w:tc>
        <w:tc>
          <w:tcPr>
            <w:tcW w:w="3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343,910</w:t>
            </w:r>
          </w:p>
        </w:tc>
      </w:tr>
      <w:tr>
        <w:trPr>
          <w:trHeight w:val="198"/>
        </w:trPr>
        <w:tc>
          <w:tcPr>
            <w:tcW w:w="5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income from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30,568</w:t>
            </w:r>
          </w:p>
        </w:tc>
      </w:tr>
    </w:tbl>
    <w:p>
      <w:pPr>
        <w:spacing w:after="0" w:line="194"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UxS revenue for the fiscal year ended April 30, 2024 was $448.0 million, as compared to $343.9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year ended April 30, 2023, representing an increase of $104.1 million, or 30%. The increase in revenue was due to an increase in product revenue of $147.1 million, partially offset by a decrease in service revenue of $43.0 million. The increase in product revenue was primarily due to $136.1 million from increased product shipments of our SUAS family of systems and Jump 20 product systems driven by increased global demand for our uncrewed systems associated with the current global conflicts as well as U.S. DoD resupply and $10.6 million associated with the recent Tomahawk acquisition. The decrease in service revenue was primarily due to decreases of $49.7 million from the closure of all COCO site locations during fiscal year 2023, partially offset by an increase of $5.3 million associated with the recent Tomahawk acquisition.</w:t>
      </w:r>
    </w:p>
    <w:p>
      <w:pPr>
        <w:spacing w:after="0" w:line="188"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UxS Segment Adjusted Income from Operations. </w:t>
      </w:r>
      <w:r>
        <w:rPr>
          <w:rFonts w:ascii="Times New Roman" w:cs="Times New Roman" w:eastAsia="Times New Roman" w:hAnsi="Times New Roman"/>
          <w:sz w:val="18"/>
          <w:szCs w:val="18"/>
          <w:color w:val="auto"/>
        </w:rPr>
        <w:t>UxS segment adjusted income from operations for the fiscal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30, 2024 was $93.1 million, as compared to $30.6 million for the fiscal year ended April 30, 2023, representing an increase of $62.5 million. The increase in UxS segment adjusted income from operations was primarily due to an increase of $104.1 million in revenue, partially offset by an increase of $18.3 million in cost of sales excluding intangible amortization. The increase of $18.3 million in costs of sales excluding intangible amortization is primarily due to an increase of approximately $65 million associated with the increased sales volume and $6.0 million from an increase in inventory reserve charges primarily related to the introduction of our next generation products, partially offset by shift in mix of approximately $53 million due to a higher proportion of international products sales and lower levels of COCO service revenue. The increase in revenue was also partially offset by an increase in SG&amp;A excluding intangible amortization of $14.6 million, driven by an increase in sales and marketing expense and employee related expenses of $3.4 million and $2.8 million, respectively. The sales and marketing and employee related expenses were associated with the increase in average headcount to support our growth and expansion of our global business development team, and an increase in R&amp;D of $8.7 million due to development activities regarding enhanced capabilities for our products.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Loitering Munitions Systems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27"/>
        </w:trPr>
        <w:tc>
          <w:tcPr>
            <w:tcW w:w="37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0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99"/>
        </w:trPr>
        <w:tc>
          <w:tcPr>
            <w:tcW w:w="3720" w:type="dxa"/>
            <w:vAlign w:val="bottom"/>
            <w:tcBorders>
              <w:bottom w:val="single" w:sz="8" w:color="CCEEFF"/>
            </w:tcBorders>
          </w:tcPr>
          <w:p>
            <w:pPr>
              <w:spacing w:after="0"/>
              <w:rPr>
                <w:sz w:val="17"/>
                <w:szCs w:val="17"/>
                <w:color w:val="auto"/>
              </w:rPr>
            </w:pPr>
          </w:p>
        </w:tc>
        <w:tc>
          <w:tcPr>
            <w:tcW w:w="2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r>
      <w:tr>
        <w:trPr>
          <w:trHeight w:val="196"/>
        </w:trPr>
        <w:tc>
          <w:tcPr>
            <w:tcW w:w="3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2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168,863</w:t>
            </w:r>
          </w:p>
        </w:tc>
        <w:tc>
          <w:tcPr>
            <w:tcW w:w="3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84,686</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2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35,938</w:t>
            </w:r>
          </w:p>
        </w:tc>
        <w:tc>
          <w:tcPr>
            <w:tcW w:w="20" w:type="dxa"/>
            <w:vAlign w:val="bottom"/>
          </w:tcPr>
          <w:p>
            <w:pPr>
              <w:spacing w:after="0"/>
              <w:rPr>
                <w:sz w:val="18"/>
                <w:szCs w:val="18"/>
                <w:color w:val="auto"/>
              </w:rPr>
            </w:pPr>
          </w:p>
        </w:tc>
      </w:tr>
      <w:tr>
        <w:trPr>
          <w:trHeight w:val="228"/>
        </w:trPr>
        <w:tc>
          <w:tcPr>
            <w:tcW w:w="37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192,587</w:t>
            </w:r>
          </w:p>
        </w:tc>
        <w:tc>
          <w:tcPr>
            <w:tcW w:w="3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120,624</w:t>
            </w:r>
          </w:p>
        </w:tc>
        <w:tc>
          <w:tcPr>
            <w:tcW w:w="20" w:type="dxa"/>
            <w:vAlign w:val="bottom"/>
          </w:tcPr>
          <w:p>
            <w:pPr>
              <w:spacing w:after="0"/>
              <w:rPr>
                <w:sz w:val="19"/>
                <w:szCs w:val="19"/>
                <w:color w:val="auto"/>
              </w:rPr>
            </w:pPr>
          </w:p>
        </w:tc>
      </w:tr>
      <w:tr>
        <w:trPr>
          <w:trHeight w:val="198"/>
        </w:trPr>
        <w:tc>
          <w:tcPr>
            <w:tcW w:w="37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income from operations</w:t>
            </w:r>
          </w:p>
        </w:tc>
        <w:tc>
          <w:tcPr>
            <w:tcW w:w="24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20" w:type="dxa"/>
            <w:vAlign w:val="bottom"/>
          </w:tcPr>
          <w:p>
            <w:pPr>
              <w:spacing w:after="0"/>
              <w:rPr>
                <w:sz w:val="18"/>
                <w:szCs w:val="18"/>
                <w:color w:val="auto"/>
              </w:rPr>
            </w:pPr>
          </w:p>
        </w:tc>
      </w:tr>
      <w:tr>
        <w:trPr>
          <w:trHeight w:val="648"/>
        </w:trPr>
        <w:tc>
          <w:tcPr>
            <w:tcW w:w="3720" w:type="dxa"/>
            <w:vAlign w:val="bottom"/>
          </w:tcPr>
          <w:p>
            <w:pPr>
              <w:spacing w:after="0"/>
              <w:rPr>
                <w:sz w:val="24"/>
                <w:szCs w:val="24"/>
                <w:color w:val="auto"/>
              </w:rPr>
            </w:pPr>
          </w:p>
        </w:tc>
        <w:tc>
          <w:tcPr>
            <w:tcW w:w="224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LMS revenue for the fiscal year ended April 30, 2024 was $192.6 million, as compared to $120.6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year ended April 30, 2023, representing an increase of $72.0 million, or 60%. The increase in revenue was due to an increase in product revenue of $84.2 million, partially offset by a decrease in service revenue of $12.2 million. The increase in product revenue was primarily due to increased production of our LMS systems due to global demand for our LMS systems associated with the current global conflicts as well as U.S. DoD resupply. The decrease in service revenue was primarily due to a decrease of $11.9 million in customer-funded R&amp;D activities primarily associated with the shift from development to production of certain Switchblade products.</w:t>
      </w:r>
    </w:p>
    <w:p>
      <w:pPr>
        <w:spacing w:after="0" w:line="183"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LMS Segment Adjusted Income from Operations. </w:t>
      </w:r>
      <w:r>
        <w:rPr>
          <w:rFonts w:ascii="Times New Roman" w:cs="Times New Roman" w:eastAsia="Times New Roman" w:hAnsi="Times New Roman"/>
          <w:sz w:val="18"/>
          <w:szCs w:val="18"/>
          <w:color w:val="auto"/>
        </w:rPr>
        <w:t>LMS segment adjusted income from operations for the fiscal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April 30, 2024 was $24.1 million, as compared to $8.1 million for the fiscal year ended April 30, 2023, representing an increase of $16.0 million. The increase in LMS segment adjusted income from operations was primarily due to an increase of $72.0 million in revenue; partially offset by an increase of $46.5 million in cost of sales excluding amortization of intangibles, of which approximately $46 million is associated with the increased sales volume. The increase in revenue was also partially offset by an increase in SG&amp;A excluding amortization of intangibles of $6.9 million, driven by an increase in sales and marketing expense and employee related expenses of $2.5 million and $2.3 million, respectively, associated with the increase in average headcount to support our growth and expansion of our global business development team. The increase in revenue was also partially offset by an increase in R&amp;D of $2.6 million due to development activities regarding enhanced capabilities for our products.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MacCready Works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Borders>
              <w:bottom w:val="single" w:sz="8" w:color="auto"/>
            </w:tcBorders>
          </w:tcPr>
          <w:p>
            <w:pPr>
              <w:spacing w:after="0"/>
              <w:rPr>
                <w:sz w:val="14"/>
                <w:szCs w:val="14"/>
                <w:color w:val="auto"/>
              </w:rPr>
            </w:pPr>
          </w:p>
        </w:tc>
      </w:tr>
      <w:tr>
        <w:trPr>
          <w:trHeight w:val="227"/>
        </w:trPr>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00" w:type="dxa"/>
            <w:vAlign w:val="bottom"/>
          </w:tcPr>
          <w:p>
            <w:pPr>
              <w:spacing w:after="0"/>
              <w:rPr>
                <w:sz w:val="19"/>
                <w:szCs w:val="19"/>
                <w:color w:val="auto"/>
              </w:rPr>
            </w:pPr>
          </w:p>
        </w:tc>
        <w:tc>
          <w:tcPr>
            <w:tcW w:w="10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99"/>
        </w:trPr>
        <w:tc>
          <w:tcPr>
            <w:tcW w:w="59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5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3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74,293</w:t>
            </w: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75,647</w:t>
            </w:r>
          </w:p>
        </w:tc>
      </w:tr>
      <w:tr>
        <w:trPr>
          <w:trHeight w:val="228"/>
        </w:trPr>
        <w:tc>
          <w:tcPr>
            <w:tcW w:w="59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76,127</w:t>
            </w:r>
          </w:p>
        </w:tc>
        <w:tc>
          <w:tcPr>
            <w:tcW w:w="3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76,002</w:t>
            </w:r>
          </w:p>
        </w:tc>
      </w:tr>
      <w:tr>
        <w:trPr>
          <w:trHeight w:val="198"/>
        </w:trPr>
        <w:tc>
          <w:tcPr>
            <w:tcW w:w="5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(loss) income from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(24,706)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r>
    </w:tbl>
    <w:p>
      <w:pPr>
        <w:spacing w:after="0" w:line="194" w:lineRule="exact"/>
        <w:rPr>
          <w:sz w:val="20"/>
          <w:szCs w:val="20"/>
          <w:color w:val="auto"/>
        </w:rPr>
      </w:pPr>
    </w:p>
    <w:p>
      <w:pPr>
        <w:ind w:left="60" w:right="1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MW revenue for the fiscal year ended April 30, 2024 was $76.1 million, as compared to $76.0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year ended April 30, 2023, representing an increase of $0.1 million. The increase in revenue was primarily due to an increase of $1.5 million in product sales, partially offset by a decrease of $1.4 million in service revenue. The increase in product sales is primarily due to the shift from development to early-stage production of certain products. The decrease in service revenue is primarily due to a decrease in engineering services and customer-funded R&amp;D due to delays in anticipated contract awards associated with the government budget authorization process.</w:t>
      </w:r>
    </w:p>
    <w:p>
      <w:pPr>
        <w:spacing w:after="0" w:line="182"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MW Segment Adjusted (Loss) Income from Operations. </w:t>
      </w:r>
      <w:r>
        <w:rPr>
          <w:rFonts w:ascii="Times New Roman" w:cs="Times New Roman" w:eastAsia="Times New Roman" w:hAnsi="Times New Roman"/>
          <w:sz w:val="18"/>
          <w:szCs w:val="18"/>
          <w:color w:val="auto"/>
        </w:rPr>
        <w:t>MW segment adjusted loss from operations for the fiscal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April 30, 2024 was $24.7 million, as compared to MW segment adjusted income from operations of $3.7 million for the fiscal year ended April 30, 2023, representing an increased loss of $28.4 million. The increase in MW adjusted loss from operations was primarily due to an increase in R&amp;D of $22.2 million due to increased investments largely related to HAPS development efforts to support the decrease in customer-funded R&amp;D programs in part due to delays in the establishment of the government fiscal year 2024 budget, an increase in SG&amp;A excluding amortization of intangibles of $4.8 million driven by increased employee related expenses of $2.4 million associated with the increase in average headcount to support our growth and expansion and an increase of $1.5 million in cost of sales excluding amortization of intangibles driven by increased sales mix of approximately $1 million due to the shift from development to early-stage production of certain products.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Fiscal Year Ended April 30, 2023 Compared to Fiscal Year Ended April 30, 2022</w:t>
      </w:r>
    </w:p>
    <w:p>
      <w:pPr>
        <w:spacing w:after="0" w:line="131" w:lineRule="exact"/>
        <w:rPr>
          <w:sz w:val="20"/>
          <w:szCs w:val="20"/>
          <w:color w:val="auto"/>
        </w:rPr>
      </w:pPr>
    </w:p>
    <w:p>
      <w:pPr>
        <w:ind w:left="60" w:right="5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fiscal year ended April 30, 2023 was $540.5 million, as compared to $445.7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fiscal year ended April 30, 2022, representing an increase of $94.8 million, or 21%. The increase in revenue was due to an increase in product revenue of $112.4 million, partially offset by a decrease in service revenue of $17.6 million. The increase in product revenue was due to an increase of $73.5 million of product deliveries of our UxS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products and an increase of $38.5 million from the production of our Switchblade products. These increases were primarily driven by increased global demand for our uncrewed systems and loitering munitions associated with the current global conflicts. The decrease in service revenue was primarily due to a decrease of $38.3 million due to the closure of all COCO site locations during fiscal year 2023, partially offset by an increase of $17.0 million in customer-funded R&amp;D and engineering services primarily due to an increase in development activities related to the creation of new capabilities for customers and an increase in training and repair services of $3.7 million associated with the increased sales volume. We expect the lower levels of MUAS service revenues to continue into fiscal 2024 due to the closure of all of our MUAS COCO operations site locations. Due to the higher backlog, the increase in the UxS product revenues as compared to the prior year is expected to continue through the at least first half of the fiscal year ending April 30, 2024.</w:t>
      </w:r>
    </w:p>
    <w:p>
      <w:pPr>
        <w:spacing w:after="0" w:line="171" w:lineRule="exact"/>
        <w:rPr>
          <w:sz w:val="20"/>
          <w:szCs w:val="20"/>
          <w:color w:val="auto"/>
        </w:rPr>
      </w:pPr>
    </w:p>
    <w:p>
      <w:pPr>
        <w:ind w:left="60" w:right="199" w:firstLine="648"/>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Cost of Sales. </w:t>
      </w:r>
      <w:r>
        <w:rPr>
          <w:rFonts w:ascii="Times New Roman" w:cs="Times New Roman" w:eastAsia="Times New Roman" w:hAnsi="Times New Roman"/>
          <w:sz w:val="17"/>
          <w:szCs w:val="17"/>
          <w:color w:val="auto"/>
        </w:rPr>
        <w:t>Cost of sales for the fiscal year ended April 30, 2023 was $367.0 million, as compared to $304.5</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for the fiscal year ended April 30, 2022, representing an increase of $62.5 million, or 21%. The increase in cost of sales was a result of an increase in product cost of sales of $62.8 million, partially offset by a decrease in service costs of sales of $0.3 million. The increase in product cost of sales was primarily due to an increase of approximately $61 million associated with the increase in product revenue and an increase of $5.9 million in inventory reserve charges primarily related to the introduction of our next generation products, partially offset by a decrease of $4.2 million in intangible amortization primarily due to intangible assets and other purchase accounting adjustments being fully amortized. The decrease of $0.3 million in service costs of sales was primarily related to approximately $13 million associated with the decreased service volume, driven by the closure of all COCO site locations, largely offset by accelerated depreciation charges of certain deployed fixed assets related to the closure of all of our MUAS site locations of $11.5 million. Cost of sales for the fiscal year ended April 30, 2023 included $14.0 million of intangible amortization and other related non-cash purchase accounting expenses as compared to $18.6 million for the fiscal year ended April 30, 2022. As a percentage of revenue, cost of sales remained consistent at 68%, with an increase in the proportion of product revenue to total revenues offset by the MUAS accelerated depreciation charges resulting in gross margin remaining consistent at 32%.</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equal to revenue minus cost of sales.</w:t>
      </w:r>
    </w:p>
    <w:p>
      <w:pPr>
        <w:spacing w:after="0" w:line="225"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w:t>
      </w:r>
      <w:r>
        <w:rPr>
          <w:rFonts w:ascii="Times New Roman" w:cs="Times New Roman" w:eastAsia="Times New Roman" w:hAnsi="Times New Roman"/>
          <w:sz w:val="18"/>
          <w:szCs w:val="18"/>
          <w:color w:val="auto"/>
        </w:rPr>
        <w:t>SG&amp;A expense for the fiscal year ended April 30, 2023 was $131.9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24% of revenue, as compared to SG&amp;A expense of $96.4 million, or 22% of revenue, for the fiscal year ended April 30, 2022. The increase in SG&amp;A expense was primarily due to the $31.4 million of accelerated amortization of COCO customer relationships recorded during the three months ended April 30, 2023 and an increase in employee related expenses of $3.9 million driven by the acquisitions of acquisitions of Arcturus, ISG and Telerob, partially offset by a decrease of $3.5 million in acquisition-related expenses for those acquisitions incurred during fiscal year ended April 30, 2022. SG&amp;A included $50.9 million, inclusive of $34.1 million of MUAS accelerated intangible asset amortization expenses, and $22.9 million of intangible amortization expenses and acquisition-related expenses for the fiscal year ended April 30, 2023 and 2022, respectively.</w:t>
      </w:r>
    </w:p>
    <w:p>
      <w:pPr>
        <w:spacing w:after="0" w:line="188" w:lineRule="exact"/>
        <w:rPr>
          <w:sz w:val="20"/>
          <w:szCs w:val="20"/>
          <w:color w:val="auto"/>
        </w:rPr>
      </w:pPr>
    </w:p>
    <w:p>
      <w:pPr>
        <w:ind w:left="60" w:right="11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 for the fiscal year ended April 30, 2023 was $64.3 million, or 12%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as compared to R&amp;D expense of $54.7 million, or 12% of revenue, for the fiscal year ended April 30, 2022. R&amp;D expense increased by $9.6 million, or 17%, for the fiscal year ended April 30, 2023, primarily due to an increase in development activities regarding enhanced capabilities for our products, development of new product lines and to support our acquired businesses.</w:t>
      </w:r>
    </w:p>
    <w:p>
      <w:pPr>
        <w:spacing w:after="0" w:line="179" w:lineRule="exact"/>
        <w:rPr>
          <w:sz w:val="20"/>
          <w:szCs w:val="20"/>
          <w:color w:val="auto"/>
        </w:rPr>
      </w:pPr>
    </w:p>
    <w:p>
      <w:pPr>
        <w:ind w:left="60" w:right="13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Goodwill. </w:t>
      </w:r>
      <w:r>
        <w:rPr>
          <w:rFonts w:ascii="Times New Roman" w:cs="Times New Roman" w:eastAsia="Times New Roman" w:hAnsi="Times New Roman"/>
          <w:sz w:val="18"/>
          <w:szCs w:val="18"/>
          <w:color w:val="auto"/>
        </w:rPr>
        <w:t>In May 2023, a trigger event was identified that indicated that the carrying value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MUAS reporting unit exceeded its fair value. Specifically, we received notification that we were not down selected for a U.S. DoD program of record which resulted in a significant decrease in the projected future cash flows of the MUAS reporting unit. As a result, we updated our estimates of long-term future cash flows to reflect lower revenue and EBITDA growth rate expectations used in the valuation of the MUAS reporting unit. These changes in estimates, resulted in the recognition of a goodwill impairment charge of $156.0 million in the MUAS reporting unit.</w:t>
      </w:r>
    </w:p>
    <w:p>
      <w:pPr>
        <w:spacing w:after="0" w:line="182" w:lineRule="exact"/>
        <w:rPr>
          <w:sz w:val="20"/>
          <w:szCs w:val="20"/>
          <w:color w:val="auto"/>
        </w:rPr>
      </w:pPr>
    </w:p>
    <w:p>
      <w:pPr>
        <w:ind w:left="60" w:right="77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for the fiscal year ended April 30, 2023 was $9.4 million,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interest expense net of $5.4 million for the fiscal year ended April 30, 2022. The increase in interest</w:t>
      </w:r>
    </w:p>
    <w:p>
      <w:pPr>
        <w:sectPr>
          <w:pgSz w:w="11900" w:h="16838" w:orient="portrait"/>
          <w:cols w:equalWidth="0" w:num="1">
            <w:col w:w="9019"/>
          </w:cols>
          <w:pgMar w:left="1440" w:top="513" w:right="144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expense, net was primarily due to an increase of $4.8 million in interest expense resulting from higher interest rates on our debt facility, partially offset by lower average outstanding balances.</w:t>
      </w:r>
    </w:p>
    <w:p>
      <w:pPr>
        <w:spacing w:after="0" w:line="158" w:lineRule="exact"/>
        <w:rPr>
          <w:sz w:val="20"/>
          <w:szCs w:val="20"/>
          <w:color w:val="auto"/>
        </w:rPr>
      </w:pPr>
    </w:p>
    <w:p>
      <w:pPr>
        <w:ind w:left="60" w:right="9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net. </w:t>
      </w:r>
      <w:r>
        <w:rPr>
          <w:rFonts w:ascii="Times New Roman" w:cs="Times New Roman" w:eastAsia="Times New Roman" w:hAnsi="Times New Roman"/>
          <w:sz w:val="18"/>
          <w:szCs w:val="18"/>
          <w:color w:val="auto"/>
        </w:rPr>
        <w:t>Other expense, net for the fiscal year ended April 30, 2023 was $0.3 million,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expense, net of $10.3 million for the fiscal year ended April 30, 2022. Other expense, net for the fiscal year ended April 30, 2023 included unrealized losses associated with decreases in the fair market value for equity security investments. Other expense, net for the fiscal year ended April 30, 2022 included $10.0 million of expense related to the Webasto legal settlement.</w:t>
      </w:r>
    </w:p>
    <w:p>
      <w:pPr>
        <w:spacing w:after="0" w:line="179" w:lineRule="exact"/>
        <w:rPr>
          <w:sz w:val="20"/>
          <w:szCs w:val="20"/>
          <w:color w:val="auto"/>
        </w:rPr>
      </w:pPr>
    </w:p>
    <w:p>
      <w:pPr>
        <w:ind w:left="60" w:right="259"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of ownership in HAPSMobile Inc. joint venture. </w:t>
      </w:r>
      <w:r>
        <w:rPr>
          <w:rFonts w:ascii="Times New Roman" w:cs="Times New Roman" w:eastAsia="Times New Roman" w:hAnsi="Times New Roman"/>
          <w:sz w:val="18"/>
          <w:szCs w:val="18"/>
          <w:color w:val="auto"/>
        </w:rPr>
        <w:t>Sale of ownership in HAPSMobile Inc. joint venture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fiscal year ended April 30, 2022 was $6.5 million gain related to the sale of our equity interest in HAPSMobile.</w:t>
      </w:r>
    </w:p>
    <w:p>
      <w:pPr>
        <w:spacing w:after="0" w:line="155" w:lineRule="exact"/>
        <w:rPr>
          <w:sz w:val="20"/>
          <w:szCs w:val="20"/>
          <w:color w:val="auto"/>
        </w:rPr>
      </w:pPr>
    </w:p>
    <w:p>
      <w:pPr>
        <w:ind w:left="60" w:right="239"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Our effective income tax rate was 7.8% for the fiscal year ended April 30, 2023,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54.2% for the fiscal year ended April 30, 2022. The decrease in our effective tax rate was primarily due to the loss before income taxes, non-deductible goodwill impairment expense, and foreign-derived intangible income deduction, partially offset by R&amp;D tax credits.</w:t>
      </w:r>
    </w:p>
    <w:p>
      <w:pPr>
        <w:spacing w:after="0" w:line="176" w:lineRule="exact"/>
        <w:rPr>
          <w:sz w:val="20"/>
          <w:szCs w:val="20"/>
          <w:color w:val="auto"/>
        </w:rPr>
      </w:pPr>
    </w:p>
    <w:p>
      <w:pPr>
        <w:ind w:left="60" w:right="139"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method investment (loss) income, net of tax. </w:t>
      </w:r>
      <w:r>
        <w:rPr>
          <w:rFonts w:ascii="Times New Roman" w:cs="Times New Roman" w:eastAsia="Times New Roman" w:hAnsi="Times New Roman"/>
          <w:sz w:val="18"/>
          <w:szCs w:val="18"/>
          <w:color w:val="auto"/>
        </w:rPr>
        <w:t>Equity method investment loss, net of tax for the fiscal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April 30, 2023 was $(2.5) million, as compared to equity method investment income, net of $4.6 million for the fiscal year ended April 30, 2022. In March 2022, the Company sold its 7% equity interest in HAPSMobile to SoftBank. Subsequent to the equity interest sale in HAPSMobile during the three months ended April 30, 2022, equity method investment loss, net of tax relates to activity of the investments in limited partnership funds.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Segment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UnCrewed Systems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Borders>
              <w:bottom w:val="single" w:sz="8" w:color="auto"/>
            </w:tcBorders>
          </w:tcPr>
          <w:p>
            <w:pPr>
              <w:spacing w:after="0"/>
              <w:rPr>
                <w:sz w:val="14"/>
                <w:szCs w:val="14"/>
                <w:color w:val="auto"/>
              </w:rPr>
            </w:pPr>
          </w:p>
        </w:tc>
      </w:tr>
      <w:tr>
        <w:trPr>
          <w:trHeight w:val="227"/>
        </w:trPr>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00" w:type="dxa"/>
            <w:vAlign w:val="bottom"/>
          </w:tcPr>
          <w:p>
            <w:pPr>
              <w:spacing w:after="0"/>
              <w:rPr>
                <w:sz w:val="19"/>
                <w:szCs w:val="19"/>
                <w:color w:val="auto"/>
              </w:rPr>
            </w:pPr>
          </w:p>
        </w:tc>
        <w:tc>
          <w:tcPr>
            <w:tcW w:w="100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99"/>
        </w:trPr>
        <w:tc>
          <w:tcPr>
            <w:tcW w:w="59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5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268,021</w:t>
            </w:r>
          </w:p>
        </w:tc>
        <w:tc>
          <w:tcPr>
            <w:tcW w:w="3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194,517</w:t>
            </w:r>
          </w:p>
        </w:tc>
      </w:tr>
      <w:tr>
        <w:trPr>
          <w:trHeight w:val="216"/>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75,889</w:t>
            </w: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106,226</w:t>
            </w:r>
          </w:p>
        </w:tc>
      </w:tr>
      <w:tr>
        <w:trPr>
          <w:trHeight w:val="228"/>
        </w:trPr>
        <w:tc>
          <w:tcPr>
            <w:tcW w:w="59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343,910</w:t>
            </w:r>
          </w:p>
        </w:tc>
        <w:tc>
          <w:tcPr>
            <w:tcW w:w="3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300,743</w:t>
            </w:r>
          </w:p>
        </w:tc>
      </w:tr>
      <w:tr>
        <w:trPr>
          <w:trHeight w:val="198"/>
        </w:trPr>
        <w:tc>
          <w:tcPr>
            <w:tcW w:w="5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income from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28,703</w:t>
            </w:r>
          </w:p>
        </w:tc>
      </w:tr>
    </w:tbl>
    <w:p>
      <w:pPr>
        <w:spacing w:after="0" w:line="194"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UxS revenue for the fiscal year ended April 30, 2023 was $343.9 million, as compared to $300.7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year ended April 30, 2023, representing an increase of $43.2 million, or 14%. The increase in revenue was due to an increase in product revenue of $73.5 million, partially offset by a decrease in service revenue of $30.3 million. The increase in product revenue was primarily due to increased product shipments of our SUAS, UGV and Jump 20 family of systems driven by increased global demand for our uncrewed systems associated with the current global conflicts as well as U.S. DoD resupply. The decrease in service revenue was primarily due to decreases of $38.3 million from the closure of all COCO site locations during fiscal year 2023, partially offset by an increase in customer-funded R&amp;D and engineering services of $4.5 million primarily due to expanded services provided by MUAS and an increase in training and repair services of $3.4 million associated with the increased sales volume.</w:t>
      </w:r>
    </w:p>
    <w:p>
      <w:pPr>
        <w:spacing w:after="0" w:line="188"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UxS Segment adjusted income from operations. </w:t>
      </w:r>
      <w:r>
        <w:rPr>
          <w:rFonts w:ascii="Times New Roman" w:cs="Times New Roman" w:eastAsia="Times New Roman" w:hAnsi="Times New Roman"/>
          <w:sz w:val="18"/>
          <w:szCs w:val="18"/>
          <w:color w:val="auto"/>
        </w:rPr>
        <w:t>UxS segment adjusted income from operations for the fiscal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30, 2023 was $30.6 million, as compared to $28.7 million for the fiscal year ended April 30, 2022, representing an increase of $1.9 million. The increase in UxS segment adjusted income from operations was primarily due to an increase of $43.2 million in revenue, partially offset by an increase of $33.4 million in cost of sales excluding intangible amortization. The increase in cost of sales excluding intangible amortization was primarily related to approximately $27 million associated with the increased sales volume, accelerated depreciation charges of $11.5 million for certain deployed fixed assets related to the closure of all of our MUAS site locations, and an increase in inventory reserve charges of $3.8 million primarily related to the introduction of our next generation products, partially offset by a shift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66" w:lineRule="auto"/>
        <w:rPr>
          <w:sz w:val="20"/>
          <w:szCs w:val="20"/>
          <w:color w:val="auto"/>
        </w:rPr>
      </w:pPr>
      <w:r>
        <w:rPr>
          <w:rFonts w:ascii="Times New Roman" w:cs="Times New Roman" w:eastAsia="Times New Roman" w:hAnsi="Times New Roman"/>
          <w:sz w:val="18"/>
          <w:szCs w:val="18"/>
          <w:color w:val="auto"/>
        </w:rPr>
        <w:t>mix of approximately $9 million due to a higher proportion of international products sales and lower levels of COCO service revenue. The increase in revenue was also partially offset by an in increase in R&amp;D of $7.9 million due to development activities regarding enhanced capabilities for our products.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Loitering Munitions Systems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0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99"/>
        </w:trPr>
        <w:tc>
          <w:tcPr>
            <w:tcW w:w="59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84,686</w:t>
            </w:r>
          </w:p>
        </w:tc>
        <w:tc>
          <w:tcPr>
            <w:tcW w:w="3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35,938</w:t>
            </w: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9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120,624</w:t>
            </w:r>
          </w:p>
        </w:tc>
        <w:tc>
          <w:tcPr>
            <w:tcW w:w="3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income (loss) from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LMS revenue for the fiscal year ended April 30, 2023 was $120.6 million, as compared to $76.4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year ended April 30, 2022, representing an increase of $44.2 million, or 58%. The increase in revenue was due to an increase in product revenue of $38.5 million and an increase in service revenue of $5.7 million. The increase in product revenue was primarily due to increased production of our LMS systems primarily due to increased global demand for our LMS systems associated with the current global conflicts as well as U.S. DoD resupply. The increase in service revenue was primarily due to an increase of $5.4 million in engineering services and customer-funded R&amp;D activities primarily associated with development activities regarding enhanced capabilities for our customers.</w:t>
      </w:r>
    </w:p>
    <w:p>
      <w:pPr>
        <w:spacing w:after="0" w:line="183"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LMS Segment adjusted income (loss) from operations. </w:t>
      </w:r>
      <w:r>
        <w:rPr>
          <w:rFonts w:ascii="Times New Roman" w:cs="Times New Roman" w:eastAsia="Times New Roman" w:hAnsi="Times New Roman"/>
          <w:sz w:val="18"/>
          <w:szCs w:val="18"/>
          <w:color w:val="auto"/>
        </w:rPr>
        <w:t>LMS segment adjusted income from operations for the fiscal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April 30, 2023 was $8.1 million, as compared to LMS segment adjusted loss from operations of ($2.8) million for the fiscal year ended April 30, 2022, representing an increase of $10.9 million. The increase in LMS segment adjusted income from operations was primarily due to an increase of $44.2 million in revenue, partially offset by an increase of $26.0 million in cost of sales excluding intangible amortization was primarily related to approximately $30 million associated with the increased sales volume, partially offset by sales mix of approximately $4 million due to new contract awards with higher estimated margins. The increase in revenue was also partially offset by an increase in SG&amp;A excluding intangible amortization of $4.4 million driven by increased sales and marketing activity in support of additional bid and proposal efforts, and an increase in R&amp;D of $2.9 million due to increased development activities regarding enhanced capabilities for our products.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MacCready Works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26"/>
        </w:trPr>
        <w:tc>
          <w:tcPr>
            <w:tcW w:w="37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30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99"/>
        </w:trPr>
        <w:tc>
          <w:tcPr>
            <w:tcW w:w="3720" w:type="dxa"/>
            <w:vAlign w:val="bottom"/>
            <w:tcBorders>
              <w:bottom w:val="single" w:sz="8" w:color="CCEEFF"/>
            </w:tcBorders>
          </w:tcPr>
          <w:p>
            <w:pPr>
              <w:spacing w:after="0"/>
              <w:rPr>
                <w:sz w:val="17"/>
                <w:szCs w:val="17"/>
                <w:color w:val="auto"/>
              </w:rPr>
            </w:pPr>
          </w:p>
        </w:tc>
        <w:tc>
          <w:tcPr>
            <w:tcW w:w="2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7"/>
                <w:szCs w:val="17"/>
                <w:color w:val="auto"/>
              </w:rPr>
            </w:pPr>
          </w:p>
        </w:tc>
      </w:tr>
      <w:tr>
        <w:trPr>
          <w:trHeight w:val="196"/>
        </w:trPr>
        <w:tc>
          <w:tcPr>
            <w:tcW w:w="3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2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2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75,647</w:t>
            </w: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68,570</w:t>
            </w:r>
          </w:p>
        </w:tc>
        <w:tc>
          <w:tcPr>
            <w:tcW w:w="20" w:type="dxa"/>
            <w:vAlign w:val="bottom"/>
          </w:tcPr>
          <w:p>
            <w:pPr>
              <w:spacing w:after="0"/>
              <w:rPr>
                <w:sz w:val="18"/>
                <w:szCs w:val="18"/>
                <w:color w:val="auto"/>
              </w:rPr>
            </w:pPr>
          </w:p>
        </w:tc>
      </w:tr>
      <w:tr>
        <w:trPr>
          <w:trHeight w:val="228"/>
        </w:trPr>
        <w:tc>
          <w:tcPr>
            <w:tcW w:w="37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76,002</w:t>
            </w:r>
          </w:p>
        </w:tc>
        <w:tc>
          <w:tcPr>
            <w:tcW w:w="3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68,574</w:t>
            </w:r>
          </w:p>
        </w:tc>
        <w:tc>
          <w:tcPr>
            <w:tcW w:w="20" w:type="dxa"/>
            <w:vAlign w:val="bottom"/>
          </w:tcPr>
          <w:p>
            <w:pPr>
              <w:spacing w:after="0"/>
              <w:rPr>
                <w:sz w:val="19"/>
                <w:szCs w:val="19"/>
                <w:color w:val="auto"/>
              </w:rPr>
            </w:pPr>
          </w:p>
        </w:tc>
      </w:tr>
      <w:tr>
        <w:trPr>
          <w:trHeight w:val="198"/>
        </w:trPr>
        <w:tc>
          <w:tcPr>
            <w:tcW w:w="37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income from operations</w:t>
            </w:r>
          </w:p>
        </w:tc>
        <w:tc>
          <w:tcPr>
            <w:tcW w:w="24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20" w:type="dxa"/>
            <w:vAlign w:val="bottom"/>
          </w:tcPr>
          <w:p>
            <w:pPr>
              <w:spacing w:after="0"/>
              <w:rPr>
                <w:sz w:val="18"/>
                <w:szCs w:val="18"/>
                <w:color w:val="auto"/>
              </w:rPr>
            </w:pPr>
          </w:p>
        </w:tc>
      </w:tr>
      <w:tr>
        <w:trPr>
          <w:trHeight w:val="648"/>
        </w:trPr>
        <w:tc>
          <w:tcPr>
            <w:tcW w:w="3720" w:type="dxa"/>
            <w:vAlign w:val="bottom"/>
          </w:tcPr>
          <w:p>
            <w:pPr>
              <w:spacing w:after="0"/>
              <w:rPr>
                <w:sz w:val="24"/>
                <w:szCs w:val="24"/>
                <w:color w:val="auto"/>
              </w:rPr>
            </w:pPr>
          </w:p>
        </w:tc>
        <w:tc>
          <w:tcPr>
            <w:tcW w:w="224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MW revenue for the fiscal year ended April 30, 2023 was $76.0 million, as compared to $68.6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year ended April 30, 2022, representing an increase of $7.4 million, or 11%. The increase in revenue was primarily due to an increase of $7.1 million in service revenue. The increase in service revenue is primarily due to an increase in engineering services and customer-funded R&amp;D efforts of $7.1 million due to an increase in development activities related to the creation of new capabilities for customers.</w:t>
      </w:r>
    </w:p>
    <w:p>
      <w:pPr>
        <w:spacing w:after="0" w:line="17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MW Segment adjusted income from operations. </w:t>
      </w:r>
      <w:r>
        <w:rPr>
          <w:rFonts w:ascii="Times New Roman" w:cs="Times New Roman" w:eastAsia="Times New Roman" w:hAnsi="Times New Roman"/>
          <w:sz w:val="18"/>
          <w:szCs w:val="18"/>
          <w:color w:val="auto"/>
        </w:rPr>
        <w:t>MW segment adjusted income from operations for the fiscal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April 30, 2023 was $3.7 million, as compared to $5.8 million for the fiscal year ended April 30, 2022, representing a decrease of $2.1 million. The decrease in MW adjusted income from operations was primarily due to an increase of $7.9 million in cost of sales primarily due to approximately $5 million associated with the increased service volume and sales mix of approximately $3 million due to higher margins on newer service contracts. The decrease in MW segment adjusted income from operations was also driven by an increase in SG&amp;A excluding amortization of $2.8 million driven by $3.8 million in increased employee related expenses and sales and marketing activity driven by the ISG acquisition, partially offset by an increase of $7.4 million in revenue and a decrease in R&amp;D of $1.2 million due to a decrease in internally developed capabilities for our products.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99" w:firstLine="648"/>
        <w:spacing w:after="0" w:line="227" w:lineRule="auto"/>
        <w:rPr>
          <w:sz w:val="20"/>
          <w:szCs w:val="20"/>
          <w:color w:val="auto"/>
        </w:rPr>
      </w:pPr>
      <w:r>
        <w:rPr>
          <w:rFonts w:ascii="Times New Roman" w:cs="Times New Roman" w:eastAsia="Times New Roman" w:hAnsi="Times New Roman"/>
          <w:sz w:val="18"/>
          <w:szCs w:val="18"/>
          <w:color w:val="auto"/>
        </w:rPr>
        <w:t>On September 8, 2022, we filed an S-3 shelf registration statement to offer and sell shares of our common stock, including a prospectus supplement in relation to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also dated September 8, 2022, with Jefferies LLC relating to the proposed offer and sale of shares of our common stock having an aggregate offering price of up to $200.0 million from time to time through Jefferies LLC as our sales agent. As of October 28, 2023, we completed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and sold 1,917,100 of our shares for total gross proceeds of $200.0 million and $194.0 million proceeds received, net of commission expense and $193.1 million proceeds received, net of equity issuance costs. During the fiscal year ended April 30, 2024, we sold 807,370 shares for total gross proceeds of $91.3 million, total proceeds received of $88.6 million, net of commission expense and $88.4 million net of equity issuance costs.</w:t>
      </w:r>
    </w:p>
    <w:p>
      <w:pPr>
        <w:spacing w:after="0" w:line="20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On February 19, 2021 in connection with the consummation of the Arcturus acquisition, we entered into a credit agreement (as amended February 4, 2022 and June 6, 2023, the “Credit Agreement”) for (i) a five-year $100 million revolving credit facility, which includes a $25 million sublimit for the issuance of standby and commercial letters of credit (the “Revolving Facility”), and (ii) a five-year amortized $200 million term A loan (the “Term Loan Facility,” and together with the Revolving Credit Facility, the “Credit Facilities”). The Term Loan Facility requires payment of 5% of the outstanding obligations in each of the first four loan years, with the remaining 80.0%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Our ability to borrow under the Revolving Facility is reduced by outstanding letters of credit of $15.5 million as of April 30, 2024. As of April 30, 2024, approximately $84.5 million was available under the Revolving Facility. Borrowings under the Revolving Facility may be used for working capital and other general corporate purposes. Refer to Note 11—Debt to our financial statements for further details. In addition, Telerob has a line of credit of €5.5 million (approximately $5.9 million) available for issuing letters of credit of which €0.1 million (approximately $0.1 million) was outstanding as of April 30, 2024.</w:t>
      </w:r>
    </w:p>
    <w:p>
      <w:pPr>
        <w:spacing w:after="0" w:line="19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anticipate funding our normal recurring trade payables, accrued expenses, ongoing R&amp;D costs and obligations under the Credit Facilities through our existing working capital and funds provided by operating activities including those provided by our acquisitions of Arcturus, ISG, Telerob, Planck and Tomahawk.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future obligations related to the acquisitions and obligations under the Credit Facilities during the next twelve months. There can be no assurance, however, that our business will continue to generate cash flow at current levels. If we are unable to generate sufficient cash flow from operations, then we may be required to sell assets, reduce capital expenditures or draw on our Credit Facilities. We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anticipate that existing sources of liquidity, Credit Facilities, and cash flows from operations will be sufficient to satisfy our cash needs for the foreseeable future.</w:t>
      </w:r>
    </w:p>
    <w:p>
      <w:pPr>
        <w:spacing w:after="0" w:line="162"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Our primary liquidity needs are for financing working capital, investing in capital expenditures, supporting product development efforts, support our credit facility, introducing new products and enhancing existing products, marketing acceptance and adoption of our products and services.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our Credit Facilities are insufficient to fund our future activities, we may need to raise additional funds through public or private equity or debt financing, subject to the limitations specified in our Credit Agreement. In addition, we may also need to seek additional equity funding or debt financing if we become a party to any agreement or letter of intent for potential investments in, or acquisitions of, businesses, services or technologies.</w:t>
      </w:r>
    </w:p>
    <w:p>
      <w:pPr>
        <w:spacing w:after="0" w:line="194" w:lineRule="exact"/>
        <w:rPr>
          <w:sz w:val="20"/>
          <w:szCs w:val="20"/>
          <w:color w:val="auto"/>
        </w:rPr>
      </w:pPr>
    </w:p>
    <w:p>
      <w:pPr>
        <w:jc w:val="both"/>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80"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During the fiscal year ended April 30, 2022, we made certain commitments outside of the ordinary course of business, including capital contribution commitments to a second limited partnership fund. Under the terms of the new limited partnership agreement, we have committed to make capital contributions to such fund totaling $20.0 million, inclusive of the expected reinvestment of distributions from our existing limited partnership fund, of which $11.1 million was remaining at April 30, 2024. The remaining contributions are anticipated to be paid over the next three fiscal years. During the fiscal year ended April 30, 2022, the Telerob Seller earned the second year earnout of €2.0 million (approximately $2.1 million) was paid in November 2023. The Tomahawk acquisition closed on September 15, 2023, and we paid a total purchase price of $134.4 million consisting of $109.8 million in stock and $24.2 million from cash on hand, net of cash acquired. Due to the new internal revenue service tax capitalization rules, Section 174, which requires R&amp;D expenditures to be capitalized and amortized over a 5-year period for tax return purposes, we experienced an increase in cash paid for U.S. federal income taxes during the fiscal year ended April 30, 2024 and expect higher levels of cash taxes in in future fiscal years relative to historical periods. On May 31, 2024, we prepaid $8.0 million of the Term Loan principle.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our cash flow data from continuing operations for the periods ended:</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gridSpan w:val="9"/>
          </w:tcPr>
          <w:p>
            <w:pPr>
              <w:ind w:left="36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r>
      <w:tr>
        <w:trPr>
          <w:trHeight w:val="142"/>
        </w:trPr>
        <w:tc>
          <w:tcPr>
            <w:tcW w:w="4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28"/>
        </w:trPr>
        <w:tc>
          <w:tcPr>
            <w:tcW w:w="49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(9,618)</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(51,714)</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2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(52,288)</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(22,852)</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50,834</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(16,607)</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Provided by (Used in) Operating Activities. </w:t>
      </w:r>
      <w:r>
        <w:rPr>
          <w:rFonts w:ascii="Times New Roman" w:cs="Times New Roman" w:eastAsia="Times New Roman" w:hAnsi="Times New Roman"/>
          <w:sz w:val="18"/>
          <w:szCs w:val="18"/>
          <w:color w:val="auto"/>
        </w:rPr>
        <w:t>Net cash provided by operating activities for the fiscal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April 30, 2024 increased by $3.9 million to $15.3 million, as compared to $11.4 million for the fiscal year ended April 30, 2023. This increase in net cash provided by operating activities was primarily due an increase in net income of $235.8 million, partially offset by a decrease in non-cash expenses of $209.3 million, primarily due to a goodwill impairment of $156.0 million in the fiscal year ended April 30, 2023 and a decrease in depreciation and amortization, largely due to $34.1 million of accelerated MUAS intangible amortization expenses in the prior year end, partially offset by an increase in stock-based compensation and an in increase in inventory reserve charges primarily related to the introduction of our next generation products and an increase in the cash used as a result of changes in operating assets and liabilities largely resulting from increases in unbilled receivables and retentions and prepaid expenses and other assets, partially offset by decreases in accounts receivables and inventory due to year over year timing differences.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70" w:lineRule="auto"/>
        <w:rPr>
          <w:sz w:val="20"/>
          <w:szCs w:val="20"/>
          <w:color w:val="auto"/>
        </w:rPr>
      </w:pPr>
      <w:r>
        <w:rPr>
          <w:rFonts w:ascii="Times New Roman" w:cs="Times New Roman" w:eastAsia="Times New Roman" w:hAnsi="Times New Roman"/>
          <w:sz w:val="17"/>
          <w:szCs w:val="17"/>
          <w:color w:val="auto"/>
        </w:rPr>
        <w:t>Net cash provided by operating activities for the fiscal year ended April 30, 2023 increased by $21.0 million to $11.4 million, compared to net cash used in operating activities of $9.6 million for the fiscal year ended April 30, 2022. This increase in net cash provided by operating activities was primarily due to an increase in non-cash expenses of $199.4 million, primarily due to a goodwill impairment of $156.0 million, an increase in depreciation and amortization, largely due to $34.1 million of accelerated MUAS intangible amortization expenses, losses from equity method investments, inventory reserve and stock based compensation, partially offset by a decrease in deferred income taxes and loss on disposal of property and equipment. The increase in non-cash expenses was partially offset by an increase in net loss of $172.0 million and an increase in the cash used as a result of changes in operating assets and liabilities largely resulting from increases in accounts receivable and inventory primarily due to year over year timing differences, partially offset by decreases in unbilled receivables and retentions and increases in accounts payable due to year over year timing differences.</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Used in Investing Activities. </w:t>
      </w:r>
      <w:r>
        <w:rPr>
          <w:rFonts w:ascii="Times New Roman" w:cs="Times New Roman" w:eastAsia="Times New Roman" w:hAnsi="Times New Roman"/>
          <w:sz w:val="18"/>
          <w:szCs w:val="18"/>
          <w:color w:val="auto"/>
        </w:rPr>
        <w:t>Net cash used in investing activities increased by $44.7 million to</w:t>
      </w:r>
    </w:p>
    <w:p>
      <w:pPr>
        <w:spacing w:after="0" w:line="31"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$51.7 million for the fiscal year ended April 30, 2024, compared to $7.0 million for the fiscal year ended April 30, 2023. The increase in net cash used in investing activities was primarily due to a decrease in net redemptions of available-for-sale investments of $24.7 million, an increase in business acquisitions, net of cash acquired of $19.1 million, and an increase in the acquisition of property and equipment of $8.1 million, partially offset by a decrease in equity security investments of $5.1 million. During the fiscal years ended April 30, 2024 and 2023, we used cash to purchase property and equipment totaling $23.0 million and $14.9 million, respectively.</w:t>
      </w:r>
    </w:p>
    <w:p>
      <w:pPr>
        <w:spacing w:after="0" w:line="190"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decreased by $45.3 million to $7.0 million for the fiscal year ended April 30, 2023, compared to net cash used in investing activities of $52.3 million for the fiscal year ended April 30, 2022. The decrease in net cash used in investing activities was primarily due to a decrease in business acquisitions, net of cash acquired of $41.0 million, a decrease in net purchases of available-for-sale investments of $12.8 million and a decrease in the acquisition of property and equipment of $7.4 million, partially offset by an increase in equity security investments of $5.1 million, and a decrease in the proceeds from the sale of ownership in equity method investment and from loan repayment of $6.5 million and $4.3 million, respectively. During the fiscal years ended April 30, 2023 and 2022, we used cash to purchase property and equipment totaling $14.9 million and $22.3 million, respectively.</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Cash (Used in) Provided by Financing Activities. </w:t>
      </w:r>
      <w:r>
        <w:rPr>
          <w:rFonts w:ascii="Times New Roman" w:cs="Times New Roman" w:eastAsia="Times New Roman" w:hAnsi="Times New Roman"/>
          <w:sz w:val="18"/>
          <w:szCs w:val="18"/>
          <w:color w:val="auto"/>
        </w:rPr>
        <w:t>Net cash used in financing activities increased by</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$73.7 million to $22.9 million for the fiscal year ended April 30, 2024, compared to net cash provided by financing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activities of $50.8 million for the fiscal year ended April 30, 2023. The increase in net cash used in financing activities was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primarily due to an increase in the principal payments on the debt facility of $52.0 million and a decrease in the proceeds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from shares issued, net of issuance costs of $16.2 million in the fiscal year ended April 30, 2023, a decrease in the exercise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 stock options of $2.3 million and increase in the payment of contingent consideration of $2.1 million.</w:t>
      </w:r>
    </w:p>
    <w:p>
      <w:pPr>
        <w:spacing w:after="0" w:line="207"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increased by $67.4 million to $50.8 million for the fiscal year ended April 30, 2023, compared to net cash used in financing activities of $16.6 million for the fiscal year ended April 30, 2022. The increase in net cash provided by financing activities was primarily due to the proceeds from shares issued, net of issuance costs of $104.6 million in the fiscal year ended April 30, 2022 and a decrease in holdback and retention payments of $7.8 million, partially offset by an increase in the principal payments on the debt facility of $45.0 million.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describes our commitments to settle contractual obligations as of April 30, 2024:</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4"/>
                <w:szCs w:val="14"/>
                <w:b w:val="1"/>
                <w:bCs w:val="1"/>
                <w:color w:val="auto"/>
              </w:rPr>
              <w:t>Payments Due By Period (2)</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vMerge w:val="restart"/>
          </w:tcPr>
          <w:p>
            <w:pPr>
              <w:spacing w:after="0"/>
              <w:rPr>
                <w:sz w:val="10"/>
                <w:szCs w:val="10"/>
                <w:color w:val="auto"/>
              </w:rPr>
            </w:pPr>
          </w:p>
        </w:tc>
        <w:tc>
          <w:tcPr>
            <w:tcW w:w="7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4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1 to 3 Years</w:t>
            </w:r>
          </w:p>
        </w:tc>
        <w:tc>
          <w:tcPr>
            <w:tcW w:w="140" w:type="dxa"/>
            <w:vAlign w:val="bottom"/>
            <w:vMerge w:val="restart"/>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3 to 5 Years</w:t>
            </w:r>
          </w:p>
        </w:tc>
        <w:tc>
          <w:tcPr>
            <w:tcW w:w="160" w:type="dxa"/>
            <w:vAlign w:val="bottom"/>
            <w:vMerge w:val="restart"/>
          </w:tcPr>
          <w:p>
            <w:pPr>
              <w:spacing w:after="0"/>
              <w:rPr>
                <w:sz w:val="10"/>
                <w:szCs w:val="10"/>
                <w:color w:val="auto"/>
              </w:rPr>
            </w:pPr>
          </w:p>
        </w:tc>
        <w:tc>
          <w:tcPr>
            <w:tcW w:w="7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40" w:type="dxa"/>
            <w:vAlign w:val="bottom"/>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(In thousands)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obligations(1)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125,322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191,769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146,044</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33,986</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hanging="330"/>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all cancelable and non-cancelable purchase orders as of April 30, 2024.</w:t>
      </w:r>
    </w:p>
    <w:p>
      <w:pPr>
        <w:spacing w:after="0" w:line="27" w:lineRule="exact"/>
        <w:rPr>
          <w:rFonts w:ascii="Times New Roman" w:cs="Times New Roman" w:eastAsia="Times New Roman" w:hAnsi="Times New Roman"/>
          <w:sz w:val="18"/>
          <w:szCs w:val="18"/>
          <w:color w:val="auto"/>
        </w:rPr>
      </w:pPr>
    </w:p>
    <w:p>
      <w:pPr>
        <w:ind w:left="380" w:right="439" w:hanging="330"/>
        <w:spacing w:after="0" w:line="260"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included in the table above is additional capital contributions of $11.1 million committed under the terms of a limited partnership agreement.</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did not adopt any accounting standards during the fiscal year ended April 30, 2024.</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ASU 2023-07 improves reportable segment disclosure requirements, primarily through enhanced disclosures about significant segment expenses reported to the CODM. ASU 2023-07 also requires all segment profit or loss and assets disclosures to be provided on an annual and interim basis. The new standard is effective for fiscal years beginning after December 15, 2023 and interim periods within fiscal years beginning after December 15, 2024, with early adoption permitted. ASU 2023-07 is adopted retrospectively. We are evaluating the potential impact of this adoption on our disclosures.</w:t>
      </w:r>
    </w:p>
    <w:p>
      <w:pPr>
        <w:spacing w:after="0" w:line="189"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updates to the rate reconciliation, income taxes paid and other disclosures. The new standard is effective for fiscal years beginning after December 15, 2024 and interim periods within fiscal years beginning after December 15, 2025, with early adoption permitted. ASU 2023-09 is adopted retrospectively. We are evaluating the potential impact of this adoption on its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On February 19, 2021, in connection with the consummation of the Arcturus acquisition, we entered into the Credit Facilities, as amended February 4, 2022 and June 6, 2023. As of April 30, 2024, the current outstanding balance of the Credit Facilities is $28.0 million and bears a variable interest rate. If market interest rates increase significantly, interest due on the Credit Facilities would increase. The market interest rate has increased significantly, and if market interest rates continue to increase, interest due on the Credit Facilities would increase.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Since a significant part of our sales and expenses are denominated in U.S. dollars, we have not experienced significant foreign exchange gains or losses to date. We currently do not engage in forward contracts or other derivatives in foreign currencies to limit our exposure on non-U.S. dollar transactions. With the acquisition of Telerob, which does conduct sales denominated in Euros, we are exposed to future foreign exchange gains or losses, and we will consider methods to limit our exposure on non-U.S. dollar transactions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and Supplementary Data</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34)</w:t>
            </w:r>
          </w:p>
        </w:tc>
        <w:tc>
          <w:tcPr>
            <w:tcW w:w="980" w:type="dxa"/>
            <w:vAlign w:val="bottom"/>
            <w:shd w:val="clear" w:color="auto" w:fill="CCEEFF"/>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420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at April 30, 2024 and 2023</w:t>
            </w:r>
          </w:p>
        </w:tc>
        <w:tc>
          <w:tcPr>
            <w:tcW w:w="3700" w:type="dxa"/>
            <w:vAlign w:val="bottom"/>
            <w:tcBorders>
              <w:top w:val="single" w:sz="8" w:color="CCEEFF"/>
            </w:tcBorders>
            <w:gridSpan w:val="7"/>
          </w:tcPr>
          <w:p>
            <w:pPr>
              <w:spacing w:after="0"/>
              <w:rPr>
                <w:sz w:val="15"/>
                <w:szCs w:val="15"/>
                <w:color w:val="auto"/>
              </w:rPr>
            </w:pPr>
          </w:p>
        </w:tc>
        <w:tc>
          <w:tcPr>
            <w:tcW w:w="980" w:type="dxa"/>
            <w:vAlign w:val="bottom"/>
            <w:tcBorders>
              <w:top w:val="single" w:sz="8" w:color="CCEEFF"/>
            </w:tcBorders>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7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Income (Loss) for the Years Ended April 30, 2024, 2023 and 2022</w:t>
            </w:r>
          </w:p>
        </w:tc>
        <w:tc>
          <w:tcPr>
            <w:tcW w:w="1120" w:type="dxa"/>
            <w:vAlign w:val="bottom"/>
            <w:tcBorders>
              <w:bottom w:val="single" w:sz="8" w:color="CCEEFF"/>
            </w:tcBorders>
            <w:gridSpan w:val="3"/>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9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 (Loss) for the Years Ended April 30, 2024, 2023 and</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20" w:type="dxa"/>
            <w:vAlign w:val="bottom"/>
            <w:tcBorders>
              <w:top w:val="single" w:sz="8" w:color="0000EE"/>
            </w:tcBorders>
            <w:gridSpan w:val="4"/>
          </w:tcPr>
          <w:p>
            <w:pPr>
              <w:jc w:val="right"/>
              <w:ind w:right="2580"/>
              <w:spacing w:after="0" w:line="196" w:lineRule="exact"/>
              <w:rPr>
                <w:sz w:val="20"/>
                <w:szCs w:val="20"/>
                <w:color w:val="auto"/>
              </w:rPr>
            </w:pPr>
            <w:r>
              <w:rPr>
                <w:rFonts w:ascii="Times New Roman" w:cs="Times New Roman" w:eastAsia="Times New Roman" w:hAnsi="Times New Roman"/>
                <w:sz w:val="18"/>
                <w:szCs w:val="18"/>
                <w:color w:val="0000EE"/>
              </w:rPr>
              <w:t>2022</w:t>
            </w:r>
          </w:p>
        </w:tc>
        <w:tc>
          <w:tcPr>
            <w:tcW w:w="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72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Stockholders’ Equity for the Years Ended April 30, 2024, 2023 and 2022</w:t>
            </w:r>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90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April 30, 2024, 2023 and 2022</w:t>
            </w:r>
          </w:p>
        </w:tc>
        <w:tc>
          <w:tcPr>
            <w:tcW w:w="980" w:type="dxa"/>
            <w:vAlign w:val="bottom"/>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9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980" w:type="dxa"/>
            <w:vAlign w:val="bottom"/>
            <w:shd w:val="clear" w:color="auto" w:fill="CCEEFF"/>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8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Supplementary Data</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 Schedule: Schedule II—Valuation and Qualifying Accounts</w:t>
            </w:r>
          </w:p>
        </w:tc>
        <w:tc>
          <w:tcPr>
            <w:tcW w:w="980" w:type="dxa"/>
            <w:vAlign w:val="bottom"/>
            <w:shd w:val="clear" w:color="auto" w:fill="CCEEFF"/>
          </w:tcPr>
          <w:p>
            <w:pPr>
              <w:jc w:val="right"/>
              <w:ind w:right="92"/>
              <w:spacing w:after="0" w:line="17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right="119"/>
        <w:spacing w:after="0" w:line="286" w:lineRule="auto"/>
        <w:rPr>
          <w:sz w:val="20"/>
          <w:szCs w:val="20"/>
          <w:color w:val="auto"/>
        </w:rPr>
      </w:pPr>
      <w:r>
        <w:rPr>
          <w:rFonts w:ascii="Times New Roman" w:cs="Times New Roman" w:eastAsia="Times New Roman" w:hAnsi="Times New Roman"/>
          <w:sz w:val="18"/>
          <w:szCs w:val="18"/>
          <w:b w:val="1"/>
          <w:bCs w:val="1"/>
          <w:color w:val="auto"/>
        </w:rPr>
        <w:t>All other schedules are omitted because they are not applicable, not required or the information required is included in the Consolidated Financial Statements, including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the Board of Directors of AeroVironment,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AeroVironment, Inc. and subsidiaries (the "Company") as of April 30, 2024 and 2023, the related consolidated statements of income (loss), comprehensive income (loss), stockholders' equity, and cash flows, for each of the three years in the period ended April 30, 2024, and the related notes and the schedule listed in the Index at Item 15(a) (collectively referred to as the "financial statements"). In our opinion, the financial statements present fairly, in all material respects, the financial position of the Company as of April 30, 2024 and 2023, and the results of its operations and its cash flows for each of the three years in the period ended April 30, 2024, in conformity with accounting principles generally accepted in the United States of America.</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April 30, 2024, based on criteria established in Internal Control — Integrated Framework (2013) issued by the Committee of Sponsoring Organizations of the Treadway Commission and our report dated June 26, 2024, expressed an unqualified opinion on the Company's internal control over financial reporting.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183" w:lineRule="exact"/>
        <w:rPr>
          <w:sz w:val="20"/>
          <w:szCs w:val="20"/>
          <w:color w:val="auto"/>
        </w:rPr>
      </w:pPr>
    </w:p>
    <w:p>
      <w:pPr>
        <w:ind w:left="60" w:right="4059"/>
        <w:spacing w:after="0" w:line="40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 Refer to Note 1 and Note 6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evaluation of goodwill for impairment involves the comparison of the fair value of each reporting unit to its carrying value. The Company estimates the fair value by weighting the results from the income approach and the market approach. The income approach incorporates the use of projected financial information and a discount rate that are developed using market participant-based assumptions. The cash-flow projections are based on seven-year financial forecasts developed by management that include revenue projections, capital spending trends, and investment in working</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capital to support anticipated revenue growth. The selected discount rate considers the risk and nature of the respective reporting unit’s cash flows, and the rates of return market participants would require to invest their capital in its reporting units. The market approach utilizes the guideline public company and guideline transaction methods. As of April 30, 2024, the Medium Uncrewed Aircraft Systems (MUAS) reporting unit has a goodwill balance of $135,800,000. The fair value of the MUAS reporting unit exceeded the carrying value by 10% as of January 28, 2024, the date of the most recent annual goodwill impairment test. The MUAS reporting unit is considered at an increased risk of failing future quantitative goodwill impairment tests.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identified goodwill for MUAS as a critical audit matter because of the significant judgments made by management to estimate the fair value of the MUAS reporting unit and the difference between its fair value and carrying value. This required a high degree of auditor judgment and an increased extent of effort, including the need to involve our fair value specialists, when performing audit procedures to evaluate the reasonableness of management’s estimates and assumptions related to future revenue projections.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4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expected amount and timing of future revenue projections used to estimate the fair value of the MUAS reporting unit included the following, among others:</w:t>
      </w:r>
    </w:p>
    <w:p>
      <w:pPr>
        <w:spacing w:after="0" w:line="81" w:lineRule="exact"/>
        <w:rPr>
          <w:sz w:val="20"/>
          <w:szCs w:val="20"/>
          <w:color w:val="auto"/>
        </w:rPr>
      </w:pPr>
    </w:p>
    <w:p>
      <w:pPr>
        <w:jc w:val="both"/>
        <w:ind w:left="720" w:right="79" w:hanging="319"/>
        <w:spacing w:after="0" w:line="266"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management’s controls over their goodwill impairment evaluation, including those over the determination of the fair value of the MUAS reporting unit, such as controls related to management’s review of forecasts of future revenues.</w:t>
      </w:r>
    </w:p>
    <w:p>
      <w:pPr>
        <w:spacing w:after="0" w:line="9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inquired of appropriate individuals, both within and outside of finance, regarding the revenue projections.</w:t>
      </w:r>
    </w:p>
    <w:p>
      <w:pPr>
        <w:spacing w:after="0" w:line="144"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reasonableness of management’s forecasts of future revenues by comparing the projections to historical results, certain peer companies, third-party industry forecasts, contractual agreements and internal communications to management and the Company’s Board of Directors.</w:t>
      </w:r>
    </w:p>
    <w:p>
      <w:pPr>
        <w:spacing w:after="0" w:line="9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compared applicable industry forecasted long-term revenue growth rates to management’s projected revenues used within the valuation model.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estimate future revenues by comparing actual revenues to management’s historical forecasts.</w:t>
      </w:r>
    </w:p>
    <w:p>
      <w:pPr>
        <w:spacing w:after="0" w:line="158" w:lineRule="exact"/>
        <w:rPr>
          <w:sz w:val="20"/>
          <w:szCs w:val="20"/>
          <w:color w:val="auto"/>
        </w:rPr>
      </w:pPr>
    </w:p>
    <w:p>
      <w:pPr>
        <w:ind w:left="60" w:right="2999"/>
        <w:spacing w:after="0" w:line="40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Acquisitions — Refer to Note 1 and Note 21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On September 15, 2023, the Company closed its acquisition of Tomahawk Robotics, Inc. Pursuant to the merger agreement, the Company acquired 100% of Tomahawk equity for total consideration of $134,367,000, net of cash acquired. The Company accounted for the acquisition under the acquisition method of accounting for business combinations. Accordingly, the purchase price was allocated to the fair value of the assets acquired and liabilities assumed, resulting in technology of $39,000,000, customer relationship of $4,800,000, trademarks of $1,600,000 and goodwill of $95,414,000.</w:t>
      </w:r>
    </w:p>
    <w:p>
      <w:pPr>
        <w:spacing w:after="0" w:line="16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Management estimated the fair value of the intangible assets using discounted cash flow analyses, which were based on the Company’s preliminary estimates of future sales, earnings and cash flows after considering such factors as general market conditions, anticipated customer demand, changes in working capital, long term business plans and recent operating performance. Determining the fair value of the intangible assets acquired required management to make significant judgments including the amount and timing of expected future cash flows, long term growth rates and discount rates.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identified the assumptions related to estimating the amount and timing of expected future revenues to be a critical audit matter given the inherent judgment involved in estimating these amounts. Performing audit procedures to evaluate the reasonableness of these estimates and assumptions required a high degree of auditor judgment and an increased extent of effort, including the need to involve our fair value specialists.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4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expected amount and timing of future revenue used to estimate the fair value of the intangible assets acquired included the following, among others:</w:t>
      </w:r>
    </w:p>
    <w:p>
      <w:pPr>
        <w:spacing w:after="0" w:line="81" w:lineRule="exact"/>
        <w:rPr>
          <w:sz w:val="20"/>
          <w:szCs w:val="20"/>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management’s controls over the valuation of intangibles, including management’s controls over the estimates of the amount and timing of expected future revenues.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reasonableness of management’s forecasts of future revenues by performing inquiries of appropriate individuals outside of the accounting organization, comparing the projections to historical results, contractual agreements, third-party industry forecasts, and internal communications to management and the Company’s Board of Directors.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compared applicable industry forecasted long-term revenue growth rates to management’s projected revenues used within the valuation model.</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estimate future revenues by comparing actual revenues to estimates assumed in the valuation model.</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26, 2024</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73,301</w:t>
            </w:r>
          </w:p>
        </w:tc>
        <w:tc>
          <w:tcPr>
            <w:tcW w:w="44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$159 at April 30, 2024 and $156 at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April 30, 2023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70,305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Unbilled receivables and retentions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199,474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 net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150,168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22,333</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515,581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477,002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46,602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Intangibles, net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72,224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275,652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13,505</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1,015,860</w:t>
            </w:r>
          </w:p>
        </w:tc>
        <w:tc>
          <w:tcPr>
            <w:tcW w:w="200" w:type="dxa"/>
            <w:vAlign w:val="bottom"/>
          </w:tcPr>
          <w:p>
            <w:pPr>
              <w:spacing w:after="0"/>
              <w:rPr>
                <w:sz w:val="20"/>
                <w:szCs w:val="20"/>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824,577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48,298</w:t>
            </w:r>
          </w:p>
        </w:tc>
        <w:tc>
          <w:tcPr>
            <w:tcW w:w="44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Wages and related accruals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44,312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Customer advances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17,074</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144,879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Liability for uncertain tax positions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$0.0001 par value: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Authorized shares—10,000,000; none issued or outstanding at April 30, 2024 and April 30, 2023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Authorized shares—100,000,000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Issued and outstanding shares—28,134,438 shares at April 30, 2024 and 26,216,897 shares at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April 30, 2023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597,646</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384,397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Retained earnings</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230,687</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822,745</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550,970</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1,015,860</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824,577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 sales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585,771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353,062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Contract services</w:t>
            </w:r>
          </w:p>
        </w:tc>
        <w:tc>
          <w:tcPr>
            <w:tcW w:w="8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130,949</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187,474</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205,049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716,720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540,536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445,732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 sales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340,174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203,419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Contract services</w:t>
            </w:r>
          </w:p>
        </w:tc>
        <w:tc>
          <w:tcPr>
            <w:tcW w:w="8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92,615</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163,603</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432,789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367,022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304,496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 sales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245,597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149,643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Contract services</w:t>
            </w:r>
          </w:p>
        </w:tc>
        <w:tc>
          <w:tcPr>
            <w:tcW w:w="8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38,334</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23,871</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41,149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283,931</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173,514</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141,236</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114,420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131,905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96,434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97,687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64,255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goodwill</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156,017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8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71,824</w:t>
            </w: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(178,663)</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(loss) income: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expense, net</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Sale of ownership in HAPSMobile Inc. joint venture</w:t>
            </w:r>
          </w:p>
        </w:tc>
        <w:tc>
          <w:tcPr>
            <w:tcW w:w="8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6,497</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63,231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(188,377)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method investment (loss) income, net of tax</w:t>
            </w:r>
          </w:p>
        </w:tc>
        <w:tc>
          <w:tcPr>
            <w:tcW w:w="8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(176,167)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8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 attributable to AeroVironment, Inc.</w:t>
            </w:r>
          </w:p>
        </w:tc>
        <w:tc>
          <w:tcPr>
            <w:tcW w:w="84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59,666</w:t>
            </w:r>
          </w:p>
        </w:tc>
        <w:tc>
          <w:tcPr>
            <w:tcW w:w="14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(176,212)</w:t>
            </w:r>
          </w:p>
        </w:tc>
        <w:tc>
          <w:tcPr>
            <w:tcW w:w="1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Net income (loss) per share attributable to AeroVironment, Inc.</w:t>
            </w:r>
          </w:p>
        </w:tc>
        <w:tc>
          <w:tcPr>
            <w:tcW w:w="8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Basic</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Diluted</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Basic</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27,203,417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25,044,881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24,685,534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Diluted</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27,327,993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25,044,881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24,685,534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w w:val="99"/>
              </w:rPr>
              <w:t>Year Ended April 30,</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(176,167)</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Unrealized gain (loss) on available-for-sale investments, net of deferred tax</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 of $0, $0 and $8 for the fiscal years ended April 30, 2024, 2023 and</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2022, respectively</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AeroVironment, Inc.</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(174,150)</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0" w:type="dxa"/>
            <w:vAlign w:val="bottom"/>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11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720" w:type="dxa"/>
            <w:vAlign w:val="bottom"/>
            <w:gridSpan w:val="7"/>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ComprehensiveAeroVironment, Inc.Controlling</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380" w:type="dxa"/>
            <w:vAlign w:val="bottom"/>
          </w:tcPr>
          <w:p>
            <w:pPr>
              <w:spacing w:after="0"/>
              <w:rPr>
                <w:sz w:val="11"/>
                <w:szCs w:val="11"/>
                <w:color w:val="auto"/>
              </w:rPr>
            </w:pPr>
          </w:p>
        </w:tc>
        <w:tc>
          <w:tcPr>
            <w:tcW w:w="880" w:type="dxa"/>
            <w:vAlign w:val="bottom"/>
            <w:gridSpan w:val="2"/>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20" w:type="dxa"/>
            <w:vAlign w:val="bottom"/>
          </w:tcPr>
          <w:p>
            <w:pPr>
              <w:spacing w:after="0"/>
              <w:rPr>
                <w:sz w:val="11"/>
                <w:szCs w:val="11"/>
                <w:color w:val="auto"/>
              </w:rPr>
            </w:pPr>
          </w:p>
        </w:tc>
        <w:tc>
          <w:tcPr>
            <w:tcW w:w="780" w:type="dxa"/>
            <w:vAlign w:val="bottom"/>
            <w:gridSpan w:val="2"/>
          </w:tcPr>
          <w:p>
            <w:pPr>
              <w:jc w:val="right"/>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820" w:type="dxa"/>
            <w:vAlign w:val="bottom"/>
            <w:gridSpan w:val="2"/>
          </w:tcPr>
          <w:p>
            <w:pPr>
              <w:jc w:val="right"/>
              <w:ind w:right="22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98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 Income</w:t>
            </w:r>
          </w:p>
        </w:tc>
        <w:tc>
          <w:tcPr>
            <w:tcW w:w="1000" w:type="dxa"/>
            <w:vAlign w:val="bottom"/>
          </w:tcPr>
          <w:p>
            <w:pPr>
              <w:jc w:val="right"/>
              <w:ind w:right="309"/>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1"/>
                <w:szCs w:val="11"/>
                <w:color w:val="auto"/>
              </w:rPr>
            </w:pPr>
          </w:p>
        </w:tc>
        <w:tc>
          <w:tcPr>
            <w:tcW w:w="6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00" w:type="dxa"/>
            <w:vAlign w:val="bottom"/>
          </w:tcPr>
          <w:p>
            <w:pPr>
              <w:spacing w:after="0"/>
              <w:rPr>
                <w:sz w:val="11"/>
                <w:szCs w:val="11"/>
                <w:color w:val="auto"/>
              </w:rPr>
            </w:pPr>
          </w:p>
        </w:tc>
        <w:tc>
          <w:tcPr>
            <w:tcW w:w="66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2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2021</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24,777,295</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260,327</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351,421</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343</w:t>
            </w: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612,093</w:t>
            </w: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612,107</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 income</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(4,188)</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(4,188)</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7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(4,185)</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loss on investments</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9"/>
        </w:trPr>
        <w:tc>
          <w:tcPr>
            <w:tcW w:w="2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(6,814)</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(6,814)</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(6,814)</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114,362</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2,776</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104,402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(32,120)</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Business acquisition</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(12,652)</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(1,245)</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(1,245)</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(1,245)</w:t>
            </w: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to net share settlement of equity</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awards</w:t>
            </w:r>
          </w:p>
        </w:tc>
        <w:tc>
          <w:tcPr>
            <w:tcW w:w="8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5,390</w:t>
            </w:r>
          </w:p>
        </w:tc>
        <w:tc>
          <w:tcPr>
            <w:tcW w:w="14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5,390</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2022</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24,951,287</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267,248</w:t>
            </w: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347,233</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(6,514)</w:t>
            </w: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607,969</w:t>
            </w: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241</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608,210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 income</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(176,212)</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(176,212)</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2"/>
                <w:szCs w:val="12"/>
                <w:color w:val="auto"/>
              </w:rPr>
            </w:pPr>
          </w:p>
        </w:tc>
        <w:tc>
          <w:tcPr>
            <w:tcW w:w="7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(176,167)</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gain on investments</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2,278</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80,168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(11,476)</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38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to net share settlement of equity</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(12,812)</w:t>
            </w:r>
          </w:p>
        </w:tc>
        <w:tc>
          <w:tcPr>
            <w:tcW w:w="220" w:type="dxa"/>
            <w:vAlign w:val="bottom"/>
          </w:tcPr>
          <w:p>
            <w:pPr>
              <w:spacing w:after="0"/>
              <w:rPr>
                <w:sz w:val="12"/>
                <w:szCs w:val="12"/>
                <w:color w:val="auto"/>
              </w:rPr>
            </w:pPr>
          </w:p>
        </w:tc>
        <w:tc>
          <w:tcPr>
            <w:tcW w:w="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(1,065)</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80" w:type="dxa"/>
            <w:vAlign w:val="bottom"/>
          </w:tcPr>
          <w:p>
            <w:pPr>
              <w:spacing w:after="0"/>
              <w:rPr>
                <w:sz w:val="12"/>
                <w:szCs w:val="12"/>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(1,065)</w:t>
            </w:r>
          </w:p>
        </w:tc>
        <w:tc>
          <w:tcPr>
            <w:tcW w:w="0" w:type="dxa"/>
            <w:vAlign w:val="bottom"/>
          </w:tcPr>
          <w:p>
            <w:pPr>
              <w:spacing w:after="0"/>
              <w:rPr>
                <w:sz w:val="1"/>
                <w:szCs w:val="1"/>
                <w:color w:val="auto"/>
              </w:rPr>
            </w:pPr>
          </w:p>
        </w:tc>
      </w:tr>
      <w:tr>
        <w:trPr>
          <w:trHeight w:val="171"/>
        </w:trPr>
        <w:tc>
          <w:tcPr>
            <w:tcW w:w="2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awards</w:t>
            </w: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Shares issued, net of issuance</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1,109,730</w:t>
            </w: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105,171</w:t>
            </w: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105,173</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105,173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costs</w:t>
            </w: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Deconsolidation of previously</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(286)</w:t>
            </w:r>
          </w:p>
        </w:tc>
        <w:tc>
          <w:tcPr>
            <w:tcW w:w="7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71"/>
        </w:trPr>
        <w:tc>
          <w:tcPr>
            <w:tcW w:w="2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controlled subsidiary</w:t>
            </w:r>
          </w:p>
        </w:tc>
        <w:tc>
          <w:tcPr>
            <w:tcW w:w="8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10,765</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10,765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10,765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2023</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26,216,897</w:t>
            </w: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384,397</w:t>
            </w: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171,021</w:t>
            </w: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(4,452)</w:t>
            </w:r>
          </w:p>
        </w:tc>
        <w:tc>
          <w:tcPr>
            <w:tcW w:w="120" w:type="dxa"/>
            <w:vAlign w:val="bottom"/>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550,970</w:t>
            </w: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550,970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59,666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59,666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59,666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(1,140)</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(1,140)</w:t>
            </w: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151,113</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(11,470)</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to net share settlement of equity</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(15,471)</w:t>
            </w:r>
          </w:p>
        </w:tc>
        <w:tc>
          <w:tcPr>
            <w:tcW w:w="22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(1,596)</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(1,596)</w:t>
            </w: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awards</w:t>
            </w:r>
          </w:p>
        </w:tc>
        <w:tc>
          <w:tcPr>
            <w:tcW w:w="88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Shares issued, net of issuance</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807,370</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87,956</w:t>
            </w:r>
          </w:p>
        </w:tc>
        <w:tc>
          <w:tcPr>
            <w:tcW w:w="14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87,956</w:t>
            </w:r>
          </w:p>
        </w:tc>
        <w:tc>
          <w:tcPr>
            <w:tcW w:w="80" w:type="dxa"/>
            <w:vAlign w:val="bottom"/>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87,956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costs</w:t>
            </w: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985,999</w:t>
            </w: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109,820</w:t>
            </w:r>
          </w:p>
        </w:tc>
        <w:tc>
          <w:tcPr>
            <w:tcW w:w="14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109,820</w:t>
            </w: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109,820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business acquisition</w:t>
            </w: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17,069</w:t>
            </w:r>
          </w:p>
        </w:tc>
        <w:tc>
          <w:tcPr>
            <w:tcW w:w="14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17,069</w:t>
            </w:r>
          </w:p>
        </w:tc>
        <w:tc>
          <w:tcPr>
            <w:tcW w:w="8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17,069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2024</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28,134,438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$ 597,646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230,687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(5,592)$</w:t>
            </w: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822,745</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822,745</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AEROVIRONMENT,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40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59,666</w:t>
            </w:r>
          </w:p>
        </w:tc>
        <w:tc>
          <w:tcPr>
            <w:tcW w:w="5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(176,167)</w:t>
            </w:r>
          </w:p>
        </w:tc>
        <w:tc>
          <w:tcPr>
            <w:tcW w:w="180" w:type="dxa"/>
            <w:vAlign w:val="bottom"/>
          </w:tcPr>
          <w:p>
            <w:pPr>
              <w:spacing w:after="0"/>
              <w:rPr>
                <w:sz w:val="12"/>
                <w:szCs w:val="12"/>
                <w:color w:val="auto"/>
              </w:rPr>
            </w:pPr>
          </w:p>
        </w:tc>
        <w:tc>
          <w:tcPr>
            <w:tcW w:w="34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(4,185)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cash provided by (used in) operating activities: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35,749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99,999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60,825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156,017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(gain) from equity method investments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1,674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2,453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(5,889)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on deconsolidation of previously controlled subsidiary</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1,009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Provision for doubtful accounts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Reserve for inventory excess and obsolescence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13,937</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8,136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non-cash expense, net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1,316</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10,400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8,048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on foreign currency transactions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Unrealized loss on available-for-sale equity securities, net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3,945</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(23,290)</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(18,661)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(7,282)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17,069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10,765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621</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8,277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debt securities discount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19,208</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(27,423)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3,084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Unbilled receivables and retentions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(92,850)</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(31,883)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(23,045)</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(61,846)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(29,431)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Income taxes receivable</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(20,279)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12,968</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12,538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(7,044)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Borders>
              <w:bottom w:val="single" w:sz="8" w:color="CCEEFF"/>
            </w:tcBorders>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(2,832)</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(2,635)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(7,496)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15,292</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(9,618)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property and equipment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(22,983)</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(14,868)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(22,289)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method investments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(5,778)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(6,884)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Equity security investments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Business acquisitions, net of cash acquired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(24,157)</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(46,150)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intangibles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ownership in equity method investment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6,497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loan repayment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4,345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deconsolidation of previously controlled subsidiary, net of cash deconsolidated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Redemptions of available-for-sale investments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26,059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35,851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available-for-sale investments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(23,882)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(51,714)</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(7,003)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(52,288)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term loan</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(107,000)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(55,000)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Holdback and retention payments for business acquisition</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(7,814)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contingent consideration</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(2,132)</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shares issued, net of issuance costs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88,437</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104,649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debt issuance costs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Tax withholding payment related to net settlement of equity awards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(1,596)</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(22,852)</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50,834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(16,607)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Effects of currency translation on cash and cash equivalents</w:t>
            </w: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2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(59,558)</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55,628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(79,832)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132,859</w:t>
            </w:r>
          </w:p>
        </w:tc>
        <w:tc>
          <w:tcPr>
            <w:tcW w:w="2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77,231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157,063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160" w:type="dxa"/>
            <w:vAlign w:val="bottom"/>
          </w:tcPr>
          <w:p>
            <w:pPr>
              <w:spacing w:after="0"/>
              <w:rPr>
                <w:sz w:val="15"/>
                <w:szCs w:val="15"/>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73,301</w:t>
            </w:r>
          </w:p>
        </w:tc>
        <w:tc>
          <w:tcPr>
            <w:tcW w:w="28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132,859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77,231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net during the period for: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400" w:type="dxa"/>
            <w:vAlign w:val="bottom"/>
            <w:gridSpan w:val="2"/>
            <w:shd w:val="clear" w:color="auto" w:fill="CCEEFF"/>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20,438</w:t>
            </w:r>
          </w:p>
        </w:tc>
        <w:tc>
          <w:tcPr>
            <w:tcW w:w="5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2,911</w:t>
            </w: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1,879</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40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6,823</w:t>
            </w:r>
          </w:p>
        </w:tc>
        <w:tc>
          <w:tcPr>
            <w:tcW w:w="5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10,229</w:t>
            </w:r>
          </w:p>
        </w:tc>
        <w:tc>
          <w:tcPr>
            <w:tcW w:w="180" w:type="dxa"/>
            <w:vAlign w:val="bottom"/>
          </w:tcPr>
          <w:p>
            <w:pPr>
              <w:spacing w:after="0"/>
              <w:rPr>
                <w:sz w:val="12"/>
                <w:szCs w:val="12"/>
                <w:color w:val="auto"/>
              </w:rPr>
            </w:pPr>
          </w:p>
        </w:tc>
        <w:tc>
          <w:tcPr>
            <w:tcW w:w="34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5,025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activities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business acquisition</w:t>
            </w:r>
          </w:p>
        </w:tc>
        <w:tc>
          <w:tcPr>
            <w:tcW w:w="40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109,820</w:t>
            </w:r>
          </w:p>
        </w:tc>
        <w:tc>
          <w:tcPr>
            <w:tcW w:w="5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gain (loss) on available-for-sale investments, net of deferred tax expense of $0, $0 and $8</w:t>
            </w:r>
          </w:p>
        </w:tc>
        <w:tc>
          <w:tcPr>
            <w:tcW w:w="400" w:type="dxa"/>
            <w:vAlign w:val="bottom"/>
            <w:gridSpan w:val="2"/>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8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 the fiscal years ended April 30, 2024, 2023 and 2022, respectively</w:t>
            </w:r>
          </w:p>
        </w:tc>
        <w:tc>
          <w:tcPr>
            <w:tcW w:w="400" w:type="dxa"/>
            <w:vAlign w:val="bottom"/>
            <w:gridSpan w:val="2"/>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foreign currency translation adjustments</w:t>
            </w:r>
          </w:p>
        </w:tc>
        <w:tc>
          <w:tcPr>
            <w:tcW w:w="400" w:type="dxa"/>
            <w:vAlign w:val="bottom"/>
            <w:gridSpan w:val="2"/>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w:t>
            </w:r>
          </w:p>
        </w:tc>
        <w:tc>
          <w:tcPr>
            <w:tcW w:w="5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2,009</w:t>
            </w:r>
          </w:p>
        </w:tc>
        <w:tc>
          <w:tcPr>
            <w:tcW w:w="180" w:type="dxa"/>
            <w:vAlign w:val="bottom"/>
          </w:tcPr>
          <w:p>
            <w:pPr>
              <w:spacing w:after="0"/>
              <w:rPr>
                <w:sz w:val="12"/>
                <w:szCs w:val="12"/>
                <w:color w:val="auto"/>
              </w:rPr>
            </w:pPr>
          </w:p>
        </w:tc>
        <w:tc>
          <w:tcPr>
            <w:tcW w:w="34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Issuances of inventory to property and equipment, ISR in-service assets</w:t>
            </w:r>
          </w:p>
        </w:tc>
        <w:tc>
          <w:tcPr>
            <w:tcW w:w="400" w:type="dxa"/>
            <w:vAlign w:val="bottom"/>
            <w:gridSpan w:val="2"/>
            <w:shd w:val="clear" w:color="auto" w:fill="CCEEFF"/>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6,306</w:t>
            </w: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17,481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Acquisitions of property and equipment included in accounts payable</w:t>
            </w:r>
          </w:p>
        </w:tc>
        <w:tc>
          <w:tcPr>
            <w:tcW w:w="400" w:type="dxa"/>
            <w:vAlign w:val="bottom"/>
            <w:gridSpan w:val="2"/>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986</w:t>
            </w:r>
          </w:p>
        </w:tc>
        <w:tc>
          <w:tcPr>
            <w:tcW w:w="5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80" w:type="dxa"/>
            <w:vAlign w:val="bottom"/>
          </w:tcPr>
          <w:p>
            <w:pPr>
              <w:spacing w:after="0"/>
              <w:rPr>
                <w:sz w:val="16"/>
                <w:szCs w:val="16"/>
                <w:color w:val="auto"/>
              </w:rPr>
            </w:pPr>
          </w:p>
        </w:tc>
        <w:tc>
          <w:tcPr>
            <w:tcW w:w="34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513" w:right="839" w:bottom="1440" w:gutter="0" w:footer="0" w:header="0"/>
        </w:sectPr>
      </w:pPr>
    </w:p>
    <w:bookmarkStart w:id="88" w:name="page89"/>
    <w:bookmarkEnd w:id="8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ind w:left="40" w:right="4559" w:firstLine="4"/>
        <w:spacing w:after="0" w:line="487" w:lineRule="auto"/>
        <w:tabs>
          <w:tab w:leader="none" w:pos="67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Significant Accounting Policies Organization</w:t>
      </w:r>
    </w:p>
    <w:p>
      <w:pPr>
        <w:spacing w:after="0" w:line="1" w:lineRule="exact"/>
        <w:rPr>
          <w:sz w:val="20"/>
          <w:szCs w:val="20"/>
          <w:color w:val="auto"/>
        </w:rPr>
      </w:pPr>
    </w:p>
    <w:p>
      <w:pPr>
        <w:ind w:left="40" w:right="219" w:firstLine="648"/>
        <w:spacing w:after="0" w:line="258" w:lineRule="auto"/>
        <w:rPr>
          <w:sz w:val="20"/>
          <w:szCs w:val="20"/>
          <w:color w:val="auto"/>
        </w:rPr>
      </w:pPr>
      <w:r>
        <w:rPr>
          <w:rFonts w:ascii="Times New Roman" w:cs="Times New Roman" w:eastAsia="Times New Roman" w:hAnsi="Times New Roman"/>
          <w:sz w:val="18"/>
          <w:szCs w:val="18"/>
          <w:color w:val="auto"/>
        </w:rPr>
        <w:t>AeroVironment, Inc., a Delaware corporation, is engaged in the design, development, production, delivery and support of a technologically advanced portfolio of intelligent, multi-domain robotic systems and related services for government agencies and businesses. AeroVironment, Inc. supplies uncrewed aircraft and ground robot systems, loitering munitions systems and related services primarily to organizations within or supplying the U.S. Department of Defense (“DoD”), other federal agencies and to international allied governments.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16"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AeroVironment, Inc. and its wholly-owned subsidiaries Arcturus UAV, Inc. (“Arcturus”), Telerob Gesellschaft für Fernhantierungstechnik mbH (“Telerob”) and Tomahawk Robotics, Inc. (“Tomahawk”) (collectively referred to herein as the “Company”).</w:t>
      </w:r>
    </w:p>
    <w:p>
      <w:pPr>
        <w:spacing w:after="0" w:line="176" w:lineRule="exact"/>
        <w:rPr>
          <w:sz w:val="20"/>
          <w:szCs w:val="20"/>
          <w:color w:val="auto"/>
        </w:rPr>
      </w:pPr>
    </w:p>
    <w:p>
      <w:pPr>
        <w:ind w:left="40" w:right="159" w:firstLine="648"/>
        <w:spacing w:after="0" w:line="255" w:lineRule="auto"/>
        <w:rPr>
          <w:sz w:val="20"/>
          <w:szCs w:val="20"/>
          <w:color w:val="auto"/>
        </w:rPr>
      </w:pPr>
      <w:r>
        <w:rPr>
          <w:rFonts w:ascii="Times New Roman" w:cs="Times New Roman" w:eastAsia="Times New Roman" w:hAnsi="Times New Roman"/>
          <w:sz w:val="18"/>
          <w:szCs w:val="18"/>
          <w:color w:val="auto"/>
        </w:rPr>
        <w:t>On May 3, 2021, the Company closed its acquisition of Telerob pursuant to the Share Purchase Agreement (the “Telerob Purchase Agreement”) with Unmanned Systems Investments GmbH, a German limited liability company incorporated under the laws of Germany (the “Telerob Seller”), and each of the unit holders of the Seller (collectively, the “Telerob Shareholders”), to purchase 100% of the issued and outstanding shares of Telerob Seller’s wholly-owned subsidiary Telerob GmbH (the “Telerob Acquisition”). Telerob has been incorporated into the Uncrewed Systems (“UxS”) segment. The assets, liabilities and operating results of Telerob GmbH have been included in the Company’s consolidated financial statements. Refer to Note 21—Business Acquisitions for further details.</w:t>
      </w:r>
    </w:p>
    <w:p>
      <w:pPr>
        <w:spacing w:after="0" w:line="189"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On August 17, 2022, the Company purchased certain assets of, and assumed certain liabilities of Planck Aerosystems, Inc. (“Planck”) pursuant to the purchase agreement, and post-acquisition, Planck has been incorporated into the UxS segment. The assets, liabilities and operating results of Planck have been included in the Company’s consolidated financial statements. Refer to Note 21—Business Acquisitions for further details.</w:t>
      </w:r>
    </w:p>
    <w:p>
      <w:pPr>
        <w:spacing w:after="0" w:line="180" w:lineRule="exact"/>
        <w:rPr>
          <w:sz w:val="20"/>
          <w:szCs w:val="20"/>
          <w:color w:val="auto"/>
        </w:rPr>
      </w:pPr>
    </w:p>
    <w:p>
      <w:pPr>
        <w:ind w:left="40" w:right="299" w:firstLine="648"/>
        <w:spacing w:after="0" w:line="261" w:lineRule="auto"/>
        <w:rPr>
          <w:sz w:val="20"/>
          <w:szCs w:val="20"/>
          <w:color w:val="auto"/>
        </w:rPr>
      </w:pPr>
      <w:r>
        <w:rPr>
          <w:rFonts w:ascii="Times New Roman" w:cs="Times New Roman" w:eastAsia="Times New Roman" w:hAnsi="Times New Roman"/>
          <w:sz w:val="18"/>
          <w:szCs w:val="18"/>
          <w:color w:val="auto"/>
        </w:rPr>
        <w:t>On September 15, 2023, the Company closed its acquisition of Tomahawk pursuant to a merger agreement, and post-acquisition, Tomahawk has been incorporated into the UxS segment. The assets, liabilities and operating results of Tomahawk have been included in the Company’s consolidated financial statements. Refer to Note 21—Business Acquisitions for further details.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Investments in Companies Accounted for Using the Equity or Cost Method</w:t>
      </w:r>
    </w:p>
    <w:p>
      <w:pPr>
        <w:spacing w:after="0" w:line="229"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Investments in other non-consolidated entities are accounted for using the equity method or cost basis depending upon the level of ownership and/or the Company’s ability to exercise significant influence over the operating and financial policies of the investee. When the equity method is used, investments are recorded at original cost and adjusted periodically to recognize the Company’s proportionate share of the investees’ net income or losses after the date of investment. When net losses from an investment accounted for under the equity method exceed its carrying amount, the investment balance is reduced to zero and additional losses are not provided for as the Company is not obligated to provide additional capital. The Company resumes accounting for the investment under the equity method if the entity subsequently reports net income and the Company’s share of that net income exceeds the share of net losses not recognized during the period the equity method was suspended.</w:t>
      </w:r>
    </w:p>
    <w:p>
      <w:pPr>
        <w:spacing w:after="0" w:line="188"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When an investment accounted for using the equity method issues its own shares, the subsequent reduction in the Company’s proportionate interest in the investee is reflected in equity as an adjustment to paid-in-capital.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282" w:lineRule="auto"/>
        <w:rPr>
          <w:sz w:val="20"/>
          <w:szCs w:val="20"/>
          <w:color w:val="auto"/>
        </w:rPr>
      </w:pPr>
      <w:r>
        <w:rPr>
          <w:rFonts w:ascii="Times New Roman" w:cs="Times New Roman" w:eastAsia="Times New Roman" w:hAnsi="Times New Roman"/>
          <w:sz w:val="18"/>
          <w:szCs w:val="18"/>
          <w:color w:val="auto"/>
        </w:rPr>
        <w:t>Company evaluates its investments in companies accounted for by the equity or cost method for impairment when there is evidence or indicators that a decrease in value may be other than temporary.</w:t>
      </w:r>
    </w:p>
    <w:p>
      <w:pPr>
        <w:spacing w:after="0" w:line="162" w:lineRule="exact"/>
        <w:rPr>
          <w:sz w:val="20"/>
          <w:szCs w:val="20"/>
          <w:color w:val="auto"/>
        </w:rPr>
      </w:pPr>
    </w:p>
    <w:p>
      <w:pPr>
        <w:ind w:left="40" w:right="259" w:firstLine="648"/>
        <w:spacing w:after="0" w:line="254" w:lineRule="auto"/>
        <w:rPr>
          <w:sz w:val="20"/>
          <w:szCs w:val="20"/>
          <w:color w:val="auto"/>
        </w:rPr>
      </w:pPr>
      <w:r>
        <w:rPr>
          <w:rFonts w:ascii="Times New Roman" w:cs="Times New Roman" w:eastAsia="Times New Roman" w:hAnsi="Times New Roman"/>
          <w:sz w:val="18"/>
          <w:szCs w:val="18"/>
          <w:color w:val="auto"/>
        </w:rPr>
        <w:t>In December 2017, the Company and SoftBank Corp. (“SoftBank”) formed a joint venture, HAPSMobile Inc. (“HAPSMobile”). In March 2022, the Company sold its 7% share of HAPSMobile to SoftBank. Following the sale, SoftBank owns 100% of HAPSMobile. Prior to the sale, as the Company had the ability to exercise significant influence over the operating and financial policies of HAPSMobile, the Company’s investment was accounted as an equity method investment. The Company had presented its proportion of HAPSMobile’s net loss in equity method investment (loss) income, net of tax in the consolidated statements of income (loss). The carrying value of the investment in HAPSMobile was recorded in other assets. Refer to Note 8—Investments in Companies Accounted for Using the Equity Method for further details.</w:t>
      </w:r>
    </w:p>
    <w:p>
      <w:pPr>
        <w:spacing w:after="0" w:line="192"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In July 2019, the Company made its initial capital contribution to a limited partnership fund focusing on highly relevant technologies and start-up companies serving defense and industrial markets. In March 2022, the Company entered into a second related limited partnership fund also focusing on highly relevant technologies and start-up companies serving defense and industrial markets. The Company accounts for investments in limited partnerships as equity method investments as the Company is deemed to have influence when it holds more than a minor interest. Refer to Note 8— Investments in Companies Accounted for Using the Equity Method for further details.</w:t>
      </w:r>
    </w:p>
    <w:p>
      <w:pPr>
        <w:spacing w:after="0" w:line="187"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On September 15, 2021, the Company entered into a Share Sale and Purchase Agreement with Toygun Savunma Sanayi ve Havacilik Anonim Sirketi (“Toygun”) whereby the Company sold 35% of the common shares of the Company’s Turkish joint venture, Altoy Savunma Sanayi ve Havacilik Anonim Sirketi (“Altoy”), to Toygun. On October 14, 2022, the Company sold an additional 35% of the common shares of Altoy to Toygun. As a result of the share sales, the Company decreased its interest in Altoy from 85% to 15% and has determined that it no longer controls Altoy. Therefore, the Company no longer consolidates Altoy in the Company’s consolidated financial statements. As the Company has the ability to exercise significant influence over the operating and financial policies of Altoy, the Company accounts for the investment as an equity method investment and records its proportion of any gains or losses of Altoy in equity method investments (loss) income, net of tax. Refer to Note 8— Investments in Companies Accounted for Using the Equity Method for further details.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left="40" w:right="159" w:firstLine="648"/>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research and development (“R&amp;D”). Accordingly, the Company identifies three reportable segments.</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generally accepted accounting principles in the United States requires management to make estimates and assumptions. These estimates and assumptions affect the reported amounts of assets and liabilities and disclosure of contingent assets and liabilities at the date of the financial statements and the reported amounts of revenue and expenses during the reporting period. Significant estimates made by management include, but are not limited to, valuation of: inventory, acquired intangibles, goodwill, deferred tax assets and liabilities, useful lives of property, plant and equipment, medical and dental liabilities, warranty liabilities, long-term incentive plan liabilities and estimates of anticipated contract costs and transaction price utilized in the revenue recognition process.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Specifically, the Company’s limit on executive compensation has been reclassified out of changes permanent items in the reconciliation of income tax expense (benefit) for all periods presented. Also, the Company’s inventory reserve has been reclassified out of allowances, reserves and other in the significant components of the Company’s deferred income tax assets and liabilities for all periods presented.</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229" w:lineRule="exact"/>
        <w:rPr>
          <w:sz w:val="20"/>
          <w:szCs w:val="20"/>
          <w:color w:val="auto"/>
        </w:rPr>
      </w:pPr>
    </w:p>
    <w:p>
      <w:pPr>
        <w:jc w:val="both"/>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time of purchase to be cash equivalents. The Company’s cash equivalents are comprised of money market funds, certificates of deposit of major financial institutions and U.S. Treasury bills.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ind w:left="40" w:right="339" w:firstLine="648"/>
        <w:spacing w:after="0" w:line="282" w:lineRule="auto"/>
        <w:rPr>
          <w:sz w:val="20"/>
          <w:szCs w:val="20"/>
          <w:color w:val="auto"/>
        </w:rPr>
      </w:pPr>
      <w:r>
        <w:rPr>
          <w:rFonts w:ascii="Times New Roman" w:cs="Times New Roman" w:eastAsia="Times New Roman" w:hAnsi="Times New Roman"/>
          <w:sz w:val="18"/>
          <w:szCs w:val="18"/>
          <w:color w:val="auto"/>
        </w:rPr>
        <w:t>The Company classifies cash accounts which are not available for general use as restricted cash. The Company had no restricted cash as of April 30, 2024 or 2023, respectively.</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Company’s investments are accounted for as available-for-sale and are reported at fair value. Unrealized gains and losses for debt securities are excluded from earnings and reported as a separate component of stockholders’ equity, net of deferred income taxes for available-for-sale investments. Investments in equity securities and warrants are measured at fair value with net unrealized gains and losses from changes in the fair value recognized in other (expense) income, net. Gains and losses realized on the disposition of investment securities are determined on the specific identification basis and credited or charged to income. Management determines the appropriate classification of securities at the time of purchase and reevaluates such designation as of each balance sheet date.</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Fair Values of Financial Instruments</w:t>
      </w:r>
    </w:p>
    <w:p>
      <w:pPr>
        <w:spacing w:after="0" w:line="229" w:lineRule="exact"/>
        <w:rPr>
          <w:sz w:val="20"/>
          <w:szCs w:val="20"/>
          <w:color w:val="auto"/>
        </w:rPr>
      </w:pPr>
    </w:p>
    <w:p>
      <w:pPr>
        <w:ind w:left="40" w:right="619" w:firstLine="648"/>
        <w:spacing w:after="0" w:line="282" w:lineRule="auto"/>
        <w:rPr>
          <w:sz w:val="20"/>
          <w:szCs w:val="20"/>
          <w:color w:val="auto"/>
        </w:rPr>
      </w:pPr>
      <w:r>
        <w:rPr>
          <w:rFonts w:ascii="Times New Roman" w:cs="Times New Roman" w:eastAsia="Times New Roman" w:hAnsi="Times New Roman"/>
          <w:sz w:val="18"/>
          <w:szCs w:val="18"/>
          <w:color w:val="auto"/>
        </w:rPr>
        <w:t>Fair values of cash and cash equivalents, accounts receivable, unbilled receivables, retentions and accounts payable approximate cost due to the short period of time to maturity.</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left="40" w:right="199" w:firstLine="648"/>
        <w:spacing w:after="0" w:line="253"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cash, cash equivalents, municipal bonds, U.S. government securities, U.S. government-guaranteed agency securities, U.S. government sponsored agency debt securities, highly rated corporate bonds, and accounts receivable. The Company currently invests in equity securities and limited partnership funds. The Company’s revenue and accounts receivable are with a limited number of corporations and governmental entities. In the aggregate, 76%, 68% and 66% of the Company’s revenue came from agencies of the U.S. government for the years ended April 30, 2024, 2023 and 2022, respectively. These agencies accounted for 41% and 42% of the accounts receivable balances at April 30, 2024 and 2023, respectively. One such agency, the U.S. Army, accounted for 11%, 6% and 21% of the Company’s consolidated revenue for the years ended April 30, 2024, 2023 and 2022, respectively. The Company performs ongoing credit evaluations of its commercial customers and maintains an allowance for potential losses.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Accounts Receivable, Unbilled Receivables and Retentions</w:t>
      </w:r>
    </w:p>
    <w:p>
      <w:pPr>
        <w:spacing w:after="0" w:line="229" w:lineRule="exact"/>
        <w:rPr>
          <w:sz w:val="20"/>
          <w:szCs w:val="20"/>
          <w:color w:val="auto"/>
        </w:rPr>
      </w:pPr>
    </w:p>
    <w:p>
      <w:pPr>
        <w:ind w:left="40" w:right="139" w:firstLine="648"/>
        <w:spacing w:after="0" w:line="258" w:lineRule="auto"/>
        <w:rPr>
          <w:sz w:val="20"/>
          <w:szCs w:val="20"/>
          <w:color w:val="auto"/>
        </w:rPr>
      </w:pPr>
      <w:r>
        <w:rPr>
          <w:rFonts w:ascii="Times New Roman" w:cs="Times New Roman" w:eastAsia="Times New Roman" w:hAnsi="Times New Roman"/>
          <w:sz w:val="18"/>
          <w:szCs w:val="18"/>
          <w:color w:val="auto"/>
        </w:rPr>
        <w:t>Accounts receivable represents primarily U.S. government and allied foreign governments, and to a lesser extent commercial receivables, net of allowances for doubtful accounts. Unbilled receivables represent costs in excess of billings on incomplete contracts and, where applicable, accrued profit related to government long-term contracts on which revenue has been recognized, but for which the customer has not yet been billed. Unbilled receivables are considered contract assets.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Retentions represent amounts withheld by customers until contract completion. At April 30, 2024 and 2023, the retention balances were $744,000 and $615,000, respectively. The Company determines the allowance for doubtful accounts based on historical customer experience, age of receivable and other currently available evidence. When a specific account is deemed uncollectible, the account is written off against the allowance. The allowance for doubtful accounts reflects the Company’s best estimate of expected credit losses over the life of the receivable; such losses have historically been within management’s expectations. An account is deemed past due based on contractual terms rather than on how recently payments have been received.</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left="40" w:right="319" w:firstLine="648"/>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(using the weighted average costing method) or net realizable value. Inventory write-offs and write-down provisions are provided to cover risks arising from slow-moving items or technological obsolescence and for market prices lower than cost. The Company periodically evaluates the quantities on hand relative to current and historical selling prices and historical and projected sales volume. Based on this evaluation, provisions are made to write inventory down to its net realizable value.</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9" w:lineRule="exact"/>
        <w:rPr>
          <w:sz w:val="20"/>
          <w:szCs w:val="20"/>
          <w:color w:val="auto"/>
        </w:rPr>
      </w:pPr>
    </w:p>
    <w:p>
      <w:pPr>
        <w:ind w:left="40" w:right="379" w:firstLine="648"/>
        <w:spacing w:after="0" w:line="282" w:lineRule="auto"/>
        <w:rPr>
          <w:sz w:val="20"/>
          <w:szCs w:val="20"/>
          <w:color w:val="auto"/>
        </w:rPr>
      </w:pPr>
      <w:r>
        <w:rPr>
          <w:rFonts w:ascii="Times New Roman" w:cs="Times New Roman" w:eastAsia="Times New Roman" w:hAnsi="Times New Roman"/>
          <w:sz w:val="18"/>
          <w:szCs w:val="18"/>
          <w:color w:val="auto"/>
        </w:rPr>
        <w:t>Property and equipment are carried at cost. Depreciation of property and equipment, including amortization of leasehold improvements, are provided using the straight-line method over the following estimated useful lives:</w:t>
      </w:r>
    </w:p>
    <w:p>
      <w:pPr>
        <w:spacing w:after="0" w:line="193" w:lineRule="exact"/>
        <w:rPr>
          <w:sz w:val="20"/>
          <w:szCs w:val="20"/>
          <w:color w:val="auto"/>
        </w:rPr>
      </w:pPr>
    </w:p>
    <w:tbl>
      <w:tblPr>
        <w:tblLayout w:type="fixed"/>
        <w:tblInd w:w="1740" w:type="dxa"/>
        <w:tblCellMar>
          <w:top w:w="0" w:type="dxa"/>
          <w:left w:w="0" w:type="dxa"/>
          <w:bottom w:w="0" w:type="dxa"/>
          <w:right w:w="0" w:type="dxa"/>
        </w:tblCellMar>
      </w:tblP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In-service ISR assets</w:t>
            </w:r>
          </w:p>
        </w:tc>
        <w:tc>
          <w:tcPr>
            <w:tcW w:w="1180" w:type="dxa"/>
            <w:vAlign w:val="bottom"/>
            <w:shd w:val="clear" w:color="auto" w:fill="CCEEFF"/>
          </w:tcPr>
          <w:p>
            <w:pPr>
              <w:spacing w:after="0"/>
              <w:rPr>
                <w:sz w:val="18"/>
                <w:szCs w:val="18"/>
                <w:color w:val="auto"/>
              </w:rPr>
            </w:pP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 years</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Lesser of useful life or term of lease</w:t>
            </w:r>
          </w:p>
        </w:tc>
      </w:tr>
    </w:tbl>
    <w:p>
      <w:pPr>
        <w:spacing w:after="0" w:line="198" w:lineRule="exact"/>
        <w:rPr>
          <w:sz w:val="20"/>
          <w:szCs w:val="20"/>
          <w:color w:val="auto"/>
        </w:rPr>
      </w:pPr>
    </w:p>
    <w:p>
      <w:pPr>
        <w:ind w:left="40" w:right="59" w:firstLine="648"/>
        <w:spacing w:after="0" w:line="255" w:lineRule="auto"/>
        <w:rPr>
          <w:sz w:val="20"/>
          <w:szCs w:val="20"/>
          <w:color w:val="auto"/>
        </w:rPr>
      </w:pPr>
      <w:r>
        <w:rPr>
          <w:rFonts w:ascii="Times New Roman" w:cs="Times New Roman" w:eastAsia="Times New Roman" w:hAnsi="Times New Roman"/>
          <w:sz w:val="18"/>
          <w:szCs w:val="18"/>
          <w:color w:val="auto"/>
        </w:rPr>
        <w:t>Maintenance, repairs and minor renewals are charged directly to expense as incurred. Additions and betterments to property and equipment are capitalized at cost. When the Company disposes of assets, the applicable costs and accumulated depreciation and amortization thereon are removed from the accounts and any resulting gain or loss is included in selling, general and administrative (“SG&amp;A”) in the period incurred with the exception of in-service intelligence, surveillance and reconnaissance (“ISR”) assets which is included in cost of sales in the period incurred. Following the closure of all of the Company’s contractor-owned, contractor-operated (“COCO”) site locations, in-service ISR assets determined to have an alternate business use were reclassified to machinery and equipment as of April 30, 2023.</w:t>
      </w:r>
    </w:p>
    <w:p>
      <w:pPr>
        <w:spacing w:after="0" w:line="18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 reviews the recoverability of its long-lived assets whenever events or changes in circumstances indicate that the carrying amount of such assets may not be recoverable. The estimated future cash flows are based upon, among other things, assumptions about expected future operating performance, and may differ from actual cash flows. If the sum of the projected undiscounted cash flows (excluding interest) is less than the carrying value of the assets, the assets will be written down to the estimated fair value in the period in which the determination is made.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Cloud Computing Arrangements</w:t>
      </w:r>
    </w:p>
    <w:p>
      <w:pPr>
        <w:spacing w:after="0" w:line="229" w:lineRule="exact"/>
        <w:rPr>
          <w:sz w:val="20"/>
          <w:szCs w:val="20"/>
          <w:color w:val="auto"/>
        </w:rPr>
      </w:pPr>
    </w:p>
    <w:p>
      <w:pPr>
        <w:ind w:left="40" w:right="159" w:firstLine="648"/>
        <w:spacing w:after="0" w:line="255" w:lineRule="auto"/>
        <w:rPr>
          <w:sz w:val="20"/>
          <w:szCs w:val="20"/>
          <w:color w:val="auto"/>
        </w:rPr>
      </w:pPr>
      <w:r>
        <w:rPr>
          <w:rFonts w:ascii="Times New Roman" w:cs="Times New Roman" w:eastAsia="Times New Roman" w:hAnsi="Times New Roman"/>
          <w:sz w:val="18"/>
          <w:szCs w:val="18"/>
          <w:color w:val="auto"/>
        </w:rPr>
        <w:t>Implementation costs incurred in a cloud computing arrangement that is a service contract are capitalized and recorded on the consolidated balance sheets in prepaid expenses and other current assets and other assets. The amounts capitalized are amortized on a straight-line basis over the estimated useful life of the service arrangement, which generally range from three to seven years. As of April 30, 2024 and 2023, capitalized costs related to cloud computing arrangements was $15,424,000 and $4,957,000, respectively, net of accumulated amortization of $2,346,000 and $902,000, respectively. Amortization expense related to cloud computing arrangements for the fiscal years ended April 30, 2024, 2023 and 2022 was $1,444,000, $560,000 and $339,000.</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Intangibles Assets — Acquired in Business Combinations</w:t>
      </w:r>
    </w:p>
    <w:p>
      <w:pPr>
        <w:spacing w:after="0" w:line="229" w:lineRule="exact"/>
        <w:rPr>
          <w:sz w:val="20"/>
          <w:szCs w:val="20"/>
          <w:color w:val="auto"/>
        </w:rPr>
      </w:pPr>
    </w:p>
    <w:p>
      <w:pPr>
        <w:ind w:left="40" w:right="159" w:firstLine="648"/>
        <w:spacing w:after="0" w:line="255" w:lineRule="auto"/>
        <w:rPr>
          <w:sz w:val="20"/>
          <w:szCs w:val="20"/>
          <w:color w:val="auto"/>
        </w:rPr>
      </w:pPr>
      <w:r>
        <w:rPr>
          <w:rFonts w:ascii="Times New Roman" w:cs="Times New Roman" w:eastAsia="Times New Roman" w:hAnsi="Times New Roman"/>
          <w:sz w:val="18"/>
          <w:szCs w:val="18"/>
          <w:color w:val="auto"/>
        </w:rPr>
        <w:t>The Company performs valuations of assets acquired and liabilities assumed on each acquisition accounted for as a business combination and allocates the purchase price of the acquired business to the respective net tangible and intangible assets. Acquired intangible assets include technology, backlog, in-process research and development, customer relationships, trademarks and tradenames, and non-compete agreements. The Company determines the appropriate useful life by performing an analysis of expected cash flows based on historical experience of the acquired businesses. Intangible assets are amortized over their estimated useful lives using the straight-line method which approximates the pattern in which the economic benefits are consumed. The estimated useful life for the Company’s intangible assets are as follows:</w:t>
      </w:r>
    </w:p>
    <w:p>
      <w:pPr>
        <w:spacing w:after="0" w:line="220" w:lineRule="exact"/>
        <w:rPr>
          <w:sz w:val="20"/>
          <w:szCs w:val="20"/>
          <w:color w:val="auto"/>
        </w:rPr>
      </w:pPr>
    </w:p>
    <w:tbl>
      <w:tblPr>
        <w:tblLayout w:type="fixed"/>
        <w:tblInd w:w="2420" w:type="dxa"/>
        <w:tblCellMar>
          <w:top w:w="0" w:type="dxa"/>
          <w:left w:w="0" w:type="dxa"/>
          <w:bottom w:w="0" w:type="dxa"/>
          <w:right w:w="0" w:type="dxa"/>
        </w:tblCellMar>
      </w:tblP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 – 12 years</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year</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Licenses</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5 years</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tradenames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 years</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Contractual term</w:t>
            </w:r>
          </w:p>
        </w:tc>
      </w:tr>
    </w:tbl>
    <w:p>
      <w:pPr>
        <w:spacing w:after="0" w:line="198"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monitors conditions related to these assets to determine whether events and circumstances warrant a revision to the remaining amortization period. The Company tests its intangible assets with finite lives for potential impairment whenever management concludes events or changes in circumstances indicate that the carrying amount may not be recoverable. The original estimate of an asset’s useful life and the impact of an event or circumstance on either an asset’s useful life or carrying value involve significant judgment. Due to the closure of all the Company’s MUAS COCO sites, the Company revised the estimated useful life for the MUAS customer relationships which resulted in accelerated intangible amortization expenses of $34,149,000 during the fiscal year ended April 30, 2023. Additionally, in conjunction with the goodwill impairment test performed during the year ended April 30, 2023, the remaining intangibles in the MUAS reporting unit were tested for recoverability. The asset recoverability test did not result in an impairment for the remaining intangibles in the MUAS reporting unit. Refer to Note 6—Goodwill for further details.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the cost of an acquired entity over the fair value of the acquired net assets. Goodwill is tested at the reporting unit level for impairment annually during the fourth quarter of the Company’s fiscal year or when events or circumstances change in a manner that indicates goodwill might be impaired. Goodwill is assigned to the reporting units based on specific identification.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projected future results of operations.</w:t>
      </w:r>
    </w:p>
    <w:p>
      <w:pPr>
        <w:spacing w:after="0" w:line="192" w:lineRule="exact"/>
        <w:rPr>
          <w:sz w:val="20"/>
          <w:szCs w:val="20"/>
          <w:color w:val="auto"/>
        </w:rPr>
      </w:pPr>
    </w:p>
    <w:p>
      <w:pPr>
        <w:ind w:left="40" w:right="119" w:firstLine="648"/>
        <w:spacing w:after="0" w:line="282" w:lineRule="auto"/>
        <w:rPr>
          <w:sz w:val="20"/>
          <w:szCs w:val="20"/>
          <w:color w:val="auto"/>
        </w:rPr>
      </w:pPr>
      <w:r>
        <w:rPr>
          <w:rFonts w:ascii="Times New Roman" w:cs="Times New Roman" w:eastAsia="Times New Roman" w:hAnsi="Times New Roman"/>
          <w:sz w:val="18"/>
          <w:szCs w:val="18"/>
          <w:color w:val="auto"/>
        </w:rPr>
        <w:t>The Company’s evaluation of goodwill for impairment involves the comparison of the fair value of each reporting unit to its carrying value. For the impairment test, the Company first assesses qualitative factors,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macroeconomic conditions, industry and market considerations, triggering events, cost factors, and overall financial performance, to determine whether it is necessary to perform a quantitative goodwill impairment test. Alternatively, the Company may bypass the qualitative assessment for some or all of its reporting units and apply the quantitative impairment test. If determined to be necessary, the quantitative impairment test shall be used to identify goodwill impairment and measure the amount of a goodwill impairment loss to be recognized (if any). For the quantitative impairment test, the Company estimates the fair value by weighting the results from the income approach and the market approach. These valuation approaches consider a number of factors that include, but are not limited to, prospective financial information, growth rates, terminal value, discount rates, and comparable multiples from publicly traded companies in the Company’s industry and require the Company to make certain assumptions and estimates regarding industry economic factors and the future profitability of its business.</w:t>
      </w:r>
    </w:p>
    <w:p>
      <w:pPr>
        <w:spacing w:after="0" w:line="194" w:lineRule="exact"/>
        <w:rPr>
          <w:sz w:val="20"/>
          <w:szCs w:val="20"/>
          <w:color w:val="auto"/>
        </w:rPr>
      </w:pPr>
    </w:p>
    <w:p>
      <w:pPr>
        <w:ind w:left="40" w:right="159" w:firstLine="648"/>
        <w:spacing w:after="0" w:line="274" w:lineRule="auto"/>
        <w:rPr>
          <w:sz w:val="20"/>
          <w:szCs w:val="20"/>
          <w:color w:val="auto"/>
        </w:rPr>
      </w:pPr>
      <w:r>
        <w:rPr>
          <w:rFonts w:ascii="Times New Roman" w:cs="Times New Roman" w:eastAsia="Times New Roman" w:hAnsi="Times New Roman"/>
          <w:sz w:val="17"/>
          <w:szCs w:val="17"/>
          <w:color w:val="auto"/>
        </w:rPr>
        <w:t>When performing the income approach for each reporting unit, the Company incorporates the use of projected financial information and a discount rate that are developed using market participant based assumptions. The cash flow projections are based on seven-year financial forecasts developed by management that include revenue projections, capital spending trends, and investment in working capital to support anticipated revenue growth, which are updated at least annually and reviewed by management. The selected discount rate considers the risk and nature of the respective reporting unit’s cash flows and the rates of return market participants would require to invest their capital in its reporting units.</w:t>
      </w:r>
    </w:p>
    <w:p>
      <w:pPr>
        <w:spacing w:after="0" w:line="173" w:lineRule="exact"/>
        <w:rPr>
          <w:sz w:val="20"/>
          <w:szCs w:val="20"/>
          <w:color w:val="auto"/>
        </w:rPr>
      </w:pPr>
    </w:p>
    <w:p>
      <w:pPr>
        <w:ind w:left="40" w:right="79" w:firstLine="648"/>
        <w:spacing w:after="0" w:line="256" w:lineRule="auto"/>
        <w:rPr>
          <w:sz w:val="20"/>
          <w:szCs w:val="20"/>
          <w:color w:val="auto"/>
        </w:rPr>
      </w:pPr>
      <w:r>
        <w:rPr>
          <w:rFonts w:ascii="Times New Roman" w:cs="Times New Roman" w:eastAsia="Times New Roman" w:hAnsi="Times New Roman"/>
          <w:sz w:val="18"/>
          <w:szCs w:val="18"/>
          <w:color w:val="auto"/>
        </w:rPr>
        <w:t>When performing the market approach for each reporting unit, the Company utilizes the guideline public company method and the guideline transaction method. The guideline public company method incorporates revenue and earnings multiples from publicly traded companies with operations and other characteristics similar to each reporting unit. The selected multiples consider each reporting unit’s relative growth, profitability, size, and risk relative to the selected publicly traded companies. The guideline transaction method incorporates implied multiples based on transactions from publicly traded companies with similar characteristics to each reporting unit.</w:t>
      </w:r>
    </w:p>
    <w:p>
      <w:pPr>
        <w:spacing w:after="0" w:line="187"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Subsequent to the performance of the Company’s annual goodwill impairment test, in May 2023, a trigger event was identified that indicated that the carrying value of the MUAS reporting unit exceeded its fair value. Specifically, the Company received notification that it was not down selected for a U.S. DoD program of record which resulted in a significant decrease in the projected future cash flows of the MUAS reporting unit. As a result, the Company updated its estimates of long-term future cash flows to reflect lower revenue and EBITDA growth rate expectations used in the valuation of the MUAS reporting unit. These changes in estimates resulted in the recognition of a goodwill impairment charge of $156,017,000 in the MUAS reporting unit. The Company determined that it was more likely than not that the fair value of the Company’s other reporting units were more than their carrying values as of the annual goodwill impairment test date.</w:t>
      </w:r>
    </w:p>
    <w:p>
      <w:pPr>
        <w:spacing w:after="0" w:line="188" w:lineRule="exact"/>
        <w:rPr>
          <w:sz w:val="20"/>
          <w:szCs w:val="20"/>
          <w:color w:val="auto"/>
        </w:rPr>
      </w:pPr>
    </w:p>
    <w:p>
      <w:pPr>
        <w:ind w:left="40" w:right="99" w:firstLine="648"/>
        <w:spacing w:after="0" w:line="252" w:lineRule="auto"/>
        <w:rPr>
          <w:sz w:val="20"/>
          <w:szCs w:val="20"/>
          <w:color w:val="auto"/>
        </w:rPr>
      </w:pPr>
      <w:r>
        <w:rPr>
          <w:rFonts w:ascii="Times New Roman" w:cs="Times New Roman" w:eastAsia="Times New Roman" w:hAnsi="Times New Roman"/>
          <w:sz w:val="18"/>
          <w:szCs w:val="18"/>
          <w:color w:val="auto"/>
        </w:rPr>
        <w:t>The estimated fair value of the MUAS reporting unit does not substantially exceed its carrying value due to the impairment recorded during the fourth quarter ended April 30, 2023, resulting in carrying value being equal to estimated fair value. The fair value of the MUAS reporting unit exceeded the carrying value by 10% as of January 28, 2024, the date of the most recent annual goodwill impairment test. Fair value determinations utilized in the quantitative goodwill impairment test require considerable judgment and are sensitive to changes in underlying assumptions, estimates, and market factors. Estimating the fair value of individual reporting units requires us to make assumptions and estimates regarding future plans, as well as industry, economic, and regulatory conditions. These assumptions and estimates include estimated future annual net cash flows, income tax rates, discount rates, growth rates, and other market factors. Estimated future annual net cash flows based in part upon the Company’s ability to obtain contracts from the U.S. DoD and foreign allied nations and negotiate the estimated pricing are considered the most significant, sensitive assumptions. If current expectations of future growth rates and margins are not met, if market factors outside of the Company’s control, such as discount rates, income tax rates, or inflation, change, or if management’s expectations or plans otherwise change, including updates to long-term operating plans, then MUAS may become impaired in the future. Accordingly, the MUAS reporting unit is considered at an increased risk of failing future quantitative goodwill impairment tests. During the most recent annual impairment test during the fourth quarter of fiscal year 2024, the estimated fair value of all reporting units, other than MUAS, substantially exceeded their carrying value.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firstLine="648"/>
        <w:spacing w:after="0" w:line="258" w:lineRule="auto"/>
        <w:rPr>
          <w:sz w:val="20"/>
          <w:szCs w:val="20"/>
          <w:color w:val="auto"/>
        </w:rPr>
      </w:pPr>
      <w:r>
        <w:rPr>
          <w:rFonts w:ascii="Times New Roman" w:cs="Times New Roman" w:eastAsia="Times New Roman" w:hAnsi="Times New Roman"/>
          <w:sz w:val="18"/>
          <w:szCs w:val="18"/>
          <w:color w:val="auto"/>
        </w:rPr>
        <w:t>The estimates and assumptions used to determine the fair value of the Company’s reporting units are highly subjective in nature. Actual results can be materially different from the estimates and assumptions. If actual market conditions are less favorable than those projected by the industry or by us, or if events occur or circumstances change that would reduce the estimated fair value of the Company’s indefinite-lived intangible assets below the carrying amounts, the Company could recognize future impairment charges, the amount of which could be material.</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Product Warranty</w:t>
      </w:r>
    </w:p>
    <w:p>
      <w:pPr>
        <w:spacing w:after="0" w:line="229" w:lineRule="exact"/>
        <w:rPr>
          <w:sz w:val="20"/>
          <w:szCs w:val="20"/>
          <w:color w:val="auto"/>
        </w:rPr>
      </w:pPr>
    </w:p>
    <w:p>
      <w:pPr>
        <w:ind w:left="40" w:right="579" w:firstLine="648"/>
        <w:spacing w:after="0" w:line="312" w:lineRule="auto"/>
        <w:rPr>
          <w:sz w:val="20"/>
          <w:szCs w:val="20"/>
          <w:color w:val="auto"/>
        </w:rPr>
      </w:pPr>
      <w:r>
        <w:rPr>
          <w:rFonts w:ascii="Times New Roman" w:cs="Times New Roman" w:eastAsia="Times New Roman" w:hAnsi="Times New Roman"/>
          <w:sz w:val="17"/>
          <w:szCs w:val="17"/>
          <w:color w:val="auto"/>
        </w:rPr>
        <w:t>The Company accrues an estimate of its exposure to warranty claims based upon both current and historical product sales data and warranty costs incurred. Product warranty reserves are recorded in other current liabilities.</w:t>
      </w:r>
    </w:p>
    <w:p>
      <w:pPr>
        <w:spacing w:after="0" w:line="1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Accrued Sales Commissions</w:t>
      </w:r>
    </w:p>
    <w:p>
      <w:pPr>
        <w:spacing w:after="0" w:line="229" w:lineRule="exact"/>
        <w:rPr>
          <w:sz w:val="20"/>
          <w:szCs w:val="20"/>
          <w:color w:val="auto"/>
        </w:rPr>
      </w:pPr>
    </w:p>
    <w:p>
      <w:pPr>
        <w:ind w:left="40" w:right="159" w:firstLine="648"/>
        <w:spacing w:after="0" w:line="282" w:lineRule="auto"/>
        <w:rPr>
          <w:sz w:val="20"/>
          <w:szCs w:val="20"/>
          <w:color w:val="auto"/>
        </w:rPr>
      </w:pPr>
      <w:r>
        <w:rPr>
          <w:rFonts w:ascii="Times New Roman" w:cs="Times New Roman" w:eastAsia="Times New Roman" w:hAnsi="Times New Roman"/>
          <w:sz w:val="18"/>
          <w:szCs w:val="18"/>
          <w:color w:val="auto"/>
        </w:rPr>
        <w:t>As of April 30, 2024 and 2023, the Company accrued sales commissions in other current liabilities of $3,132,000 and $3,011,000, respectively.</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Self-Insurance Liability</w:t>
      </w:r>
    </w:p>
    <w:p>
      <w:pPr>
        <w:spacing w:after="0" w:line="229" w:lineRule="exact"/>
        <w:rPr>
          <w:sz w:val="20"/>
          <w:szCs w:val="20"/>
          <w:color w:val="auto"/>
        </w:rPr>
      </w:pPr>
    </w:p>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The Company is self-insured for employee medical claims, subject to individual and aggregate stop loss policies. The Company estimates a liability for claims filed and incurred but not reported based upon recent claims experience and an analysis of the average period of time between the occurrence of a claim and the time it is reported to and paid by the Company. As of April 30, 2024 and 2023, the Company estimated and recorded a self-insurance liability in wages and related accruals of approximately $1,244,000 and $1,383,000, respectively.</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Deferred income tax assets and liabilities are computed annually for differences between the financial statement and income tax bases of assets and liabilities that will result in taxable or deductible amounts in the future. The provision for income taxes reflects the taxes to be paid for the period and the change during the period in the deferred income tax assets and liabilities. The Company records a valuation allowance to reduce the deferred tax assets to the amount of future tax benefit that is more likely than not to be realized. 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Where applicable, associated interest and penalties are also recorded.</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Customer Advances</w:t>
      </w:r>
    </w:p>
    <w:p>
      <w:pPr>
        <w:spacing w:after="0" w:line="229" w:lineRule="exact"/>
        <w:rPr>
          <w:sz w:val="20"/>
          <w:szCs w:val="20"/>
          <w:color w:val="auto"/>
        </w:rPr>
      </w:pPr>
    </w:p>
    <w:p>
      <w:pPr>
        <w:jc w:val="both"/>
        <w:ind w:left="40" w:right="219" w:firstLine="648"/>
        <w:spacing w:after="0" w:line="266" w:lineRule="auto"/>
        <w:rPr>
          <w:sz w:val="20"/>
          <w:szCs w:val="20"/>
          <w:color w:val="auto"/>
        </w:rPr>
      </w:pPr>
      <w:r>
        <w:rPr>
          <w:rFonts w:ascii="Times New Roman" w:cs="Times New Roman" w:eastAsia="Times New Roman" w:hAnsi="Times New Roman"/>
          <w:sz w:val="18"/>
          <w:szCs w:val="18"/>
          <w:color w:val="auto"/>
        </w:rPr>
        <w:t>The Company receives advances, performance-based payments and progress payments from customers that may exceed costs incurred on certain contracts, including contracts with agencies of the U.S. government resulting in contract liabilities. These advances are classified as customer advances and will be offset against billings.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Company’s revenue is generated pursuant to written contractual arrangements to design, develop, manufacture and/or modify complex products, and to provide related engineering, technical and other services according to the specifications of the customers. These contracts may be firm fixed price (“FFP”), cost plus fixed fee (“CPFF”), or time and materials (“T&amp;M”). The Company considers all such contracts to be within the scope of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229"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distinct goods or services to a customer, and it is the unit of account in ASC 606. A contract’s transaction price is allocated to each distinct performance obligation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reasonable margin approach. This approach estimates the Company’s expected costs of satisfying the performance obligation and then adds an appropriate margin for that distinct good or service.</w:t>
      </w:r>
    </w:p>
    <w:p>
      <w:pPr>
        <w:spacing w:after="0" w:line="189" w:lineRule="exact"/>
        <w:rPr>
          <w:sz w:val="20"/>
          <w:szCs w:val="20"/>
          <w:color w:val="auto"/>
        </w:rPr>
      </w:pPr>
    </w:p>
    <w:p>
      <w:pPr>
        <w:ind w:left="40" w:right="419" w:firstLine="648"/>
        <w:spacing w:after="0" w:line="312" w:lineRule="auto"/>
        <w:rPr>
          <w:sz w:val="20"/>
          <w:szCs w:val="20"/>
          <w:color w:val="auto"/>
        </w:rPr>
      </w:pPr>
      <w:r>
        <w:rPr>
          <w:rFonts w:ascii="Times New Roman" w:cs="Times New Roman" w:eastAsia="Times New Roman" w:hAnsi="Times New Roman"/>
          <w:sz w:val="17"/>
          <w:szCs w:val="17"/>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40" w:lineRule="exact"/>
        <w:rPr>
          <w:sz w:val="20"/>
          <w:szCs w:val="20"/>
          <w:color w:val="auto"/>
        </w:rPr>
      </w:pPr>
    </w:p>
    <w:p>
      <w:pPr>
        <w:ind w:left="40" w:right="119" w:firstLine="648"/>
        <w:spacing w:after="0" w:line="252" w:lineRule="auto"/>
        <w:rPr>
          <w:sz w:val="20"/>
          <w:szCs w:val="20"/>
          <w:color w:val="auto"/>
        </w:rPr>
      </w:pPr>
      <w:r>
        <w:rPr>
          <w:rFonts w:ascii="Times New Roman" w:cs="Times New Roman" w:eastAsia="Times New Roman" w:hAnsi="Times New Roman"/>
          <w:sz w:val="18"/>
          <w:szCs w:val="18"/>
          <w:color w:val="auto"/>
        </w:rPr>
        <w:t>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Loitering Munitions Systems (“LMS”) product deliveries, customization of uncrewed ground vehicles (“UGV”) transport vehicles and customer-funded R&amp;D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Contract services revenue, including ISR services, is recognized over time as services are rendered. The Company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w:t>
      </w:r>
    </w:p>
    <w:p>
      <w:pPr>
        <w:spacing w:after="0" w:line="193" w:lineRule="exact"/>
        <w:rPr>
          <w:sz w:val="20"/>
          <w:szCs w:val="20"/>
          <w:color w:val="auto"/>
        </w:rPr>
      </w:pPr>
    </w:p>
    <w:p>
      <w:pPr>
        <w:ind w:left="40" w:right="519" w:firstLine="648"/>
        <w:spacing w:after="0" w:line="281" w:lineRule="auto"/>
        <w:rPr>
          <w:sz w:val="20"/>
          <w:szCs w:val="20"/>
          <w:color w:val="auto"/>
        </w:rPr>
      </w:pPr>
      <w:r>
        <w:rPr>
          <w:rFonts w:ascii="Times New Roman" w:cs="Times New Roman" w:eastAsia="Times New Roman" w:hAnsi="Times New Roman"/>
          <w:sz w:val="17"/>
          <w:szCs w:val="17"/>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64" w:lineRule="exact"/>
        <w:rPr>
          <w:sz w:val="20"/>
          <w:szCs w:val="20"/>
          <w:color w:val="auto"/>
        </w:rPr>
      </w:pPr>
    </w:p>
    <w:p>
      <w:pPr>
        <w:jc w:val="both"/>
        <w:ind w:left="40" w:right="219" w:firstLine="648"/>
        <w:spacing w:after="0" w:line="257" w:lineRule="auto"/>
        <w:rPr>
          <w:sz w:val="20"/>
          <w:szCs w:val="20"/>
          <w:color w:val="auto"/>
        </w:rPr>
      </w:pPr>
      <w:r>
        <w:rPr>
          <w:rFonts w:ascii="Times New Roman" w:cs="Times New Roman" w:eastAsia="Times New Roman" w:hAnsi="Times New Roman"/>
          <w:sz w:val="18"/>
          <w:szCs w:val="18"/>
          <w:color w:val="auto"/>
        </w:rPr>
        <w:t>For performance obligations which are not satisfied over time per the aforementioned criteria above, revenue is recognized at the point in time in which each performance obligation is fully satisfied. The Company’s UxS product sales revenue is primarily composed of revenue recognized on contracts for the delivery of UxS systems and spare parts.</w:t>
      </w:r>
    </w:p>
    <w:p>
      <w:pPr>
        <w:spacing w:after="0" w:line="1" w:lineRule="exact"/>
        <w:rPr>
          <w:sz w:val="20"/>
          <w:szCs w:val="20"/>
          <w:color w:val="auto"/>
        </w:rPr>
      </w:pPr>
    </w:p>
    <w:p>
      <w:pPr>
        <w:ind w:left="40" w:right="319"/>
        <w:spacing w:after="0" w:line="260" w:lineRule="auto"/>
        <w:rPr>
          <w:sz w:val="20"/>
          <w:szCs w:val="20"/>
          <w:color w:val="auto"/>
        </w:rPr>
      </w:pPr>
      <w:r>
        <w:rPr>
          <w:rFonts w:ascii="Times New Roman" w:cs="Times New Roman" w:eastAsia="Times New Roman" w:hAnsi="Times New Roman"/>
          <w:sz w:val="18"/>
          <w:szCs w:val="18"/>
          <w:color w:val="auto"/>
        </w:rPr>
        <w:t>Revenue is recognized at the point in time when control transfers to the customer, which generally occurs when title and risk of loss have passed to the customer.</w:t>
      </w:r>
    </w:p>
    <w:p>
      <w:pPr>
        <w:spacing w:after="0" w:line="181" w:lineRule="exact"/>
        <w:rPr>
          <w:sz w:val="20"/>
          <w:szCs w:val="20"/>
          <w:color w:val="auto"/>
        </w:rPr>
      </w:pPr>
    </w:p>
    <w:p>
      <w:pPr>
        <w:ind w:left="40" w:right="299" w:firstLine="648"/>
        <w:spacing w:after="0" w:line="261" w:lineRule="auto"/>
        <w:rPr>
          <w:sz w:val="20"/>
          <w:szCs w:val="20"/>
          <w:color w:val="auto"/>
        </w:rPr>
      </w:pPr>
      <w:r>
        <w:rPr>
          <w:rFonts w:ascii="Times New Roman" w:cs="Times New Roman" w:eastAsia="Times New Roman" w:hAnsi="Times New Roman"/>
          <w:sz w:val="18"/>
          <w:szCs w:val="18"/>
          <w:color w:val="auto"/>
        </w:rPr>
        <w:t>On April 30, 2024, the Company had approximately $400,201,000 of remaining performance obligations under contracts with its customers, which the Company also refers to as backlog. The Company currently expects to recognize approximately 90% of the remaining performance obligations as revenue in fiscal 2025 and an additional 10% in fiscal 2026.</w:t>
      </w:r>
    </w:p>
    <w:p>
      <w:pPr>
        <w:spacing w:after="0" w:line="180"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The Company collects sales, value add, and other taxes concurrent with revenue producing activities, which are excluded from revenue when they are both imposed on a specific transaction and collected from a customer.</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Contract Estimates</w:t>
      </w:r>
    </w:p>
    <w:p>
      <w:pPr>
        <w:spacing w:after="0" w:line="229" w:lineRule="exact"/>
        <w:rPr>
          <w:sz w:val="20"/>
          <w:szCs w:val="20"/>
          <w:color w:val="auto"/>
        </w:rPr>
      </w:pPr>
    </w:p>
    <w:p>
      <w:pPr>
        <w:ind w:left="40" w:right="299" w:firstLine="648"/>
        <w:spacing w:after="0" w:line="266" w:lineRule="auto"/>
        <w:rPr>
          <w:sz w:val="20"/>
          <w:szCs w:val="20"/>
          <w:color w:val="auto"/>
        </w:rPr>
      </w:pPr>
      <w:r>
        <w:rPr>
          <w:rFonts w:ascii="Times New Roman" w:cs="Times New Roman" w:eastAsia="Times New Roman" w:hAnsi="Times New Roman"/>
          <w:sz w:val="18"/>
          <w:szCs w:val="18"/>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81" w:lineRule="auto"/>
        <w:rPr>
          <w:sz w:val="20"/>
          <w:szCs w:val="20"/>
          <w:color w:val="auto"/>
        </w:rPr>
      </w:pPr>
      <w:r>
        <w:rPr>
          <w:rFonts w:ascii="Times New Roman" w:cs="Times New Roman" w:eastAsia="Times New Roman" w:hAnsi="Times New Roman"/>
          <w:sz w:val="17"/>
          <w:szCs w:val="17"/>
          <w:color w:val="auto"/>
        </w:rPr>
        <w:t>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pacing w:after="0" w:line="164" w:lineRule="exact"/>
        <w:rPr>
          <w:sz w:val="20"/>
          <w:szCs w:val="20"/>
          <w:color w:val="auto"/>
        </w:rPr>
      </w:pPr>
    </w:p>
    <w:p>
      <w:pPr>
        <w:ind w:left="40" w:right="99" w:firstLine="648"/>
        <w:spacing w:after="0" w:line="261" w:lineRule="auto"/>
        <w:rPr>
          <w:sz w:val="20"/>
          <w:szCs w:val="20"/>
          <w:color w:val="auto"/>
        </w:rPr>
      </w:pPr>
      <w:r>
        <w:rPr>
          <w:rFonts w:ascii="Times New Roman" w:cs="Times New Roman" w:eastAsia="Times New Roman" w:hAnsi="Times New Roman"/>
          <w:sz w:val="18"/>
          <w:szCs w:val="18"/>
          <w:color w:val="auto"/>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spacing w:after="0" w:line="180"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 nature of the Company’s contracts gives rise to several types of variable consideration, including undefinitized contract actions which are within the scope of ASC 606 with final contract values to be negotiated,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Based on experience in estimating these amounts, they are included in the transaction price of the Company’s contracts and the associated remaining performance obligations.</w:t>
      </w:r>
    </w:p>
    <w:p>
      <w:pPr>
        <w:spacing w:after="0" w:line="192"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including definitization of contracts, are recorded using a cumulative catch-up adjustment in the period identified. In the period undefinitized contract actions become definitized, a cumulative catch-up adjustment is recorded to reflect the final consideration, which could have a material positive or negative impact.</w:t>
      </w:r>
    </w:p>
    <w:p>
      <w:pPr>
        <w:spacing w:after="0" w:line="187" w:lineRule="exact"/>
        <w:rPr>
          <w:sz w:val="20"/>
          <w:szCs w:val="20"/>
          <w:color w:val="auto"/>
        </w:rPr>
      </w:pPr>
    </w:p>
    <w:p>
      <w:pPr>
        <w:ind w:left="40" w:right="219" w:firstLine="648"/>
        <w:spacing w:after="0" w:line="256" w:lineRule="auto"/>
        <w:rPr>
          <w:sz w:val="20"/>
          <w:szCs w:val="20"/>
          <w:color w:val="auto"/>
        </w:rPr>
      </w:pPr>
      <w:r>
        <w:rPr>
          <w:rFonts w:ascii="Times New Roman" w:cs="Times New Roman" w:eastAsia="Times New Roman" w:hAnsi="Times New Roman"/>
          <w:sz w:val="18"/>
          <w:szCs w:val="18"/>
          <w:color w:val="auto"/>
        </w:rPr>
        <w:t>If at any time the estimate of contract profitability indicates an anticipated loss on the contract, the Company recognizes the total loss in the quarter it is identified, and it is recorded in other current liabilities. The balance of forward loss reserves as of April 30, 2024 and April 30, 2023 was $374,000 and $1,878,000, respectively. The Company recorded the forward loss reserves as the total estimated costs to complete the contracts are in excess of the total remaining consideration of the contracts. No adjustment on the forward loss reserve for any one contract was material to the Company’s consolidated financial statements for the fiscal years ended April 30, 2024, 2023 or 2022.</w:t>
      </w:r>
    </w:p>
    <w:p>
      <w:pPr>
        <w:spacing w:after="0" w:line="187" w:lineRule="exact"/>
        <w:rPr>
          <w:sz w:val="20"/>
          <w:szCs w:val="20"/>
          <w:color w:val="auto"/>
        </w:rPr>
      </w:pPr>
    </w:p>
    <w:p>
      <w:pPr>
        <w:ind w:left="40" w:right="99" w:firstLine="648"/>
        <w:spacing w:after="0" w:line="253" w:lineRule="auto"/>
        <w:rPr>
          <w:sz w:val="20"/>
          <w:szCs w:val="20"/>
          <w:color w:val="auto"/>
        </w:rPr>
      </w:pPr>
      <w:r>
        <w:rPr>
          <w:rFonts w:ascii="Times New Roman" w:cs="Times New Roman" w:eastAsia="Times New Roman" w:hAnsi="Times New Roman"/>
          <w:sz w:val="18"/>
          <w:szCs w:val="18"/>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an increase to revenue of $5,408,000 for the year ended April 30, 2024 and not significant for the years ended April 30, 2023 or 2022. During the year ended April 30, 2024, the Company revised estimates to complete two LMS contracts. The aggregate impact of these adjustments in contract estimates on revenue related to performance obligations satisfied or partially satisfied in previous periods was an increase to revenue of approximately $2,672,000. During the years ended April 30, 2023 and 2022, the Company revised its estimates of the total expected costs to complete a LMS contract. The aggregate impact of these adjustments in contract estimates on revenue related to performance obligations satisfied or partially satisfied in previous periods was a decrease to revenue of approximately $1,898,000 and $1,124,000, respectively.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Revenue by Category</w:t>
      </w:r>
    </w:p>
    <w:p>
      <w:pPr>
        <w:spacing w:after="0" w:line="229"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disaggregated by segment, contract type, customer category and geographic location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segment</w:t>
            </w:r>
          </w:p>
        </w:tc>
        <w:tc>
          <w:tcPr>
            <w:tcW w:w="2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11"/>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80" w:type="dxa"/>
            <w:vAlign w:val="bottom"/>
            <w:vMerge w:val="continue"/>
          </w:tcPr>
          <w:p>
            <w:pPr>
              <w:spacing w:after="0"/>
              <w:rPr>
                <w:sz w:val="17"/>
                <w:szCs w:val="17"/>
                <w:color w:val="auto"/>
              </w:rPr>
            </w:pPr>
          </w:p>
        </w:tc>
        <w:tc>
          <w:tcPr>
            <w:tcW w:w="2900" w:type="dxa"/>
            <w:vAlign w:val="bottom"/>
            <w:gridSpan w:val="4"/>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gridSpan w:val="5"/>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7"/>
                <w:szCs w:val="17"/>
                <w:color w:val="auto"/>
              </w:rPr>
            </w:pPr>
          </w:p>
        </w:tc>
        <w:tc>
          <w:tcPr>
            <w:tcW w:w="800" w:type="dxa"/>
            <w:vAlign w:val="bottom"/>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UxS</w:t>
            </w:r>
          </w:p>
        </w:tc>
        <w:tc>
          <w:tcPr>
            <w:tcW w:w="2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$ 448,006</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$ 343,910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$ 300,743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LMS</w:t>
            </w: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192,587</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120,624</w:t>
            </w:r>
          </w:p>
        </w:tc>
        <w:tc>
          <w:tcPr>
            <w:tcW w:w="16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76,415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MW</w:t>
            </w:r>
          </w:p>
        </w:tc>
        <w:tc>
          <w:tcPr>
            <w:tcW w:w="2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76,127</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76,002</w:t>
            </w: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1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716,720</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540,536</w:t>
            </w:r>
          </w:p>
        </w:tc>
        <w:tc>
          <w:tcPr>
            <w:tcW w:w="160" w:type="dxa"/>
            <w:vAlign w:val="bottom"/>
          </w:tcPr>
          <w:p>
            <w:pPr>
              <w:spacing w:after="0"/>
              <w:rPr>
                <w:sz w:val="18"/>
                <w:szCs w:val="18"/>
                <w:color w:val="auto"/>
              </w:rPr>
            </w:pPr>
          </w:p>
        </w:tc>
        <w:tc>
          <w:tcPr>
            <w:tcW w:w="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contract type</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80" w:type="dxa"/>
            <w:vAlign w:val="bottom"/>
            <w:vMerge w:val="continue"/>
          </w:tcPr>
          <w:p>
            <w:pPr>
              <w:spacing w:after="0"/>
              <w:rPr>
                <w:sz w:val="17"/>
                <w:szCs w:val="17"/>
                <w:color w:val="auto"/>
              </w:rPr>
            </w:pPr>
          </w:p>
        </w:tc>
        <w:tc>
          <w:tcPr>
            <w:tcW w:w="2900" w:type="dxa"/>
            <w:vAlign w:val="bottom"/>
            <w:gridSpan w:val="4"/>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gridSpan w:val="5"/>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c>
          <w:tcPr>
            <w:tcW w:w="800" w:type="dxa"/>
            <w:vAlign w:val="bottom"/>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FFP</w:t>
            </w:r>
          </w:p>
        </w:tc>
        <w:tc>
          <w:tcPr>
            <w:tcW w:w="214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$ 634,266</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$ 430,547</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$ 346,092</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CPFF</w:t>
            </w: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77,458</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104,444</w:t>
            </w:r>
          </w:p>
        </w:tc>
        <w:tc>
          <w:tcPr>
            <w:tcW w:w="16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T&amp;M</w:t>
            </w:r>
          </w:p>
        </w:tc>
        <w:tc>
          <w:tcPr>
            <w:tcW w:w="2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140" w:type="dxa"/>
            <w:vAlign w:val="bottom"/>
            <w:gridSpan w:val="2"/>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$ 716,720</w:t>
            </w:r>
          </w:p>
        </w:tc>
        <w:tc>
          <w:tcPr>
            <w:tcW w:w="20" w:type="dxa"/>
            <w:vAlign w:val="bottom"/>
            <w:tcBorders>
              <w:top w:val="single" w:sz="8" w:color="auto"/>
            </w:tcBorders>
          </w:tcPr>
          <w:p>
            <w:pPr>
              <w:spacing w:after="0"/>
              <w:rPr>
                <w:sz w:val="18"/>
                <w:szCs w:val="18"/>
                <w:color w:val="auto"/>
              </w:rPr>
            </w:pPr>
          </w:p>
        </w:tc>
        <w:tc>
          <w:tcPr>
            <w:tcW w:w="180" w:type="dxa"/>
            <w:vAlign w:val="bottom"/>
            <w:gridSpan w:val="2"/>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$ 540,536</w:t>
            </w:r>
          </w:p>
        </w:tc>
        <w:tc>
          <w:tcPr>
            <w:tcW w:w="16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$ 445,732</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19" w:firstLine="648"/>
        <w:spacing w:after="0" w:line="258" w:lineRule="auto"/>
        <w:rPr>
          <w:sz w:val="20"/>
          <w:szCs w:val="20"/>
          <w:color w:val="auto"/>
        </w:rPr>
      </w:pPr>
      <w:r>
        <w:rPr>
          <w:rFonts w:ascii="Times New Roman" w:cs="Times New Roman" w:eastAsia="Times New Roman" w:hAnsi="Times New Roman"/>
          <w:sz w:val="18"/>
          <w:szCs w:val="18"/>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customer category</w:t>
            </w:r>
          </w:p>
        </w:tc>
        <w:tc>
          <w:tcPr>
            <w:tcW w:w="14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0" w:type="dxa"/>
            <w:vAlign w:val="bottom"/>
          </w:tcPr>
          <w:p>
            <w:pPr>
              <w:spacing w:after="0"/>
              <w:rPr>
                <w:sz w:val="1"/>
                <w:szCs w:val="1"/>
                <w:color w:val="auto"/>
              </w:rPr>
            </w:pPr>
          </w:p>
        </w:tc>
      </w:tr>
      <w:tr>
        <w:trPr>
          <w:trHeight w:val="196"/>
        </w:trPr>
        <w:tc>
          <w:tcPr>
            <w:tcW w:w="4760" w:type="dxa"/>
            <w:vAlign w:val="bottom"/>
            <w:vMerge w:val="continue"/>
          </w:tcPr>
          <w:p>
            <w:pPr>
              <w:spacing w:after="0"/>
              <w:rPr>
                <w:sz w:val="17"/>
                <w:szCs w:val="17"/>
                <w:color w:val="auto"/>
              </w:rPr>
            </w:pPr>
          </w:p>
        </w:tc>
        <w:tc>
          <w:tcPr>
            <w:tcW w:w="2240" w:type="dxa"/>
            <w:vAlign w:val="bottom"/>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gridSpan w:val="4"/>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w:t>
            </w:r>
          </w:p>
        </w:tc>
        <w:tc>
          <w:tcPr>
            <w:tcW w:w="14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$ 544,885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$ 366,895</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$ 294,941</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Non-U.S. government</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171,835</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173,641</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150,791</w:t>
            </w:r>
          </w:p>
        </w:tc>
        <w:tc>
          <w:tcPr>
            <w:tcW w:w="0" w:type="dxa"/>
            <w:vAlign w:val="bottom"/>
          </w:tcPr>
          <w:p>
            <w:pPr>
              <w:spacing w:after="0"/>
              <w:rPr>
                <w:sz w:val="1"/>
                <w:szCs w:val="1"/>
                <w:color w:val="auto"/>
              </w:rPr>
            </w:pPr>
          </w:p>
        </w:tc>
      </w:tr>
      <w:tr>
        <w:trPr>
          <w:trHeight w:val="209"/>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$ 716,720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$ 540,536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$ 445,732</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location</w:t>
            </w:r>
          </w:p>
        </w:tc>
        <w:tc>
          <w:tcPr>
            <w:tcW w:w="14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0" w:type="dxa"/>
            <w:vAlign w:val="bottom"/>
          </w:tcPr>
          <w:p>
            <w:pPr>
              <w:spacing w:after="0"/>
              <w:rPr>
                <w:sz w:val="1"/>
                <w:szCs w:val="1"/>
                <w:color w:val="auto"/>
              </w:rPr>
            </w:pPr>
          </w:p>
        </w:tc>
      </w:tr>
      <w:tr>
        <w:trPr>
          <w:trHeight w:val="196"/>
        </w:trPr>
        <w:tc>
          <w:tcPr>
            <w:tcW w:w="4760" w:type="dxa"/>
            <w:vAlign w:val="bottom"/>
            <w:vMerge w:val="continue"/>
          </w:tcPr>
          <w:p>
            <w:pPr>
              <w:spacing w:after="0"/>
              <w:rPr>
                <w:sz w:val="17"/>
                <w:szCs w:val="17"/>
                <w:color w:val="auto"/>
              </w:rPr>
            </w:pPr>
          </w:p>
        </w:tc>
        <w:tc>
          <w:tcPr>
            <w:tcW w:w="2240" w:type="dxa"/>
            <w:vAlign w:val="bottom"/>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gridSpan w:val="4"/>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4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$ 271,727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$ 251,428</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$ 262,258</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444,993</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289,108</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183,474</w:t>
            </w:r>
          </w:p>
        </w:tc>
        <w:tc>
          <w:tcPr>
            <w:tcW w:w="0" w:type="dxa"/>
            <w:vAlign w:val="bottom"/>
          </w:tcPr>
          <w:p>
            <w:pPr>
              <w:spacing w:after="0"/>
              <w:rPr>
                <w:sz w:val="1"/>
                <w:szCs w:val="1"/>
                <w:color w:val="auto"/>
              </w:rPr>
            </w:pPr>
          </w:p>
        </w:tc>
      </w:tr>
      <w:tr>
        <w:trPr>
          <w:trHeight w:val="209"/>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$ 716,720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$ 540,536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$ 445,732</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percentage by recognition method</w:t>
            </w: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0" w:type="dxa"/>
            <w:vAlign w:val="bottom"/>
          </w:tcPr>
          <w:p>
            <w:pPr>
              <w:spacing w:after="0"/>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2240" w:type="dxa"/>
            <w:vAlign w:val="bottom"/>
            <w:gridSpan w:val="3"/>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gridSpan w:val="4"/>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1500" w:type="dxa"/>
            <w:vAlign w:val="bottom"/>
            <w:tcBorders>
              <w:top w:val="single" w:sz="8" w:color="CCEEFF"/>
            </w:tcBorders>
            <w:gridSpan w:val="2"/>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5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and customer advances and deposits on the consolidated balance sheets.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consolidated balance sheets. However, the Company sometimes receives advances or deposits from its customers before revenue is recognized, resulting in contract liabilities recorded in customer advances on the consolidated balance sheets. Contract liabilities are not a significant financing component as they are generally utilized to pay for contract costs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55" w:lineRule="auto"/>
        <w:rPr>
          <w:sz w:val="20"/>
          <w:szCs w:val="20"/>
          <w:color w:val="auto"/>
        </w:rPr>
      </w:pPr>
      <w:r>
        <w:rPr>
          <w:rFonts w:ascii="Times New Roman" w:cs="Times New Roman" w:eastAsia="Times New Roman" w:hAnsi="Times New Roman"/>
          <w:sz w:val="18"/>
          <w:szCs w:val="18"/>
          <w:color w:val="auto"/>
        </w:rPr>
        <w:t>within a one-year period or are used to ensure the customer meets contractual requirements. These assets and liabilities are reported on the consolidated balance sheets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years ended April 30, 2024 or 2023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89" w:lineRule="exact"/>
        <w:rPr>
          <w:sz w:val="20"/>
          <w:szCs w:val="20"/>
          <w:color w:val="auto"/>
        </w:rPr>
      </w:pPr>
    </w:p>
    <w:p>
      <w:pPr>
        <w:ind w:left="40" w:right="419" w:firstLine="648"/>
        <w:spacing w:after="0" w:line="282" w:lineRule="auto"/>
        <w:rPr>
          <w:sz w:val="20"/>
          <w:szCs w:val="20"/>
          <w:color w:val="auto"/>
        </w:rPr>
      </w:pPr>
      <w:r>
        <w:rPr>
          <w:rFonts w:ascii="Times New Roman" w:cs="Times New Roman" w:eastAsia="Times New Roman" w:hAnsi="Times New Roman"/>
          <w:sz w:val="18"/>
          <w:szCs w:val="18"/>
          <w:color w:val="auto"/>
        </w:rPr>
        <w:t>Revenue recognized for the years ended April 30, 2024, 2023, and 2022 that was included in contract liability balances at the beginning of each year were $13,757,000, $3,413,000 and $3,144,000, respectively.</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Cost to Fulfill a Contract with a Customer</w:t>
      </w:r>
    </w:p>
    <w:p>
      <w:pPr>
        <w:spacing w:after="0" w:line="229"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assets for the costs to fulfill a contract with a customer if the costs are specifically identifiable, generate or enhance resources used to satisfy future performance obligations, and are expected to be recovered in accordance with ASC 340-40 </w:t>
      </w:r>
      <w:r>
        <w:rPr>
          <w:rFonts w:ascii="Times New Roman" w:cs="Times New Roman" w:eastAsia="Times New Roman" w:hAnsi="Times New Roman"/>
          <w:sz w:val="18"/>
          <w:szCs w:val="18"/>
          <w:i w:val="1"/>
          <w:iCs w:val="1"/>
          <w:color w:val="auto"/>
        </w:rPr>
        <w:t>Other Assets and Deferred Costs: Contracts with Customers</w:t>
      </w:r>
      <w:r>
        <w:rPr>
          <w:rFonts w:ascii="Times New Roman" w:cs="Times New Roman" w:eastAsia="Times New Roman" w:hAnsi="Times New Roman"/>
          <w:sz w:val="18"/>
          <w:szCs w:val="18"/>
          <w:color w:val="auto"/>
        </w:rPr>
        <w:t>. The assets related to costs to fulfill contracts with customers are capitalized and amortized over the period the related performance obligations are satisfied. As of April 30, 2024, the Company’s costs to fulfill were not material. As of April 30, 2023, the Company had no costs to fulfill future performance obligations on contracts considered to be probable of occurrence.</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is measured at the grant date based on the fair value of the award and is recognized as expense over the requisite service period, which is generally the vesting period of the respective award. No compensation cost is ultimately recognized for awards for which employees do not render the requisite service and are forfeited.</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Long-Term Incentive Awards</w:t>
      </w:r>
    </w:p>
    <w:p>
      <w:pPr>
        <w:spacing w:after="0" w:line="216" w:lineRule="exact"/>
        <w:rPr>
          <w:sz w:val="20"/>
          <w:szCs w:val="20"/>
          <w:color w:val="auto"/>
        </w:rPr>
      </w:pPr>
    </w:p>
    <w:p>
      <w:pPr>
        <w:ind w:left="40" w:right="359" w:firstLine="648"/>
        <w:spacing w:after="0" w:line="258" w:lineRule="auto"/>
        <w:rPr>
          <w:sz w:val="20"/>
          <w:szCs w:val="20"/>
          <w:color w:val="auto"/>
        </w:rPr>
      </w:pPr>
      <w:r>
        <w:rPr>
          <w:rFonts w:ascii="Times New Roman" w:cs="Times New Roman" w:eastAsia="Times New Roman" w:hAnsi="Times New Roman"/>
          <w:sz w:val="18"/>
          <w:szCs w:val="18"/>
          <w:color w:val="auto"/>
        </w:rPr>
        <w:t>For long-term incentive awards outstanding as of April 30, 2024, the awards include time-based awards which vest equally over three years and performance-based awards which vest based on the achievement of a target payout established at the beginning of each performance period. The actual payout at the end of the performance period is calculated based upon the Company’s achievement of such targets. Payouts are made in shares of restricted stock which become immediately vested upon issuance.</w:t>
      </w:r>
    </w:p>
    <w:p>
      <w:pPr>
        <w:spacing w:after="0" w:line="183"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16" w:lineRule="exact"/>
        <w:rPr>
          <w:sz w:val="20"/>
          <w:szCs w:val="20"/>
          <w:color w:val="auto"/>
        </w:rPr>
      </w:pPr>
    </w:p>
    <w:p>
      <w:pPr>
        <w:ind w:left="40" w:right="79" w:firstLine="648"/>
        <w:spacing w:after="0" w:line="266" w:lineRule="auto"/>
        <w:rPr>
          <w:sz w:val="20"/>
          <w:szCs w:val="20"/>
          <w:color w:val="auto"/>
        </w:rPr>
      </w:pPr>
      <w:r>
        <w:rPr>
          <w:rFonts w:ascii="Times New Roman" w:cs="Times New Roman" w:eastAsia="Times New Roman" w:hAnsi="Times New Roman"/>
          <w:sz w:val="18"/>
          <w:szCs w:val="18"/>
          <w:color w:val="auto"/>
        </w:rPr>
        <w:t>Internally funded R&amp;D costs sponsored by the Company relate to both U.S. government products and services and those for commercial and foreign customers. Internally funded R&amp;D costs for the Company are recoverable and allocable under government contracts in accordance with U.S. government procurement regulations.</w:t>
      </w:r>
    </w:p>
    <w:p>
      <w:pPr>
        <w:spacing w:after="0" w:line="176" w:lineRule="exact"/>
        <w:rPr>
          <w:sz w:val="20"/>
          <w:szCs w:val="20"/>
          <w:color w:val="auto"/>
        </w:rPr>
      </w:pPr>
    </w:p>
    <w:p>
      <w:pPr>
        <w:ind w:left="40" w:right="79" w:firstLine="648"/>
        <w:spacing w:after="0" w:line="274" w:lineRule="auto"/>
        <w:rPr>
          <w:sz w:val="20"/>
          <w:szCs w:val="20"/>
          <w:color w:val="auto"/>
        </w:rPr>
      </w:pPr>
      <w:r>
        <w:rPr>
          <w:rFonts w:ascii="Times New Roman" w:cs="Times New Roman" w:eastAsia="Times New Roman" w:hAnsi="Times New Roman"/>
          <w:sz w:val="17"/>
          <w:szCs w:val="17"/>
          <w:color w:val="auto"/>
        </w:rPr>
        <w:t>Customer-funded R&amp;D costs are incurred pursuant to contracts (revenue arrangements) to perform research and development activities according to customer specifications. These costs are direct contract costs and are expensed to cost of sales when the corresponding revenue is recognized, which is generally as the research and development services are performed. Revenue from customer-funded R&amp;D was approximately $82,104,000, $97,880,000 and $84,247,000 for the years ended April 30, 2024, 2023 and 2022, respectively. The related cost of sales for customer-funded R&amp;D totaled approximately $62,181,000, $70,711,000 and $59,054,000 for the years ended April 30, 2024, 2023 and 2022,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Lease Accounting</w:t>
      </w:r>
    </w:p>
    <w:p>
      <w:pPr>
        <w:spacing w:after="0" w:line="216" w:lineRule="exact"/>
        <w:rPr>
          <w:sz w:val="20"/>
          <w:szCs w:val="20"/>
          <w:color w:val="auto"/>
        </w:rPr>
      </w:pPr>
    </w:p>
    <w:p>
      <w:pPr>
        <w:ind w:left="40" w:right="199" w:firstLine="648"/>
        <w:spacing w:after="0" w:line="261" w:lineRule="auto"/>
        <w:rPr>
          <w:sz w:val="20"/>
          <w:szCs w:val="20"/>
          <w:color w:val="auto"/>
        </w:rPr>
      </w:pPr>
      <w:r>
        <w:rPr>
          <w:rFonts w:ascii="Times New Roman" w:cs="Times New Roman" w:eastAsia="Times New Roman" w:hAnsi="Times New Roman"/>
          <w:sz w:val="18"/>
          <w:szCs w:val="18"/>
          <w:color w:val="auto"/>
        </w:rPr>
        <w:t>The Company leases certain buildings, land and equipment.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w:t>
      </w:r>
    </w:p>
    <w:p>
      <w:pPr>
        <w:spacing w:after="0" w:line="180"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seven years, some of which may include options to extend the lease for up to nine years, and some of which may include options to terminate the lease after three years. If the Company determines the option to extend or terminate is reasonably certain, it is included in the determination of lease assets and liabilities. For operating leases, the Company recognizes lease expense for these leases on a straight-line basis over the lease term.</w:t>
      </w:r>
    </w:p>
    <w:p>
      <w:pPr>
        <w:spacing w:after="0" w:line="188"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189" w:lineRule="exact"/>
        <w:rPr>
          <w:sz w:val="20"/>
          <w:szCs w:val="20"/>
          <w:color w:val="auto"/>
        </w:rPr>
      </w:pPr>
    </w:p>
    <w:p>
      <w:pPr>
        <w:ind w:left="40" w:right="719"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have any material restrictions or covenants in its lease agreements, sale-leaseback transactions, land easements or residual value guarantees.</w:t>
      </w:r>
    </w:p>
    <w:p>
      <w:pPr>
        <w:spacing w:after="0" w:line="162" w:lineRule="exact"/>
        <w:rPr>
          <w:sz w:val="20"/>
          <w:szCs w:val="20"/>
          <w:color w:val="auto"/>
        </w:rPr>
      </w:pPr>
    </w:p>
    <w:p>
      <w:pPr>
        <w:jc w:val="both"/>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ind w:left="40" w:right="759" w:firstLine="648"/>
        <w:spacing w:after="0" w:line="312" w:lineRule="auto"/>
        <w:rPr>
          <w:sz w:val="20"/>
          <w:szCs w:val="20"/>
          <w:color w:val="auto"/>
        </w:rPr>
      </w:pPr>
      <w:r>
        <w:rPr>
          <w:rFonts w:ascii="Times New Roman" w:cs="Times New Roman" w:eastAsia="Times New Roman" w:hAnsi="Times New Roman"/>
          <w:sz w:val="17"/>
          <w:szCs w:val="17"/>
          <w:color w:val="auto"/>
        </w:rPr>
        <w:t>Advertising costs are expensed as incurred. Advertising expenses included in SG&amp;A expenses were approximately $457,000, $494,000 and $451,000 for the years ended April 30, 2024, 2023 and 2022, respectively.</w:t>
      </w:r>
    </w:p>
    <w:p>
      <w:pPr>
        <w:spacing w:after="0" w:line="1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Foreign Currency Transactions</w:t>
      </w:r>
    </w:p>
    <w:p>
      <w:pPr>
        <w:spacing w:after="0" w:line="229" w:lineRule="exact"/>
        <w:rPr>
          <w:sz w:val="20"/>
          <w:szCs w:val="20"/>
          <w:color w:val="auto"/>
        </w:rPr>
      </w:pPr>
    </w:p>
    <w:p>
      <w:pPr>
        <w:ind w:left="40" w:right="219" w:firstLine="648"/>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and losses are charged or credited to earnings as incurred. For the fiscal years ended April 30, 2024, 2023 and 2022, foreign currency transaction losses that are included in other expense, net in the accompanying consolidated statements of income (loss) were $22,000, $119,000, and $242,000, respectively.</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229" w:lineRule="exact"/>
        <w:rPr>
          <w:sz w:val="20"/>
          <w:szCs w:val="20"/>
          <w:color w:val="auto"/>
        </w:rPr>
      </w:pPr>
    </w:p>
    <w:p>
      <w:pPr>
        <w:jc w:val="both"/>
        <w:ind w:left="40" w:right="219" w:firstLine="648"/>
        <w:spacing w:after="0" w:line="266" w:lineRule="auto"/>
        <w:rPr>
          <w:sz w:val="20"/>
          <w:szCs w:val="20"/>
          <w:color w:val="auto"/>
        </w:rPr>
      </w:pPr>
      <w:r>
        <w:rPr>
          <w:rFonts w:ascii="Times New Roman" w:cs="Times New Roman" w:eastAsia="Times New Roman" w:hAnsi="Times New Roman"/>
          <w:sz w:val="18"/>
          <w:szCs w:val="18"/>
          <w:color w:val="auto"/>
        </w:rPr>
        <w:t>Basic earnings (loss) per share are computed using the weighted-average number of common shares outstanding and excludes any anti-dilutive effects of options, restricted stock and restricted stock units. The dilutive effect of potential common shares outstanding is included in diluted earnings (loss) per share.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reconciliation of diluted to basic shares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320" w:type="dxa"/>
            <w:vAlign w:val="bottom"/>
            <w:gridSpan w:val="2"/>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040" w:type="dxa"/>
            <w:vAlign w:val="bottom"/>
            <w:gridSpan w:val="2"/>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AeroVironment, Inc.</w:t>
            </w: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$ 59,666,000</w:t>
            </w: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(176,212,000)</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(4,188,000)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Denominator for basic earnings per share:</w:t>
            </w: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27,203,417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25,044,881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24,685,534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Dilutive effect of employee stock options, restricted stock and</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124,576</w:t>
            </w:r>
          </w:p>
        </w:tc>
        <w:tc>
          <w:tcPr>
            <w:tcW w:w="1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27,327,993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25,044,881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24,685,534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79" w:firstLine="648"/>
        <w:spacing w:after="0" w:line="255" w:lineRule="auto"/>
        <w:rPr>
          <w:sz w:val="20"/>
          <w:szCs w:val="20"/>
          <w:color w:val="auto"/>
        </w:rPr>
      </w:pPr>
      <w:r>
        <w:rPr>
          <w:rFonts w:ascii="Times New Roman" w:cs="Times New Roman" w:eastAsia="Times New Roman" w:hAnsi="Times New Roman"/>
          <w:sz w:val="18"/>
          <w:szCs w:val="18"/>
          <w:color w:val="auto"/>
        </w:rPr>
        <w:t>During the years ended April 30, 2024, 2023 and 2022, certain options, shares of restricted stock and restricted stock units were not included in the computation of diluted earnings per share because their inclusion would have been anti-dilutive. Due to the net loss for the fiscal years ended April 30, 2023 and 2022, no shares reserved for issuance upon exercise of stock options or shares of unvested restricted stock were included in the computation of diluted loss per share as their inclusion would have been anti-dilutive. The number of options, restricted stock and restricted stock units which met this anti-dilutive criterion was approximately 1,000, 146,000 and 224,000 for the years ended April 30, 2024, 2023 and 2022, respectively.</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7" w:lineRule="exact"/>
        <w:rPr>
          <w:sz w:val="20"/>
          <w:szCs w:val="20"/>
          <w:color w:val="auto"/>
        </w:rPr>
      </w:pPr>
    </w:p>
    <w:p>
      <w:pPr>
        <w:ind w:left="40" w:right="139"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 Disclosures </w:t>
      </w:r>
      <w:r>
        <w:rPr>
          <w:rFonts w:ascii="Times New Roman" w:cs="Times New Roman" w:eastAsia="Times New Roman" w:hAnsi="Times New Roman"/>
          <w:sz w:val="18"/>
          <w:szCs w:val="18"/>
          <w:color w:val="auto"/>
        </w:rPr>
        <w:t>(“ASU 2023-07”). ASU 2023-07 improves reportable segment disclosure requirements,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enhanced disclosures about significant segment expenses reported to the CODM. ASU 2023-07 also requires all segment profit or loss and assets disclosures to be provided on an annual and interim basis. The new standard is effective for fiscal years beginning after December 15, 2023 and interim periods within fiscal years beginning after December 15, 2024, with early adoption permitted. ASU 2023-07 is adopted retrospectively. The Company is evaluating the potential impact of this adoption on its disclosures.</w:t>
      </w:r>
    </w:p>
    <w:p>
      <w:pPr>
        <w:spacing w:after="0" w:line="183" w:lineRule="exact"/>
        <w:rPr>
          <w:sz w:val="20"/>
          <w:szCs w:val="20"/>
          <w:color w:val="auto"/>
        </w:rPr>
      </w:pPr>
    </w:p>
    <w:p>
      <w:pPr>
        <w:ind w:left="40" w:right="319" w:firstLine="648"/>
        <w:spacing w:after="0" w:line="277"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Disclosures </w:t>
      </w:r>
      <w:r>
        <w:rPr>
          <w:rFonts w:ascii="Times New Roman" w:cs="Times New Roman" w:eastAsia="Times New Roman" w:hAnsi="Times New Roman"/>
          <w:sz w:val="17"/>
          <w:szCs w:val="17"/>
          <w:color w:val="auto"/>
        </w:rPr>
        <w:t>(“ASU 2023-09”). ASU 2023-09 requires updates to the rate reconciliation, income taxes paid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disclosures. The new standard is effective for fiscal years beginning after December 15, 2024 and interim periods within fiscal years beginning after December 15, 2025, with early adoption permitted. ASU 2023-09 is adopted retrospectively. The Company is evaluating the potential impact of this adoption on its consolidated financial statements.</w:t>
      </w:r>
    </w:p>
    <w:p>
      <w:pPr>
        <w:spacing w:after="0" w:line="200" w:lineRule="exact"/>
        <w:rPr>
          <w:sz w:val="20"/>
          <w:szCs w:val="20"/>
          <w:color w:val="auto"/>
        </w:rPr>
      </w:pPr>
    </w:p>
    <w:p>
      <w:pPr>
        <w:spacing w:after="0" w:line="39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55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5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Investments consist of the following:</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80" w:type="dxa"/>
            <w:vAlign w:val="bottom"/>
            <w:tcBorders>
              <w:bottom w:val="single" w:sz="8" w:color="auto"/>
            </w:tcBorders>
          </w:tcPr>
          <w:p>
            <w:pPr>
              <w:spacing w:after="0"/>
              <w:rPr>
                <w:sz w:val="24"/>
                <w:szCs w:val="24"/>
                <w:color w:val="auto"/>
              </w:rPr>
            </w:pPr>
          </w:p>
        </w:tc>
      </w:tr>
      <w:tr>
        <w:trPr>
          <w:trHeight w:val="142"/>
        </w:trPr>
        <w:tc>
          <w:tcPr>
            <w:tcW w:w="180" w:type="dxa"/>
            <w:vAlign w:val="bottom"/>
            <w:tcBorders>
              <w:bottom w:val="single" w:sz="8" w:color="CCEEFF"/>
            </w:tcBorders>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securities and warrants</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r>
      <w:tr>
        <w:trPr>
          <w:trHeight w:val="209"/>
        </w:trPr>
        <w:tc>
          <w:tcPr>
            <w:tcW w:w="18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long-term available-for-sale securities investments</w:t>
            </w:r>
          </w:p>
        </w:tc>
        <w:tc>
          <w:tcPr>
            <w:tcW w:w="12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w:t>
            </w:r>
          </w:p>
        </w:tc>
      </w:tr>
      <w:tr>
        <w:trPr>
          <w:trHeight w:val="216"/>
        </w:trPr>
        <w:tc>
          <w:tcPr>
            <w:tcW w:w="180" w:type="dxa"/>
            <w:vAlign w:val="bottom"/>
            <w:shd w:val="clear" w:color="auto" w:fill="CCEEFF"/>
          </w:tcPr>
          <w:p>
            <w:pPr>
              <w:spacing w:after="0"/>
              <w:rPr>
                <w:sz w:val="18"/>
                <w:szCs w:val="18"/>
                <w:color w:val="auto"/>
              </w:rPr>
            </w:pPr>
          </w:p>
        </w:tc>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Investments in limited partnership funds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19,933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18,644</w:t>
            </w:r>
          </w:p>
        </w:tc>
      </w:tr>
      <w:tr>
        <w:trPr>
          <w:trHeight w:val="210"/>
        </w:trPr>
        <w:tc>
          <w:tcPr>
            <w:tcW w:w="18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1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18,644</w:t>
            </w:r>
          </w:p>
        </w:tc>
      </w:tr>
      <w:tr>
        <w:trPr>
          <w:trHeight w:val="210"/>
        </w:trPr>
        <w:tc>
          <w:tcPr>
            <w:tcW w:w="180" w:type="dxa"/>
            <w:vAlign w:val="bottom"/>
          </w:tcPr>
          <w:p>
            <w:pPr>
              <w:spacing w:after="0"/>
              <w:rPr>
                <w:sz w:val="18"/>
                <w:szCs w:val="18"/>
                <w:color w:val="auto"/>
              </w:rPr>
            </w:pPr>
          </w:p>
        </w:tc>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2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20,960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23,613</w:t>
            </w:r>
          </w:p>
        </w:tc>
      </w:tr>
      <w:tr>
        <w:trPr>
          <w:trHeight w:val="20"/>
        </w:trPr>
        <w:tc>
          <w:tcPr>
            <w:tcW w:w="1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229" w:lineRule="exact"/>
        <w:rPr>
          <w:sz w:val="20"/>
          <w:szCs w:val="20"/>
          <w:color w:val="auto"/>
        </w:rPr>
      </w:pPr>
    </w:p>
    <w:p>
      <w:pPr>
        <w:ind w:left="40" w:right="799"/>
        <w:spacing w:after="0" w:line="282" w:lineRule="auto"/>
        <w:rPr>
          <w:sz w:val="20"/>
          <w:szCs w:val="20"/>
          <w:color w:val="auto"/>
        </w:rPr>
      </w:pPr>
      <w:r>
        <w:rPr>
          <w:rFonts w:ascii="Times New Roman" w:cs="Times New Roman" w:eastAsia="Times New Roman" w:hAnsi="Times New Roman"/>
          <w:sz w:val="18"/>
          <w:szCs w:val="18"/>
          <w:color w:val="auto"/>
        </w:rPr>
        <w:t>Equity securities and warrants are measured at fair value with net unrealized losses from changes in the fair value recognized in other expense, net.</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47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losses recognized during the period on equity securities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98"/>
        </w:trPr>
        <w:tc>
          <w:tcPr>
            <w:tcW w:w="4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loss recognized during the period on equity securities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sold during the period</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47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Unrealized loss recognized during the period on equity</w:t>
            </w:r>
          </w:p>
        </w:tc>
        <w:tc>
          <w:tcPr>
            <w:tcW w:w="38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48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1"/>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still held at the reporting date</w:t>
            </w:r>
          </w:p>
        </w:tc>
        <w:tc>
          <w:tcPr>
            <w:tcW w:w="380" w:type="dxa"/>
            <w:vAlign w:val="bottom"/>
            <w:gridSpan w:val="2"/>
            <w:vMerge w:val="continue"/>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80" w:hanging="636"/>
        <w:spacing w:after="0"/>
        <w:tabs>
          <w:tab w:leader="none" w:pos="6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40" w:right="99" w:firstLine="648"/>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76" w:lineRule="exact"/>
        <w:rPr>
          <w:sz w:val="20"/>
          <w:szCs w:val="20"/>
          <w:color w:val="auto"/>
        </w:rPr>
      </w:pPr>
    </w:p>
    <w:p>
      <w:pPr>
        <w:ind w:left="1040" w:right="339" w:hanging="321"/>
        <w:spacing w:after="0" w:line="282"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based upon quoted prices (unadjusted) for identical assets or liabilities in active markets that are accessible as of the measurement date.</w:t>
      </w:r>
    </w:p>
    <w:p>
      <w:pPr>
        <w:spacing w:after="0" w:line="161" w:lineRule="exact"/>
        <w:rPr>
          <w:rFonts w:ascii="Times New Roman" w:cs="Times New Roman" w:eastAsia="Times New Roman" w:hAnsi="Times New Roman"/>
          <w:sz w:val="18"/>
          <w:szCs w:val="18"/>
          <w:color w:val="auto"/>
        </w:rPr>
      </w:pPr>
    </w:p>
    <w:p>
      <w:pPr>
        <w:ind w:left="1040" w:right="99" w:hanging="321"/>
        <w:spacing w:after="0" w:line="266"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75"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that are unobservable inputs for the asset or liability.</w:t>
      </w:r>
    </w:p>
    <w:p>
      <w:pPr>
        <w:spacing w:after="0" w:line="225" w:lineRule="exact"/>
        <w:rPr>
          <w:sz w:val="20"/>
          <w:szCs w:val="20"/>
          <w:color w:val="auto"/>
        </w:rPr>
      </w:pPr>
    </w:p>
    <w:p>
      <w:pPr>
        <w:ind w:left="40" w:right="199" w:firstLine="648"/>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April 30, 2024,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80" w:type="dxa"/>
            <w:vAlign w:val="bottom"/>
            <w:gridSpan w:val="3"/>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had no financial liabilities measured at fair value on a recurring basis at April 30, 2024.</w:t>
      </w:r>
    </w:p>
    <w:p>
      <w:pPr>
        <w:spacing w:after="0" w:line="225" w:lineRule="exact"/>
        <w:rPr>
          <w:sz w:val="20"/>
          <w:szCs w:val="20"/>
          <w:color w:val="auto"/>
        </w:rPr>
      </w:pPr>
    </w:p>
    <w:p>
      <w:pPr>
        <w:ind w:left="40" w:right="199" w:firstLine="648"/>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April 30, 2023,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7"/>
          </w:tcPr>
          <w:p>
            <w:pPr>
              <w:ind w:left="84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80" w:type="dxa"/>
            <w:vAlign w:val="bottom"/>
            <w:gridSpan w:val="3"/>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 w:right="199" w:firstLine="648"/>
        <w:spacing w:after="0" w:line="282" w:lineRule="auto"/>
        <w:rPr>
          <w:sz w:val="20"/>
          <w:szCs w:val="20"/>
          <w:color w:val="auto"/>
        </w:rPr>
      </w:pPr>
      <w:r>
        <w:rPr>
          <w:rFonts w:ascii="Times New Roman" w:cs="Times New Roman" w:eastAsia="Times New Roman" w:hAnsi="Times New Roman"/>
          <w:sz w:val="18"/>
          <w:szCs w:val="18"/>
          <w:color w:val="auto"/>
        </w:rPr>
        <w:t>The Company’s financial liabilities measured at fair value on a recurring basis at April 30, 2023, were as follows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8"/>
          </w:tcPr>
          <w:p>
            <w:pPr>
              <w:ind w:left="82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27"/>
        </w:trPr>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9"/>
                <w:szCs w:val="19"/>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9"/>
                <w:szCs w:val="19"/>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1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2"/>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40" w:type="dxa"/>
            <w:vAlign w:val="bottom"/>
            <w:tcBorders>
              <w:top w:val="single" w:sz="8" w:color="CCEEFF"/>
            </w:tcBorders>
            <w:shd w:val="clear" w:color="auto" w:fill="CCEEFF"/>
          </w:tcPr>
          <w:p>
            <w:pPr>
              <w:spacing w:after="0"/>
              <w:rPr>
                <w:sz w:val="18"/>
                <w:szCs w:val="18"/>
                <w:color w:val="auto"/>
              </w:rPr>
            </w:pPr>
          </w:p>
        </w:tc>
      </w:tr>
      <w:tr>
        <w:trPr>
          <w:trHeight w:val="20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4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the beginning and ending balances of items measured at fair value on a recurring basis that used significant unobservable inputs (Level 3)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8"/>
        </w:trPr>
        <w:tc>
          <w:tcPr>
            <w:tcW w:w="7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Measurements Using</w:t>
            </w:r>
          </w:p>
        </w:tc>
        <w:tc>
          <w:tcPr>
            <w:tcW w:w="0" w:type="dxa"/>
            <w:vAlign w:val="bottom"/>
          </w:tcPr>
          <w:p>
            <w:pPr>
              <w:spacing w:after="0"/>
              <w:rPr>
                <w:sz w:val="1"/>
                <w:szCs w:val="1"/>
                <w:color w:val="auto"/>
              </w:rPr>
            </w:pPr>
          </w:p>
        </w:tc>
      </w:tr>
      <w:tr>
        <w:trPr>
          <w:trHeight w:val="148"/>
        </w:trPr>
        <w:tc>
          <w:tcPr>
            <w:tcW w:w="7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7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48"/>
        </w:trPr>
        <w:tc>
          <w:tcPr>
            <w:tcW w:w="7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173"/>
        </w:trPr>
        <w:tc>
          <w:tcPr>
            <w:tcW w:w="7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7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1, 2023</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Business acquisition</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Transfers to Level 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Total fair value measurement adjustments (realized or unrealized)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Included in selling, general and administrative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2024</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The amount of total (gains) or losses for the period included in earnings attributable to the change</w:t>
            </w: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1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 unrealized gains or losses relating to assets or liabilities still held at April 30, 2024</w:t>
            </w:r>
          </w:p>
        </w:tc>
        <w:tc>
          <w:tcPr>
            <w:tcW w:w="4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Pursuant to the Telerob Purchase Agreement, the Telerob Sellers were eligible to receive up to a maximum of</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€6,000,000 (approximately $6,418,000) in additional cash consideration if specific revenue and contract award targets for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Telerob were achieved during the 36 month period after closing. The contingent consideration was valued using a Black-</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Scholes option-pricing model. The analysis considered, among other items, contractual terms of the Telerob Purchase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Agreement, the Company’s discount rate, the timing of expected future cash flows and the probability that the revenue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contract award targets required for payment of the contingent consideration will be achieved. The first year earnout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€2,000,000 (approximately $2,139,000) was not achieved. During the fiscal year ended April 30, 2023, the second year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earnout of €2,000,000 (approximately $2,132,000) was achieved and was paid in November 2023. The third earnout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€2,000,000 (approximately $2,139,000) was not achieved. Refer to Note 21—Business Acquisitions.</w:t>
      </w:r>
    </w:p>
    <w:p>
      <w:pPr>
        <w:spacing w:after="0" w:line="207"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Pursuant to the ISG Purchase Agreement, the sellers could receive up to a maximum of $6,000,000 in additional cash consideration (“contingent consideration”), if certain revenue targets were achieved during the three years following closing. The contingent consideration was valued using a Black-Scholes option-pricing model. The analysis considered, among other items, contractual terms of the ISG Purchase Agreement, the Company’s discount rate, the timing of expected future cash flows and the probability that the revenue targets required for payment of the contingent consideration will be achieved. During the fiscal year ended April 30, 2022, the targets for the first and second year were achieved, and during the fiscal year ended April 30, 2023, the target for the third year was achieved. The consideration was held and released from an escrow account not controlled by the Company and, therefore, not recorded on the consolidated balance sheets. The related consideration of $2,000,000 for the first year target was released from the escrow account during the fiscal year ended April 30, 2022. The related consideration of $2,000,000 for both the second and third year targets were released from the escrow account during the fiscal year ended April 30,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On September 12, 2022, the Company invested $5,000,000 and acquired 500,000 shares and 500,000 privately placed, redeemable warrants of Amprius Technologies, Inc. The privately placed, redeemable warrants have an exercise price of $12.50 and redemption price of $20.00. The Company measures the fair value of the privately placed, redeemable warrants using the quoted market price of the public warrants which have an exercise price of $11.50 and a redemption price of $18.00 and classifies the warrants as a level 2 fair value measurement.</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September 9, 2022, the Company acquired 10,000 shares of Nauticus Robotics, Inc. for $100,000</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80" w:hanging="636"/>
        <w:spacing w:after="0"/>
        <w:tabs>
          <w:tab w:leader="none" w:pos="6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 net</w:t>
      </w:r>
    </w:p>
    <w:p>
      <w:pPr>
        <w:spacing w:after="0" w:line="22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consist of the following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28"/>
        </w:trPr>
        <w:tc>
          <w:tcPr>
            <w:tcW w:w="51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5"/>
          </w:tcPr>
          <w:p>
            <w:pPr>
              <w:jc w:val="right"/>
              <w:ind w:right="39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57,218</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67,775</w:t>
            </w:r>
          </w:p>
        </w:tc>
        <w:tc>
          <w:tcPr>
            <w:tcW w:w="12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43,276</w:t>
            </w:r>
          </w:p>
        </w:tc>
        <w:tc>
          <w:tcPr>
            <w:tcW w:w="12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42,968</w:t>
            </w:r>
          </w:p>
        </w:tc>
        <w:tc>
          <w:tcPr>
            <w:tcW w:w="120" w:type="dxa"/>
            <w:vAlign w:val="bottom"/>
            <w:shd w:val="clear" w:color="auto" w:fill="CCEEFF"/>
          </w:tcPr>
          <w:p>
            <w:pPr>
              <w:spacing w:after="0"/>
              <w:rPr>
                <w:sz w:val="18"/>
                <w:szCs w:val="18"/>
                <w:color w:val="auto"/>
              </w:rPr>
            </w:pPr>
          </w:p>
        </w:tc>
      </w:tr>
      <w:tr>
        <w:trPr>
          <w:trHeight w:val="20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gross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176,068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154,019</w:t>
            </w:r>
          </w:p>
        </w:tc>
        <w:tc>
          <w:tcPr>
            <w:tcW w:w="12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inventory excess and obsolescence</w:t>
            </w:r>
          </w:p>
        </w:tc>
        <w:tc>
          <w:tcPr>
            <w:tcW w:w="1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120" w:type="dxa"/>
            <w:vAlign w:val="bottom"/>
            <w:shd w:val="clear" w:color="auto" w:fill="CCEEFF"/>
          </w:tcPr>
          <w:p>
            <w:pPr>
              <w:spacing w:after="0"/>
              <w:rPr>
                <w:sz w:val="18"/>
                <w:szCs w:val="18"/>
                <w:color w:val="auto"/>
              </w:rPr>
            </w:pPr>
          </w:p>
        </w:tc>
      </w:tr>
      <w:tr>
        <w:trPr>
          <w:trHeight w:val="21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7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150,168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138,814</w:t>
            </w:r>
          </w:p>
        </w:tc>
        <w:tc>
          <w:tcPr>
            <w:tcW w:w="12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399" w:firstLine="648"/>
        <w:spacing w:after="0" w:line="282" w:lineRule="auto"/>
        <w:rPr>
          <w:sz w:val="20"/>
          <w:szCs w:val="20"/>
          <w:color w:val="auto"/>
        </w:rPr>
      </w:pPr>
      <w:r>
        <w:rPr>
          <w:rFonts w:ascii="Times New Roman" w:cs="Times New Roman" w:eastAsia="Times New Roman" w:hAnsi="Times New Roman"/>
          <w:sz w:val="18"/>
          <w:szCs w:val="18"/>
          <w:color w:val="auto"/>
        </w:rPr>
        <w:t>For the fiscal years ended April 30, 2024, 2023 and 2022, the Company recorded inventory reserve charges of $13,937,000, $8,136,000 and $2,271,000, respectively.</w:t>
      </w:r>
    </w:p>
    <w:p>
      <w:pPr>
        <w:spacing w:after="0" w:line="158" w:lineRule="exact"/>
        <w:rPr>
          <w:sz w:val="20"/>
          <w:szCs w:val="20"/>
          <w:color w:val="auto"/>
        </w:rPr>
      </w:pPr>
    </w:p>
    <w:p>
      <w:pPr>
        <w:ind w:left="680" w:hanging="636"/>
        <w:spacing w:after="0"/>
        <w:tabs>
          <w:tab w:leader="none" w:pos="6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Intangibles, net</w:t>
      </w:r>
    </w:p>
    <w:p>
      <w:pPr>
        <w:spacing w:after="0" w:line="22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intangibles are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4760" w:type="dxa"/>
            <w:vAlign w:val="bottom"/>
            <w:tcBorders>
              <w:bottom w:val="single" w:sz="8" w:color="CCEEFF"/>
            </w:tcBorders>
          </w:tcPr>
          <w:p>
            <w:pPr>
              <w:spacing w:after="0"/>
              <w:rPr>
                <w:sz w:val="15"/>
                <w:szCs w:val="15"/>
                <w:color w:val="auto"/>
              </w:rPr>
            </w:pPr>
          </w:p>
        </w:tc>
        <w:tc>
          <w:tcPr>
            <w:tcW w:w="2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60,817</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72,645</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tradenames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tcPr>
          <w:p>
            <w:pPr>
              <w:spacing w:after="0"/>
              <w:rPr>
                <w:sz w:val="18"/>
                <w:szCs w:val="18"/>
                <w:color w:val="auto"/>
              </w:rPr>
            </w:pPr>
          </w:p>
        </w:tc>
      </w:tr>
      <w:tr>
        <w:trPr>
          <w:trHeight w:val="21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gross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138,453</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(112,624)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(94,876)</w:t>
            </w:r>
          </w:p>
        </w:tc>
        <w:tc>
          <w:tcPr>
            <w:tcW w:w="100" w:type="dxa"/>
            <w:vAlign w:val="bottom"/>
            <w:tcBorders>
              <w:bottom w:val="single" w:sz="8" w:color="CCEEFF"/>
            </w:tcBorders>
          </w:tcPr>
          <w:p>
            <w:pPr>
              <w:spacing w:after="0"/>
              <w:rPr>
                <w:sz w:val="18"/>
                <w:szCs w:val="18"/>
                <w:color w:val="auto"/>
              </w:rPr>
            </w:pPr>
          </w:p>
        </w:tc>
      </w:tr>
      <w:tr>
        <w:trPr>
          <w:trHeight w:val="209"/>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tests identifiable intangible assets and goodwill for impairment in the fourth quarter of each fiscal</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year unless there are interim indicators that suggest that it is more likely than not that either the identifiable intangible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assets or goodwill may be impaired. The weighted average amortization period at April 30, 2024 and 2023 was three years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 four years, respectively. Amortization expense for the years ended April 30, 2024, 2023 and 2022 was $17,954,000,</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$58,121,000 and $26,558,000, respectively. Due to the closure of all of the Company’s MUAS COCO sites during the three</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months ended April 30, 2023, we revised the estimated useful life for MUAS customer relationships which resulted in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accelerated intangible amortization expenses of $34,149,000 during the fiscal year ended April 30, 2023. Additionally, in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conjunction with the goodwill impairment test performed during the year ended April 30,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279"/>
        <w:spacing w:after="0" w:line="266" w:lineRule="auto"/>
        <w:rPr>
          <w:sz w:val="20"/>
          <w:szCs w:val="20"/>
          <w:color w:val="auto"/>
        </w:rPr>
      </w:pPr>
      <w:r>
        <w:rPr>
          <w:rFonts w:ascii="Times New Roman" w:cs="Times New Roman" w:eastAsia="Times New Roman" w:hAnsi="Times New Roman"/>
          <w:sz w:val="18"/>
          <w:szCs w:val="18"/>
          <w:color w:val="auto"/>
        </w:rPr>
        <w:t>the remaining intangibles in the MUAS reporting unit were tested for recoverability. The asset recoverability test did not result in an impairment for the remaining intangibles in the MUAS reporting unit. Refer to Note 6—Goodwill for further details.</w:t>
      </w:r>
    </w:p>
    <w:p>
      <w:pPr>
        <w:spacing w:after="0" w:line="176" w:lineRule="exact"/>
        <w:rPr>
          <w:sz w:val="20"/>
          <w:szCs w:val="20"/>
          <w:color w:val="auto"/>
        </w:rPr>
      </w:pPr>
    </w:p>
    <w:p>
      <w:pPr>
        <w:ind w:left="40" w:right="119" w:firstLine="648"/>
        <w:spacing w:after="0" w:line="258" w:lineRule="auto"/>
        <w:rPr>
          <w:sz w:val="20"/>
          <w:szCs w:val="20"/>
          <w:color w:val="auto"/>
        </w:rPr>
      </w:pPr>
      <w:r>
        <w:rPr>
          <w:rFonts w:ascii="Times New Roman" w:cs="Times New Roman" w:eastAsia="Times New Roman" w:hAnsi="Times New Roman"/>
          <w:sz w:val="18"/>
          <w:szCs w:val="18"/>
          <w:color w:val="auto"/>
        </w:rPr>
        <w:t>Technology, customer relationship and tradename intangibles were recognized in conjunction with the Company’s acquisition of Tomahawk on September 15, 2023. Technology and backlog intangible assets were recognized in conjunction with the Company’s acquisition of Planck on August 17, 2022. Technology, backlog and customer relationship intangible assets were recognized in conjunction with the Company’s acquisition of Telerob on May 3, 2021. Refer to Note 21—Business Acquisitions for further details.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7380" w:type="dxa"/>
            <w:vAlign w:val="bottom"/>
            <w:gridSpan w:val="3"/>
          </w:tcPr>
          <w:p>
            <w:pPr>
              <w:jc w:val="right"/>
              <w:ind w:right="1184"/>
              <w:spacing w:after="0"/>
              <w:rPr>
                <w:sz w:val="20"/>
                <w:szCs w:val="20"/>
                <w:color w:val="auto"/>
              </w:rPr>
            </w:pPr>
            <w:r>
              <w:rPr>
                <w:rFonts w:ascii="Times New Roman" w:cs="Times New Roman" w:eastAsia="Times New Roman" w:hAnsi="Times New Roman"/>
                <w:sz w:val="18"/>
                <w:szCs w:val="18"/>
                <w:color w:val="auto"/>
              </w:rPr>
              <w:t>Estimated amortization expense for the next five years is as follows (in thousands):</w:t>
            </w: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0" w:type="dxa"/>
            <w:vAlign w:val="bottom"/>
          </w:tcPr>
          <w:p>
            <w:pPr>
              <w:spacing w:after="0"/>
              <w:rPr>
                <w:sz w:val="1"/>
                <w:szCs w:val="1"/>
                <w:color w:val="auto"/>
              </w:rPr>
            </w:pPr>
          </w:p>
        </w:tc>
      </w:tr>
      <w:tr>
        <w:trPr>
          <w:trHeight w:val="137"/>
        </w:trPr>
        <w:tc>
          <w:tcPr>
            <w:tcW w:w="50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209"/>
        </w:trPr>
        <w:tc>
          <w:tcPr>
            <w:tcW w:w="50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4"/>
              </w:rPr>
              <w:t>2025</w:t>
            </w:r>
          </w:p>
        </w:tc>
        <w:tc>
          <w:tcPr>
            <w:tcW w:w="72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4"/>
              </w:rPr>
              <w:t>2026</w:t>
            </w:r>
          </w:p>
        </w:tc>
        <w:tc>
          <w:tcPr>
            <w:tcW w:w="7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4"/>
              </w:rPr>
              <w:t>2027</w:t>
            </w:r>
          </w:p>
        </w:tc>
        <w:tc>
          <w:tcPr>
            <w:tcW w:w="7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4"/>
              </w:rPr>
              <w:t>2028</w:t>
            </w:r>
          </w:p>
        </w:tc>
        <w:tc>
          <w:tcPr>
            <w:tcW w:w="7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4"/>
              </w:rPr>
              <w:t>2029</w:t>
            </w:r>
          </w:p>
        </w:tc>
        <w:tc>
          <w:tcPr>
            <w:tcW w:w="7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 w:type="dxa"/>
            <w:vAlign w:val="bottom"/>
          </w:tcPr>
          <w:p>
            <w:pPr>
              <w:spacing w:after="0"/>
              <w:rPr>
                <w:sz w:val="18"/>
                <w:szCs w:val="18"/>
                <w:color w:val="auto"/>
              </w:rPr>
            </w:pPr>
          </w:p>
        </w:tc>
        <w:tc>
          <w:tcPr>
            <w:tcW w:w="728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80" w:hanging="636"/>
        <w:spacing w:after="0"/>
        <w:tabs>
          <w:tab w:leader="none" w:pos="6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goodwill balance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UxS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LMS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MW</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2023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161,547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180,801</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95,414</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to goodwill</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Balance at April 30, 2024</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256,398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275,652</w:t>
            </w: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26"/>
        </w:trPr>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UxS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LMS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MW</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2022</w:t>
            </w: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315,093</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334,347</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to 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(156,017)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(156,017)</w:t>
            </w:r>
          </w:p>
        </w:tc>
      </w:tr>
      <w:tr>
        <w:trPr>
          <w:trHeight w:val="210"/>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2023</w:t>
            </w: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161,547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180,801</w:t>
            </w:r>
          </w:p>
        </w:tc>
      </w:tr>
      <w:tr>
        <w:trPr>
          <w:trHeight w:val="20"/>
        </w:trPr>
        <w:tc>
          <w:tcPr>
            <w:tcW w:w="5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The addition during the fiscal year ended April 30, 2024 to the UxS segment relates to the Tomahawk Acquisition. The addition during the fiscal year ended April 30, 2023 to the UxS segment relates to the Planck Acquisition. The change to goodwill during the fiscal years ended April 30, 2024 and 2023 in UxS is attributable to the translation of the goodwill related to the Telerob Acquisition, which was recorded in Euros and translated to dollars at each reporting date. Refer to Note 21—Business Acquisitions for further details.</w:t>
      </w:r>
    </w:p>
    <w:p>
      <w:pPr>
        <w:spacing w:after="0" w:line="183" w:lineRule="exact"/>
        <w:rPr>
          <w:sz w:val="20"/>
          <w:szCs w:val="20"/>
          <w:color w:val="auto"/>
        </w:rPr>
      </w:pPr>
    </w:p>
    <w:p>
      <w:pPr>
        <w:ind w:left="40" w:right="259" w:firstLine="648"/>
        <w:spacing w:after="0" w:line="255" w:lineRule="auto"/>
        <w:rPr>
          <w:sz w:val="20"/>
          <w:szCs w:val="20"/>
          <w:color w:val="auto"/>
        </w:rPr>
      </w:pPr>
      <w:r>
        <w:rPr>
          <w:rFonts w:ascii="Times New Roman" w:cs="Times New Roman" w:eastAsia="Times New Roman" w:hAnsi="Times New Roman"/>
          <w:sz w:val="18"/>
          <w:szCs w:val="18"/>
          <w:color w:val="auto"/>
        </w:rPr>
        <w:t>Subsequent to the performance of the Company’s annual goodwill impairment test, in May 2023, a trigger event was identified that indicated that the carrying value of the MUAS reporting unit exceeded its fair value. Specifically, the Company received notification that it was not down selected for a U.S. DoD program of record which resulted in a significant decrease in the projected future cash flows of the MUAS reporting unit. As a result, the Company updated its estimates of long-term future cash flows to reflect lower revenue and EBITDA growth rate expectations used in the valuation of the MUAS reporting unit. These changes in estimates resulted in the recognition of a goodwill impairment charge of $156,017,000 in the MUAS reporting unit.</w:t>
      </w:r>
    </w:p>
    <w:p>
      <w:pPr>
        <w:spacing w:after="0" w:line="189" w:lineRule="exact"/>
        <w:rPr>
          <w:sz w:val="20"/>
          <w:szCs w:val="20"/>
          <w:color w:val="auto"/>
        </w:rPr>
      </w:pPr>
    </w:p>
    <w:p>
      <w:pPr>
        <w:jc w:val="both"/>
        <w:ind w:left="40" w:right="299" w:firstLine="648"/>
        <w:spacing w:after="0" w:line="289" w:lineRule="auto"/>
        <w:rPr>
          <w:sz w:val="20"/>
          <w:szCs w:val="20"/>
          <w:color w:val="auto"/>
        </w:rPr>
      </w:pPr>
      <w:r>
        <w:rPr>
          <w:rFonts w:ascii="Times New Roman" w:cs="Times New Roman" w:eastAsia="Times New Roman" w:hAnsi="Times New Roman"/>
          <w:sz w:val="17"/>
          <w:szCs w:val="17"/>
          <w:color w:val="auto"/>
        </w:rPr>
        <w:t>The estimated fair value of the MUAS reporting unit does not substantially exceed its carrying value due to the impairment recorded during the fourth quarter ended April 30, 2023, resulting in carrying value being equal to estimated fair value. The fair value of the MUAS reporting unit exceeded the carrying value by 10% as of January 28, 2024, the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date of the most recent annual goodwill impairment test. Fair value determinations utilized in the quantitative goodwill impairment test require considerable judgment and are sensitive to changes in underlying assumptions, estimates, and market factors. Estimating the fair value of individual reporting units requires us to make assumptions and estimates regarding future plans, as well as industry, economic, and regulatory conditions. These assumptions and estimates include estimated future annual net cash flows, income tax rates, discount rates, growth rates, and other market factors. Estimated future annual net cash flows based in part upon the Company’s ability to obtain contracts from the U.S. DoD and foreign allied nations and negotiate the estimated pricing are considered the most significant, sensitive assumptions. If current expectations of future growth rates and margins are not met, if market factors outside of the Company’s control, such as discount rates, income tax rates, or inflation, change, or if management’s expectations or plans otherwise change, including updates to long-term operating plans, then MUAS may become impaired in the future. Accordingly, the MUAS reporting unit is considered at an increased risk of failing future quantitative goodwill impairment tests. During the most recent annual impairment test during the fourth quarter of fiscal year 2024, the estimated fair value of all reporting units, other than MUAS, substantially exceeded their carrying value.</w:t>
      </w:r>
    </w:p>
    <w:p>
      <w:pPr>
        <w:spacing w:after="0" w:line="183" w:lineRule="exact"/>
        <w:rPr>
          <w:sz w:val="20"/>
          <w:szCs w:val="20"/>
          <w:color w:val="auto"/>
        </w:rPr>
      </w:pPr>
    </w:p>
    <w:p>
      <w:pPr>
        <w:ind w:left="680" w:hanging="636"/>
        <w:spacing w:after="0"/>
        <w:tabs>
          <w:tab w:leader="none" w:pos="6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rFonts w:ascii="Times New Roman" w:cs="Times New Roman" w:eastAsia="Times New Roman" w:hAnsi="Times New Roman"/>
          <w:sz w:val="18"/>
          <w:szCs w:val="18"/>
          <w:b w:val="1"/>
          <w:bCs w:val="1"/>
          <w:color w:val="auto"/>
        </w:rPr>
      </w:pPr>
    </w:p>
    <w:p>
      <w:pPr>
        <w:ind w:left="7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 of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80" w:type="dxa"/>
            <w:vAlign w:val="bottom"/>
            <w:tcBorders>
              <w:bottom w:val="single" w:sz="8" w:color="auto"/>
            </w:tcBorders>
          </w:tcPr>
          <w:p>
            <w:pPr>
              <w:jc w:val="right"/>
              <w:ind w:right="22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28"/>
        </w:trPr>
        <w:tc>
          <w:tcPr>
            <w:tcW w:w="51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960" w:type="dxa"/>
            <w:vAlign w:val="bottom"/>
            <w:gridSpan w:val="5"/>
          </w:tcPr>
          <w:p>
            <w:pPr>
              <w:jc w:val="right"/>
              <w:ind w:right="45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22,541</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132,862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124,845</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44,689</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shd w:val="clear" w:color="auto" w:fill="CCEEFF"/>
          </w:tcPr>
          <w:p>
            <w:pPr>
              <w:spacing w:after="0"/>
              <w:rPr>
                <w:sz w:val="18"/>
                <w:szCs w:val="18"/>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7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221,754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202,793</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(175,152)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(162,998)</w:t>
            </w: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7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46,602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39,795</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Depreciation expense for the years ended April 30, 2024, 2023 and 2022 was $17,098,000, $41,803,000 and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$30,493,000, respectively. During the fiscal year ended April 30, 2023, the Company recorded accelerated the depreciation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of $16,597,000 related to in-service ISR assets associated with the closure of all of the Company’s MUAS COCO sites.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reclassified certain in-service ISR assets determined to have an alternate business use to machinery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equipment. At April 30, 2024 and 2023, the reclassified assets had a carrying value of $1,979,000 and $4,586,000,</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respectively. During the fiscal years ended April 30, 2024, 2023 and 2022, the Company recorded losses on the disposal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in-service ISR assets which included the write-off of $0, $192,000 and $1,378,000 of non-cash purchase accounting fair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value adjustments, respectively.</w:t>
      </w:r>
    </w:p>
    <w:p>
      <w:pPr>
        <w:spacing w:after="0" w:line="203" w:lineRule="exact"/>
        <w:rPr>
          <w:sz w:val="20"/>
          <w:szCs w:val="20"/>
          <w:color w:val="auto"/>
        </w:rPr>
      </w:pPr>
    </w:p>
    <w:p>
      <w:pPr>
        <w:ind w:left="700" w:right="3199" w:hanging="656"/>
        <w:spacing w:after="0" w:line="503" w:lineRule="auto"/>
        <w:tabs>
          <w:tab w:leader="none" w:pos="682"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Companies Accounted for Using the Equity Method Investment in Limited Partnership Fund</w:t>
      </w:r>
    </w:p>
    <w:p>
      <w:pPr>
        <w:ind w:left="40" w:right="139" w:firstLine="648"/>
        <w:spacing w:after="0" w:line="253" w:lineRule="auto"/>
        <w:rPr>
          <w:sz w:val="20"/>
          <w:szCs w:val="20"/>
          <w:color w:val="auto"/>
        </w:rPr>
      </w:pPr>
      <w:r>
        <w:rPr>
          <w:rFonts w:ascii="Times New Roman" w:cs="Times New Roman" w:eastAsia="Times New Roman" w:hAnsi="Times New Roman"/>
          <w:sz w:val="18"/>
          <w:szCs w:val="18"/>
          <w:color w:val="auto"/>
        </w:rPr>
        <w:t>In July 2019, the Company made its initial capital contribution to a limited partnership fund focusing on highly relevant technologies and start-up companies serving defense and industrial markets. Under the terms of the limited partnership agreement, the Company contributed a total of $10,000,000 during the fiscal years ended April 30, 2021 and 2022, and there were no further contribution commitments to this fund as of April 30, 2022. In March 2022, the Company entered into a limited partnership agreement with a second limited partnership fund also focusing on highly relevant technologies and start-up companies serving defense and industrial markets. Under the terms of the limited partnership agreement, the Company is committed to contributions totaling $20,000,000 over an expected five year period. During the fiscal year ended April 30, 2024 and 2023, the Company made total contributions of $3,074,000 and $5,778,000, respectively. Under the terms of the limited partnership agreement, the Company has committed to make additional capital contributions of $11,126,000 to the fund expected to be paid over the next three fiscal years. The Company accounts for investments in limited partnerships as equity method investments as the Company is deemed to have influence when it holds more than a minor interest. For the fiscal years ended April 30, 2024, 2023 and 2022,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Company recorded its ownership percentage of the net (loss) gain of the limited partnership, or $(1,782,000), $(2,453,000), and $5,889,000, respectively, in equity method investment (loss) income, net of deferred taxes $0, $0, and $1,300,000, respectively, in the consolidated statements of income (loss). At April 30, 2024 and 2023, the carrying value of the investment in the limited partnership of $19,933,000 and $18,644,000, respectively, was recorded in available-for-sale long-term investments.</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 in Altoy</w:t>
      </w:r>
    </w:p>
    <w:p>
      <w:pPr>
        <w:spacing w:after="0" w:line="229"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On September 15, 2021, the Company entered into a Share Sale and Purchase Agreement with Toygun whereby the Company sold 35% of the common shares of Altoy to Toygun. On October 14, 2022, the company sold an additional 35% of the common shares of Altoy to Toygun. As a result of the sales, the Company decreased its interest in Altoy from 85% to 15%. The Company no longer controls Altoy, and therefore, has deconsolidated Altoy in the Company’s consolidated financial statements, which resulted in losses of $0 and $189,000 during the fiscal years ended April 30, 2024 and 2023, respectively. The Company maintains significant influence, accounts for its investment in Altoy as an equity method investment and records its proportion of any gains or losses of Altoy in equity method investment (loss) income, net of tax. For the fiscal year ended April 30, 2024, the Company’s proportion of the net income of Altoy for the Company’s ownership was $108,000. For the fiscal year ended April 30, 2023, the Company’s proportion of the net income of Altoy for the Company’s ownership was not significant. At April 30, 2024 and 2023, the carrying values of the investment in Altoy of $152,000 and $114,000, respectively, was recorded in other assets on the consolidated balance sheets.</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 in HAPSMobile Inc.</w:t>
      </w:r>
    </w:p>
    <w:p>
      <w:pPr>
        <w:spacing w:after="0" w:line="229"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In December 2017, the Company and SoftBank formed a joint venture, HAPSMobile, which is a Japanese corporation. Concurrent with the formation of HAPSMobile, the Company executed a Design and Development Agreement (the “DDA”) with HAPSMobile. In connection with the formation of the joint venture on December 27, 2017, the Company initially purchased shares of HAPSMobile representing a 5% ownership. On December 4, 2019, the Company purchased additional shares of HAPSMobile to increase its ownership stake to approximately 7%. In March 2022, the Company sold its 7% equity interest in HAPSMobile to SoftBank, for 808,008,000 yen ($6,497,000) and a gain was recorded in sale of ownership in HAPSMobile Inc. joint venture. Following the sale, SoftBank owns 100% of HAPSMobile, and, therefore, the Company no longer applies the equity method of accounting.</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May 29, 2021, the Company entered into an amendment to the DDA with HAPSMobile. The parties agreed to</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amendment in anticipation of the Company and SoftBank entering into a Master Design and Development Agreement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(“MDDA”) with each other to continue the design and development of the Solar High Altitude Pseudo-Satellite (“Solar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HAPS”) aircraft developed under the DDA. Pursuant to the MDDA, which has a five-year term, SoftBank will issue orders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 the Company for the Company to perform design and development services and produce deliverables as specified in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applicable order(s). Upon the execution of the MDDA, SoftBank issued to the Company, and the Company accepted,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first order under the MDDA which has a maximum value of approximately $51,200,000. Concurrent with the execution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MDDA, each of SoftBank and the Company agreed to lend HAPSMobile loans which are convertible into shares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HAPSMobile under certain conditions, and to cooperate with each other to explore restructuring and financing options for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HAPSMobile to continue the development of Solar HAPS. The Company committed to lend 500,000,000 yen. On June 7,</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2021 the Company funded 130,000,000 yen ($1,195,000) of the loan agreement. On August 13, 2021, the Company made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second payment of the loan agreement in the amount of 180,000,000 yen ($1,638,000). On October 29, 2021,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Company made the final payment under the loan agreement in the amount of 190,000,000 yen ($1,674,000). On March 1,</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2022, HAPSMobile repaid the Company the loan in full plus accrued interest in the amount of 503,832,000 yen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($4,345,000). The repayment resulted in equity method income during the fiscal year ended April 30, 2022 up to the extent</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of the previously recognized equity method losses associate with the loan.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99" w:firstLine="648"/>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of the equity method investments, including HAPSMobile for the period of fiscal year 2022 prior to the sale of equity interest, are as follows: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8"/>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8"/>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5,452</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1,908</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144,457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132,198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2,450</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1,691</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702"/>
        </w:trPr>
        <w:tc>
          <w:tcPr>
            <w:tcW w:w="3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2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(13,113)</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and unrealized (losses) gains on investments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(23,967)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63,314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(14,455)</w:t>
            </w:r>
          </w:p>
        </w:tc>
        <w:tc>
          <w:tcPr>
            <w:tcW w:w="2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(22,585)</w:t>
            </w:r>
          </w:p>
        </w:tc>
        <w:tc>
          <w:tcPr>
            <w:tcW w:w="12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Warranty Reserves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4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Warranty reserve activity is summarized as follows: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6"/>
          </w:tcPr>
          <w:p>
            <w:pPr>
              <w:jc w:val="right"/>
              <w:ind w:right="31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acquired from acquisition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Warranty costs settled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760" w:hanging="716"/>
        <w:spacing w:after="0"/>
        <w:tabs>
          <w:tab w:leader="none" w:pos="7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Savings Plan</w:t>
      </w:r>
    </w:p>
    <w:p>
      <w:pPr>
        <w:spacing w:after="0" w:line="229" w:lineRule="exact"/>
        <w:rPr>
          <w:sz w:val="20"/>
          <w:szCs w:val="20"/>
          <w:color w:val="auto"/>
        </w:rPr>
      </w:pPr>
    </w:p>
    <w:p>
      <w:pPr>
        <w:ind w:left="4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 has an employee 401(k) savings plan covering all eligible employees. The Company expensed approximately $8,554,000, $6,994,000 and $6,842,000 in contributions to the plan for the years ended April 30, 2024, 2023 and 2022, respectively.</w:t>
      </w:r>
    </w:p>
    <w:p>
      <w:pPr>
        <w:spacing w:after="0" w:line="172" w:lineRule="exact"/>
        <w:rPr>
          <w:sz w:val="20"/>
          <w:szCs w:val="20"/>
          <w:color w:val="auto"/>
        </w:rPr>
      </w:pPr>
    </w:p>
    <w:p>
      <w:pPr>
        <w:ind w:left="700" w:hanging="656"/>
        <w:spacing w:after="0"/>
        <w:tabs>
          <w:tab w:leader="none" w:pos="7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Arcturus Acquisition on February 19, 2021, the Company, as borrower, and Arcturus, as guarantor, entered into a Credit Agreement with certain lenders, letter of credit issuers, Bank of America, N.A., as the administrative agent and the swingline lender, and BofA Securities, Inc., JPMorgan Chase Bank, N.A., and U.S. Bank National Association, as joint lead arrangers and joint bookrunners (the “Credit Agreement”).</w:t>
      </w:r>
    </w:p>
    <w:p>
      <w:pPr>
        <w:spacing w:after="0" w:line="180"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The Credit Agreement and its associated Security and Pledge Agreement set forth the terms and conditions for (i) a five-year $100,000,000 revolving credit facility, which includes a $25,000,000 sublimit for the issuance of standby and commercial letters of credit (the “Revolving Facility”), and (ii) a five-year amortized $200,000,000 term A loan (the “Term Loan Facility”, and together with the Revolving Facility, the “Credit Facilities”). Certain existing letters of credit issued by JPMorgan Chase Bank were reserved for under the Revolving Facility at closing and remain outstanding under the terms thereof. Upon execution of the Credit Agreement, the Company drew the full principal of the Term Loan Facility for use in the acquisition of Arcturus. The Term Loan Facility requires payment of 5% of the outstanding obligations in each of the first four loan years, with the remaining 80% payable in loan year five, consisting of three quarterly payments of 1.25% each, with the remaining outstanding principal amount of the Term Loan Facility due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179"/>
        <w:spacing w:after="0" w:line="266" w:lineRule="auto"/>
        <w:rPr>
          <w:sz w:val="20"/>
          <w:szCs w:val="20"/>
          <w:color w:val="auto"/>
        </w:rPr>
      </w:pPr>
      <w:r>
        <w:rPr>
          <w:rFonts w:ascii="Times New Roman" w:cs="Times New Roman" w:eastAsia="Times New Roman" w:hAnsi="Times New Roman"/>
          <w:sz w:val="18"/>
          <w:szCs w:val="18"/>
          <w:color w:val="auto"/>
        </w:rPr>
        <w:t>payable on the final maturity date. Proceeds from the Term Loan Facility were used in part to finance a portion of the cash consideration for the Arcturus Acquisition. Borrowings under the Revolving Facility may be used for working capital and other general corporate purposes.</w:t>
      </w:r>
    </w:p>
    <w:p>
      <w:pPr>
        <w:spacing w:after="0" w:line="176" w:lineRule="exact"/>
        <w:rPr>
          <w:sz w:val="20"/>
          <w:szCs w:val="20"/>
          <w:color w:val="auto"/>
        </w:rPr>
      </w:pPr>
    </w:p>
    <w:p>
      <w:pPr>
        <w:ind w:left="40" w:right="159" w:firstLine="648"/>
        <w:spacing w:after="0" w:line="258" w:lineRule="auto"/>
        <w:rPr>
          <w:sz w:val="20"/>
          <w:szCs w:val="20"/>
          <w:color w:val="auto"/>
        </w:rPr>
      </w:pPr>
      <w:r>
        <w:rPr>
          <w:rFonts w:ascii="Times New Roman" w:cs="Times New Roman" w:eastAsia="Times New Roman" w:hAnsi="Times New Roman"/>
          <w:sz w:val="18"/>
          <w:szCs w:val="18"/>
          <w:color w:val="auto"/>
        </w:rPr>
        <w:t>Any borrowing under the Credit Agreement may be repaid, in whole or in part, at any time and from time to time without premium or penalty other than customary breakage costs, and any amounts repaid under the Revolving Facility may be reborrowed. Mandatory prepayments are required under the revolving loans when borrowings and letter of credit usage exceed the aggregate revolving commitments of all lenders. Mandatory prepayments are also required in connection with the disposition of assets to the extent not reinvested and unpermitted debt transactions.</w:t>
      </w:r>
    </w:p>
    <w:p>
      <w:pPr>
        <w:spacing w:after="0" w:line="183" w:lineRule="exact"/>
        <w:rPr>
          <w:sz w:val="20"/>
          <w:szCs w:val="20"/>
          <w:color w:val="auto"/>
        </w:rPr>
      </w:pPr>
    </w:p>
    <w:p>
      <w:pPr>
        <w:ind w:left="40" w:right="379" w:firstLine="648"/>
        <w:spacing w:after="0" w:line="258" w:lineRule="auto"/>
        <w:rPr>
          <w:sz w:val="20"/>
          <w:szCs w:val="20"/>
          <w:color w:val="auto"/>
        </w:rPr>
      </w:pPr>
      <w:r>
        <w:rPr>
          <w:rFonts w:ascii="Times New Roman" w:cs="Times New Roman" w:eastAsia="Times New Roman" w:hAnsi="Times New Roman"/>
          <w:sz w:val="18"/>
          <w:szCs w:val="18"/>
          <w:color w:val="auto"/>
        </w:rPr>
        <w:t>In support of its obligations pursuant to the Credit Facilities, the Company has granted security interests in substantially all of the personal property of the Company and its domestic subsidiaries, including a pledge of the equity interests in its subsidiaries (limited to 65% of outstanding equity interests in the case of foreign subsidiaries), and the proceeds thereof, with customary exclusions and exceptions. The Company’s existing and future domestic subsidiaries, including Arcturus, are guarantors for the Credit Facilities.</w:t>
      </w:r>
    </w:p>
    <w:p>
      <w:pPr>
        <w:spacing w:after="0" w:line="183"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customary representations and warranties and affirmative and negative covenants, including certain restrictions on the ability of the Company and its subsidiaries (as defined in the Credit Agreement) to incur any additional indebtedness or guarantee indebtedness of others, to create liens on properties or assets, or to enter into certain asset and stock-based transactions. In addition, the Credit Agreement includes certain financial maintenance covenants, requiring that (x) the Consolidated Leverage Ratio (as defined in the Credit Agreement) shall not be more than 3.00 to 1.00 as of the end of any fiscal quarter and (y) the Consolidated Fixed Charge Coverage Ratio (as defined in the Credit Agreement) shall not be less than 1.25 to 1.00 as of the end of any fiscal quarter.</w:t>
      </w:r>
    </w:p>
    <w:p>
      <w:pPr>
        <w:spacing w:after="0" w:line="189" w:lineRule="exact"/>
        <w:rPr>
          <w:sz w:val="20"/>
          <w:szCs w:val="20"/>
          <w:color w:val="auto"/>
        </w:rPr>
      </w:pPr>
    </w:p>
    <w:p>
      <w:pPr>
        <w:ind w:left="40" w:right="59" w:firstLine="648"/>
        <w:spacing w:after="0" w:line="254" w:lineRule="auto"/>
        <w:rPr>
          <w:sz w:val="20"/>
          <w:szCs w:val="20"/>
          <w:color w:val="auto"/>
        </w:rPr>
      </w:pPr>
      <w:r>
        <w:rPr>
          <w:rFonts w:ascii="Times New Roman" w:cs="Times New Roman" w:eastAsia="Times New Roman" w:hAnsi="Times New Roman"/>
          <w:sz w:val="18"/>
          <w:szCs w:val="18"/>
          <w:color w:val="auto"/>
        </w:rPr>
        <w:t>On February 4, 2022, the Company entered into a First Amendment to Credit Agreement and Waiver relating to its existing Credit Agreement (the “First Amendment to Credit Agreement”). The First Amendment to Credit Agreement waives any event of default that may have occurred as a result of the potential failure by the Company to comply with the consolidated leverage ratio covenant set forth in the Credit Agreement for the fiscal quarter ended January 29, 2022. In addition, the parties amended the maximum permitted Consolidated Leverage Ratio, such that such ratio may not exceed 4.00 to 1.00 for the Company’s fiscal quarters ended January 29, 2022 and April 30, 2022; 3.50 to 1.00 for any of the Company’s fiscal quarters ending during the period from May 1, 2022 to October 31, 2022; and 3.00 to 1.00 for any fiscal quarter ending thereafter. On June 6, 2023, the Company entered into a Second Amendment to Credit Agreement relating to its existing credit Agreement which increased the sublimit from $10,000,000 to $25,000,000.</w:t>
      </w:r>
    </w:p>
    <w:p>
      <w:pPr>
        <w:spacing w:after="0" w:line="188" w:lineRule="exact"/>
        <w:rPr>
          <w:sz w:val="20"/>
          <w:szCs w:val="20"/>
          <w:color w:val="auto"/>
        </w:rPr>
      </w:pPr>
    </w:p>
    <w:p>
      <w:pPr>
        <w:ind w:left="40" w:right="119"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as amended by the First Amendment and Second Amendment to the Credit Agreement, contains certain customary events of default, which include failure to make payments when due thereunder, the material inaccuracy of representations or warranties, failure to observe or perform certain covenants, cross-defaults, bankruptcy and insolvency-related events, certain judgments, certain ERISA-related events, invalidity of loan documents, or a Change of Control (as defined in the Credit Agreement). Upon the occurrence and continuation of an event of default, the Lenders may cease making future loans under the Credit Agreement and may declare all amounts owing under the Credit Agreement to be immediately due and payable.</w:t>
      </w:r>
    </w:p>
    <w:p>
      <w:pPr>
        <w:spacing w:after="0" w:line="189"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The First Amendment to Credit Agreement also implemented certain secured overnight financing rate (“SOFR”) interest rate mechanics and interest rate reference benchmark replacement provisions in order to effectuate the transition from LIBOR as a reference interest rate. Following the First Amendment to Credit Agreement, the Company has a choice of interest rates between (a) Term SOFR (with a 0% floor) plus the Applicable Margin; or (b) Base Rate (defined as the highest of (a) the Federal Funds Rate plus one-half percent (0.50%), (b) the Bank of America prime rate, and (c) the one (1) month SOFR plus one percent (1.00%)) plus the Applicable Margin. The Applicable Margin is based upon the Consolidated Leverage Ratio (as defined in the Credit Agreement) and whether the Company elects SOFR (ranging from 1.50–2.50%) or Base Rate (ranging from 0.50–1.50%). The Company may choose interest periods of one, three or six months with respect to Term SOFR and all such rates will include a 0.10% SOFR adjustment. The Company also remains responsible for certain commitment fees from 0.20–0.35% depending on the Consolidated Leverage Ratio, and administrative agent expenses incurred in relation to the Credit Facilities. In the event of a default, an additional 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spacing w:after="0" w:line="282" w:lineRule="auto"/>
        <w:rPr>
          <w:sz w:val="20"/>
          <w:szCs w:val="20"/>
          <w:color w:val="auto"/>
        </w:rPr>
      </w:pPr>
      <w:r>
        <w:rPr>
          <w:rFonts w:ascii="Times New Roman" w:cs="Times New Roman" w:eastAsia="Times New Roman" w:hAnsi="Times New Roman"/>
          <w:sz w:val="18"/>
          <w:szCs w:val="18"/>
          <w:color w:val="auto"/>
        </w:rPr>
        <w:t>default interest rate in addition to the applicable rate if specified or the Base Rate plus Applicable Margin if an applicable rate is not specified. As of April 30, 2024, the Company is in compliance with all amended covenants.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Long-term debt and the current period interest rates were as follows: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226"/>
        </w:trPr>
        <w:tc>
          <w:tcPr>
            <w:tcW w:w="5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36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6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6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37"/>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unamortized debt issuance costs–term loans</w:t>
            </w:r>
          </w:p>
        </w:tc>
        <w:tc>
          <w:tcPr>
            <w:tcW w:w="6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09"/>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net of unamortized debt issuance costs–term loans</w:t>
            </w: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125,904</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Unamortized debt issuance costs–revolving credit facility</w:t>
            </w:r>
          </w:p>
        </w:tc>
        <w:tc>
          <w:tcPr>
            <w:tcW w:w="6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511</w:t>
            </w:r>
          </w:p>
        </w:tc>
        <w:tc>
          <w:tcPr>
            <w:tcW w:w="180" w:type="dxa"/>
            <w:vAlign w:val="bottom"/>
            <w:vMerge w:val="continue"/>
          </w:tcPr>
          <w:p>
            <w:pPr>
              <w:spacing w:after="0"/>
              <w:rPr>
                <w:sz w:val="17"/>
                <w:szCs w:val="17"/>
                <w:color w:val="auto"/>
              </w:rPr>
            </w:pPr>
          </w:p>
        </w:tc>
        <w:tc>
          <w:tcPr>
            <w:tcW w:w="18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interest rate</w:t>
            </w: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432"/>
        </w:trPr>
        <w:tc>
          <w:tcPr>
            <w:tcW w:w="756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Future contractual long-term debt principal payments at April 30, 2024 were as follows: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720" w:hanging="676"/>
        <w:spacing w:after="0"/>
        <w:tabs>
          <w:tab w:leader="none" w:pos="7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ind w:left="7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lease costs recorded in cost of sales and SG&amp;A expense were as follows (in thousands):</w:t>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17"/>
        </w:trPr>
        <w:tc>
          <w:tcPr>
            <w:tcW w:w="6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59"/>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0" w:type="dxa"/>
            <w:vAlign w:val="bottom"/>
          </w:tcPr>
          <w:p>
            <w:pPr>
              <w:spacing w:after="0"/>
              <w:rPr>
                <w:sz w:val="1"/>
                <w:szCs w:val="1"/>
                <w:color w:val="auto"/>
              </w:rPr>
            </w:pPr>
          </w:p>
        </w:tc>
      </w:tr>
      <w:tr>
        <w:trPr>
          <w:trHeight w:val="173"/>
        </w:trPr>
        <w:tc>
          <w:tcPr>
            <w:tcW w:w="6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Short term lease cost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 net</w:t>
            </w: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Supplemental lease information was as follows:</w:t>
            </w: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17"/>
        </w:trPr>
        <w:tc>
          <w:tcPr>
            <w:tcW w:w="6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April 30,</w:t>
            </w:r>
          </w:p>
        </w:tc>
        <w:tc>
          <w:tcPr>
            <w:tcW w:w="0" w:type="dxa"/>
            <w:vAlign w:val="bottom"/>
          </w:tcPr>
          <w:p>
            <w:pPr>
              <w:spacing w:after="0"/>
              <w:rPr>
                <w:sz w:val="1"/>
                <w:szCs w:val="1"/>
                <w:color w:val="auto"/>
              </w:rPr>
            </w:pPr>
          </w:p>
        </w:tc>
      </w:tr>
      <w:tr>
        <w:trPr>
          <w:trHeight w:val="173"/>
        </w:trPr>
        <w:tc>
          <w:tcPr>
            <w:tcW w:w="6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10,193</w:t>
            </w:r>
          </w:p>
        </w:tc>
        <w:tc>
          <w:tcPr>
            <w:tcW w:w="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months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months</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864"/>
        </w:trPr>
        <w:tc>
          <w:tcPr>
            <w:tcW w:w="610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0" w:name="page111"/>
    <w:bookmarkEnd w:id="1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Maturities of operating lease liabilities as of April 30, 2024 were as follows (in thousands):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38,447</w:t>
            </w:r>
          </w:p>
        </w:tc>
        <w:tc>
          <w:tcPr>
            <w:tcW w:w="0" w:type="dxa"/>
            <w:vAlign w:val="bottom"/>
          </w:tcPr>
          <w:p>
            <w:pPr>
              <w:spacing w:after="0"/>
              <w:rPr>
                <w:sz w:val="1"/>
                <w:szCs w:val="1"/>
                <w:color w:val="auto"/>
              </w:rPr>
            </w:pPr>
          </w:p>
        </w:tc>
      </w:tr>
      <w:tr>
        <w:trPr>
          <w:trHeight w:val="243"/>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present value of operating lease liabilities</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720" w:hanging="676"/>
        <w:spacing w:after="0"/>
        <w:tabs>
          <w:tab w:leader="none" w:pos="7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40" w:right="159"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April 30, 2024, 2023 and 2022, the Company recorded stock-based compensation expense of approximately $17,069,000, $10,765,000 and $5,390,000, respectively.</w:t>
      </w:r>
    </w:p>
    <w:p>
      <w:pPr>
        <w:spacing w:after="0" w:line="162"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On September 24, 2021, the stockholders of the Company approved the 2021 Equity Incentive Plan (“2021 Plan”) effective September 24, 2021, for officers, directors, key employees and consultants. Under the 2021 Plan, incentive stock options, nonqualified stock options, restricted stock awards, stock appreciation right awards, performance share awards, performance stock unit awards, dividend equivalents awards, stock payment awards, deferred stock awards, restricted stock unit awards, other stock-based awards, performance bonus awards or performance-based awards may be granted at the discretion of the compensation committee, which consists of outside directors. The sum of any cash compensation, or other compensation, and the value of awards granted to a non-employee director as compensation for services as a non-employee director during any fiscal year may not exceed $500,000, which amount is increased to $700,000 in the fiscal year of a non-employee director’s initial year of service as a non-employee director. The exercise price for any incentive stock option shall not be less than 100% of the fair market value on the date of grant. Vesting of awards is established at the time of grant.</w:t>
      </w:r>
    </w:p>
    <w:p>
      <w:pPr>
        <w:spacing w:after="0" w:line="192"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On January 14, 2007, the stockholders of the Company approved the 2006 Equity Incentive Plan (“2006 Plan”) effective January 21, 2007, for officers, directors, key employees and consultants. On September 29, 2011, the stockholders of the Company approved an amendment and restatement of the 2006 Plan (“Restated 2006 Plan”). Under the Restated 2006 Plan, incentive stock options, nonqualified stock options, restricted stock awards, stock appreciation right awards, performance share awards, performance stock unit awards, dividend equivalents awards, stock payment awards, deferred stock awards, restricted stock unit awards, other stock-based awards, performance bonus awards or performance-based awards may be granted at the discretion of the compensation committee, which consists of outside directors. A maximum of 4,884,157 shares of stock may be issued pursuant to awards under the Restated 2006 Plan. The maximum number of shares of common stock with respect to one or more awards that may be granted to any one participant during any twelve month period is 2,000,000. A maximum of $5,000,000 may be paid in cash to any one participant as a performance-based award during any twelve month period. The exercise price for any incentive stock option shall not be less than 100% of the fair market value on the date of grant. Vesting of awards is established at the time of grant. The Restated 2006 Plan expired in July 2021.</w:t>
      </w:r>
    </w:p>
    <w:p>
      <w:pPr>
        <w:spacing w:after="0" w:line="187"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The fair value of stock options granted previously was estimated at the grant date using the Black-Scholes option pricing model. Assumptions included in the Black-Scholes option pricing model included the expected term of stock options, the expected volatility, the risk-free interest rate, and the expected dividend yield. The expected term of stock options represents the weighted average period the Company expects the stock options to remain outstanding, based on the Company’s historical exercise and post-vesting cancellation experience and the remaining contractual life of its outstanding options. The expected volatility is based on historical volatility for the Company’s stock. The risk-free interest rate is based on the implied yield on a U.S. Treasury zero-coupon bond with a remaining term that approximates the expected term of the option. The expected dividend yield of zero reflects that the Company has not paid any cash dividends since inception and does not anticipate paying cash dividends in the foreseeable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Information related to the stock option plans at April 30, 2024, 2023 and 2022, and for the years then ended is as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186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Restated 2006 Plan</w:t>
            </w:r>
          </w:p>
        </w:tc>
        <w:tc>
          <w:tcPr>
            <w:tcW w:w="0" w:type="dxa"/>
            <w:vAlign w:val="bottom"/>
          </w:tcPr>
          <w:p>
            <w:pPr>
              <w:spacing w:after="0"/>
              <w:rPr>
                <w:sz w:val="1"/>
                <w:szCs w:val="1"/>
                <w:color w:val="auto"/>
              </w:rPr>
            </w:pPr>
          </w:p>
        </w:tc>
      </w:tr>
      <w:tr>
        <w:trPr>
          <w:trHeight w:val="117"/>
        </w:trPr>
        <w:tc>
          <w:tcPr>
            <w:tcW w:w="7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060" w:type="dxa"/>
            <w:vAlign w:val="bottom"/>
          </w:tcPr>
          <w:p>
            <w:pPr>
              <w:spacing w:after="0"/>
              <w:rPr>
                <w:sz w:val="12"/>
                <w:szCs w:val="12"/>
                <w:color w:val="auto"/>
              </w:rPr>
            </w:pPr>
          </w:p>
        </w:tc>
        <w:tc>
          <w:tcPr>
            <w:tcW w:w="9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8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70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9"/>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30,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280,526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exercised</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(114,362)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0" w:type="dxa"/>
            <w:vAlign w:val="bottom"/>
          </w:tcPr>
          <w:p>
            <w:pPr>
              <w:spacing w:after="0"/>
              <w:rPr>
                <w:sz w:val="1"/>
                <w:szCs w:val="1"/>
                <w:color w:val="auto"/>
              </w:rPr>
            </w:pPr>
          </w:p>
        </w:tc>
      </w:tr>
      <w:tr>
        <w:trPr>
          <w:trHeight w:val="216"/>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canceled</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30, 2022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166,164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09"/>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exercised</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0" w:type="dxa"/>
            <w:vAlign w:val="bottom"/>
          </w:tcPr>
          <w:p>
            <w:pPr>
              <w:spacing w:after="0"/>
              <w:rPr>
                <w:sz w:val="1"/>
                <w:szCs w:val="1"/>
                <w:color w:val="auto"/>
              </w:rPr>
            </w:pPr>
          </w:p>
        </w:tc>
      </w:tr>
      <w:tr>
        <w:trPr>
          <w:trHeight w:val="216"/>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canceled</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30, 2023</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09"/>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exercised</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canceled</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April 30, 2024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0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at April 30, 2024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66,164</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39" w:firstLine="648"/>
        <w:spacing w:after="0" w:line="261" w:lineRule="auto"/>
        <w:rPr>
          <w:sz w:val="20"/>
          <w:szCs w:val="20"/>
          <w:color w:val="auto"/>
        </w:rPr>
      </w:pPr>
      <w:r>
        <w:rPr>
          <w:rFonts w:ascii="Times New Roman" w:cs="Times New Roman" w:eastAsia="Times New Roman" w:hAnsi="Times New Roman"/>
          <w:sz w:val="18"/>
          <w:szCs w:val="18"/>
          <w:color w:val="auto"/>
        </w:rPr>
        <w:t>The total intrinsic value of all options exercised during the years ended April 30, 2024, 2023 and 2022 was approximately $0, $7,369,000, and $4,785,000, respectively. The intrinsic value of all options outstanding and exercisable at April 30, 2024 and 2023 was $8,732,000 and $4,822,000, respectively. The Company had zero non-vested stock options as of April 30, 2024 and 2023 and the years then ended, respectively.</w:t>
      </w:r>
    </w:p>
    <w:p>
      <w:pPr>
        <w:spacing w:after="0" w:line="180" w:lineRule="exact"/>
        <w:rPr>
          <w:sz w:val="20"/>
          <w:szCs w:val="20"/>
          <w:color w:val="auto"/>
        </w:rPr>
      </w:pPr>
    </w:p>
    <w:p>
      <w:pPr>
        <w:jc w:val="both"/>
        <w:ind w:left="40" w:right="259" w:firstLine="648"/>
        <w:spacing w:after="0" w:line="266" w:lineRule="auto"/>
        <w:rPr>
          <w:sz w:val="20"/>
          <w:szCs w:val="20"/>
          <w:color w:val="auto"/>
        </w:rPr>
      </w:pPr>
      <w:r>
        <w:rPr>
          <w:rFonts w:ascii="Times New Roman" w:cs="Times New Roman" w:eastAsia="Times New Roman" w:hAnsi="Times New Roman"/>
          <w:sz w:val="18"/>
          <w:szCs w:val="18"/>
          <w:color w:val="auto"/>
        </w:rPr>
        <w:t>As of April 30, 2024, there was approximately $12,693,000 of total unrecognized compensation cost related to non-vested share-based compensation awards granted under the equity plans. That cost is expected to be recognized over an approximately two-year period or a weighted average period of approximately 2.1 years.</w:t>
      </w:r>
    </w:p>
    <w:p>
      <w:pPr>
        <w:spacing w:after="0" w:line="176" w:lineRule="exact"/>
        <w:rPr>
          <w:sz w:val="20"/>
          <w:szCs w:val="20"/>
          <w:color w:val="auto"/>
        </w:rPr>
      </w:pPr>
    </w:p>
    <w:p>
      <w:pPr>
        <w:ind w:left="40" w:right="519" w:firstLine="648"/>
        <w:spacing w:after="0" w:line="266" w:lineRule="auto"/>
        <w:rPr>
          <w:sz w:val="20"/>
          <w:szCs w:val="20"/>
          <w:color w:val="auto"/>
        </w:rPr>
      </w:pPr>
      <w:r>
        <w:rPr>
          <w:rFonts w:ascii="Times New Roman" w:cs="Times New Roman" w:eastAsia="Times New Roman" w:hAnsi="Times New Roman"/>
          <w:sz w:val="18"/>
          <w:szCs w:val="18"/>
          <w:color w:val="auto"/>
        </w:rPr>
        <w:t>No options were granted during the fiscal years ended April 30, 2024, 2023 and 2022. The total fair value of shares vesting during the years ended April 30, 2024, 2023 and 2022 was $6,170,000, $6,264,000 and $5,901,000, respectively.</w:t>
      </w:r>
    </w:p>
    <w:p>
      <w:pPr>
        <w:spacing w:after="0" w:line="176" w:lineRule="exact"/>
        <w:rPr>
          <w:sz w:val="20"/>
          <w:szCs w:val="20"/>
          <w:color w:val="auto"/>
        </w:rPr>
      </w:pPr>
    </w:p>
    <w:p>
      <w:pPr>
        <w:jc w:val="both"/>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Proceeds from all option exercises under all stock option plans for the years ended April 30, 2024, 2023 and 2022 were approximately $0, $2,278,000 and $2,776,000, respectively. The tax benefit realized from stock-based compensation was $0, $3,387,000 and $0 for the fiscal years ended April 30, 2024, 2023, and 2022, respectively.</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tabulation summarizes certain information concerning outstanding and exercisable options at</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April 30, 2024:</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0"/>
                <w:szCs w:val="10"/>
                <w:color w:val="auto"/>
              </w:rPr>
            </w:pPr>
          </w:p>
        </w:tc>
        <w:tc>
          <w:tcPr>
            <w:tcW w:w="12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200" w:type="dxa"/>
            <w:vAlign w:val="bottom"/>
          </w:tcPr>
          <w:p>
            <w:pPr>
              <w:spacing w:after="0"/>
              <w:rPr>
                <w:sz w:val="10"/>
                <w:szCs w:val="10"/>
                <w:color w:val="auto"/>
              </w:rPr>
            </w:pPr>
          </w:p>
        </w:tc>
        <w:tc>
          <w:tcPr>
            <w:tcW w:w="124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201"/>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24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Life In</w:t>
            </w:r>
          </w:p>
        </w:tc>
        <w:tc>
          <w:tcPr>
            <w:tcW w:w="20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860" w:type="dxa"/>
            <w:vAlign w:val="bottom"/>
            <w:gridSpan w:val="3"/>
            <w:vMerge w:val="continue"/>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0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9"/>
        </w:trPr>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26.70 -</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9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29.00 -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26.70 -</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remaining weighted average contractual life of exercisable options at April 30, 2024 was 0.9 years.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Information related to the Company’s restricted stock awards at April 30, 2024 and for the year then ended is as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2021 Plan</w:t>
            </w:r>
          </w:p>
        </w:tc>
        <w:tc>
          <w:tcPr>
            <w:tcW w:w="80" w:type="dxa"/>
            <w:vAlign w:val="bottom"/>
          </w:tcPr>
          <w:p>
            <w:pPr>
              <w:spacing w:after="0"/>
              <w:rPr>
                <w:sz w:val="15"/>
                <w:szCs w:val="15"/>
                <w:color w:val="auto"/>
              </w:rPr>
            </w:pPr>
          </w:p>
        </w:tc>
        <w:tc>
          <w:tcPr>
            <w:tcW w:w="152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Restated 2006 Plan</w:t>
            </w:r>
          </w:p>
        </w:tc>
        <w:tc>
          <w:tcPr>
            <w:tcW w:w="0" w:type="dxa"/>
            <w:vAlign w:val="bottom"/>
          </w:tcPr>
          <w:p>
            <w:pPr>
              <w:spacing w:after="0"/>
              <w:rPr>
                <w:sz w:val="1"/>
                <w:szCs w:val="1"/>
                <w:color w:val="auto"/>
              </w:rPr>
            </w:pPr>
          </w:p>
        </w:tc>
      </w:tr>
      <w:tr>
        <w:trPr>
          <w:trHeight w:val="117"/>
        </w:trPr>
        <w:tc>
          <w:tcPr>
            <w:tcW w:w="57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2"/>
                <w:szCs w:val="12"/>
                <w:color w:val="auto"/>
              </w:rPr>
            </w:pPr>
          </w:p>
        </w:tc>
        <w:tc>
          <w:tcPr>
            <w:tcW w:w="580" w:type="dxa"/>
            <w:vAlign w:val="bottom"/>
            <w:vMerge w:val="restart"/>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78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stock at April 30, 2023</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95,599</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Stock granted</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149,502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vested</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Stock canceled</w:t>
            </w: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(9,802)</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91.03</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stock at April 30, 2024</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191,607</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$ 101.38</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8920" w:type="dxa"/>
            <w:vAlign w:val="bottom"/>
            <w:gridSpan w:val="17"/>
          </w:tcPr>
          <w:p>
            <w:pPr>
              <w:ind w:left="660"/>
              <w:spacing w:after="0"/>
              <w:rPr>
                <w:sz w:val="20"/>
                <w:szCs w:val="20"/>
                <w:color w:val="auto"/>
              </w:rPr>
            </w:pPr>
            <w:r>
              <w:rPr>
                <w:rFonts w:ascii="Times New Roman" w:cs="Times New Roman" w:eastAsia="Times New Roman" w:hAnsi="Times New Roman"/>
                <w:sz w:val="18"/>
                <w:szCs w:val="18"/>
                <w:color w:val="auto"/>
              </w:rPr>
              <w:t>Information related to the Company’s restricted stock units at April 30, 2024 and for the year then ended is as</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follows:</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Restated 2021 Plan</w:t>
            </w:r>
          </w:p>
        </w:tc>
        <w:tc>
          <w:tcPr>
            <w:tcW w:w="80" w:type="dxa"/>
            <w:vAlign w:val="bottom"/>
          </w:tcPr>
          <w:p>
            <w:pPr>
              <w:spacing w:after="0"/>
              <w:rPr>
                <w:sz w:val="24"/>
                <w:szCs w:val="24"/>
                <w:color w:val="auto"/>
              </w:rPr>
            </w:pPr>
          </w:p>
        </w:tc>
        <w:tc>
          <w:tcPr>
            <w:tcW w:w="152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Restated 2006 Plan</w:t>
            </w:r>
          </w:p>
        </w:tc>
        <w:tc>
          <w:tcPr>
            <w:tcW w:w="0" w:type="dxa"/>
            <w:vAlign w:val="bottom"/>
          </w:tcPr>
          <w:p>
            <w:pPr>
              <w:spacing w:after="0"/>
              <w:rPr>
                <w:sz w:val="1"/>
                <w:szCs w:val="1"/>
                <w:color w:val="auto"/>
              </w:rPr>
            </w:pPr>
          </w:p>
        </w:tc>
      </w:tr>
      <w:tr>
        <w:trPr>
          <w:trHeight w:val="117"/>
        </w:trPr>
        <w:tc>
          <w:tcPr>
            <w:tcW w:w="5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80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78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stock at April 30, 2023</w:t>
            </w: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Stock granted</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vested</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Stock canceled</w:t>
            </w:r>
          </w:p>
        </w:tc>
        <w:tc>
          <w:tcPr>
            <w:tcW w:w="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stock at April 30, 2024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$ 101.38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720" w:hanging="676"/>
        <w:spacing w:after="0"/>
        <w:tabs>
          <w:tab w:leader="none" w:pos="7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Incentive Awards</w:t>
      </w:r>
    </w:p>
    <w:p>
      <w:pPr>
        <w:spacing w:after="0" w:line="229" w:lineRule="exact"/>
        <w:rPr>
          <w:sz w:val="20"/>
          <w:szCs w:val="20"/>
          <w:color w:val="auto"/>
        </w:rPr>
      </w:pPr>
    </w:p>
    <w:p>
      <w:pPr>
        <w:ind w:left="40" w:right="79" w:firstLine="648"/>
        <w:spacing w:after="0" w:line="252" w:lineRule="auto"/>
        <w:rPr>
          <w:sz w:val="20"/>
          <w:szCs w:val="20"/>
          <w:color w:val="auto"/>
        </w:rPr>
      </w:pPr>
      <w:r>
        <w:rPr>
          <w:rFonts w:ascii="Times New Roman" w:cs="Times New Roman" w:eastAsia="Times New Roman" w:hAnsi="Times New Roman"/>
          <w:sz w:val="18"/>
          <w:szCs w:val="18"/>
          <w:color w:val="auto"/>
        </w:rPr>
        <w:t>During the three months ended July 29, 2023, the Company granted awards under its 2021 Equity Incentive Plan (the “2021 Plan”) to key employees (“Fiscal 2024 LTIP”). Awards under the Fiscal 2024 LTIP consist of: (i) time-based restricted stock awards and time-based restricted stock units, which vest in equal tranches in July 2024, July 2025 and July 2026, and (ii) performance-based restricted stock units (“PRSUs”), which vest based on the Company’s achievement of revenue and non-GAAP adjusted earnings before interest, taxes, depreciation and amortization (“adjusted EBITDA”) targets for the three-year period ending April 30, 2026.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During the fiscal year ended April 30, 2024 the Company recorded $3,916,000 of compensation expense related to the Fiscal 2024 LTIP PRSUs. At April 30, 2024, the maximum compensation expense that may be recorded for the performance-based portion of the Fiscal 2024 LTIP PRSUs is $15,836,000.</w:t>
      </w:r>
    </w:p>
    <w:p>
      <w:pPr>
        <w:spacing w:after="0" w:line="196"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During the three months ended July 30, 2022, the Company granted awards under the 2021 Plan to key employees (“Fiscal 2023 LTIP”). Awards under the Fiscal 2023 LTIP consist of: (i) time-based restricted stock awards and time-based restricted stock units, which vest in equal tranches in July 2023, July 2024 and July 2025, and (ii) PRSUs, which vest based on the Company’s achievement of revenue and non-GAAP adjusted EBITDA targets for the three-year period ending April 30, 2025.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8"/>
          <w:szCs w:val="18"/>
          <w:color w:val="auto"/>
        </w:rPr>
        <w:t>will be made in fully-vested shares of the Company’s common stock. During the fiscal year ended April 30, 2024 and 2023, the Company recorded $3,349,000 and $2,690,000 of compensation expense related to the Fiscal 2023 LTIP PRSUs, respectively. At April 30, 2024, the maximum compensation expense that may be recorded for the performance-based portion of the Fiscal 2023 LTIP PRSUs is $11,611,000.</w:t>
      </w:r>
    </w:p>
    <w:p>
      <w:pPr>
        <w:spacing w:after="0" w:line="180" w:lineRule="exact"/>
        <w:rPr>
          <w:sz w:val="20"/>
          <w:szCs w:val="20"/>
          <w:color w:val="auto"/>
        </w:rPr>
      </w:pPr>
    </w:p>
    <w:p>
      <w:pPr>
        <w:ind w:left="40" w:right="99" w:firstLine="648"/>
        <w:spacing w:after="0" w:line="252" w:lineRule="auto"/>
        <w:rPr>
          <w:sz w:val="20"/>
          <w:szCs w:val="20"/>
          <w:color w:val="auto"/>
        </w:rPr>
      </w:pPr>
      <w:r>
        <w:rPr>
          <w:rFonts w:ascii="Times New Roman" w:cs="Times New Roman" w:eastAsia="Times New Roman" w:hAnsi="Times New Roman"/>
          <w:sz w:val="18"/>
          <w:szCs w:val="18"/>
          <w:color w:val="auto"/>
        </w:rPr>
        <w:t>During the three months ended July 31, 2021, the Company granted awards under its amended and restated 2006 Equity Incentive Plan (the “Restated 2006 Plan”) to key employees (“Fiscal 2022 LTIP”). Awards under the Fiscal 2022 LTIP consist of: (i) time-based restricted stock awards and time-based restricted stock units, which vest in equal tranches in July 2022, July 2023 and July 2024, and (ii) PRSUs, which vest based on the Company’s achievement of revenue and non-GAAP operating income targets for the three-year period ending April 30, 2024.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operating income targets for the performance period. Settlement of the PRSUs will be made in fully-vested shares of the Company’s common stock. During the fiscal years ended April 30, 2024, 2023 and 2022, the Company recorded $902,000, $846,000 and $752,000 of compensation expense related to the Fiscal 2022 LTIP PRSUs, respectively. At April 30, 2024, the maximum compensation expense that may be recorded for the performance-based portion of the Fiscal 2022 LTIP PRSUs is $9,214,000.</w:t>
      </w:r>
    </w:p>
    <w:p>
      <w:pPr>
        <w:spacing w:after="0" w:line="197"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During the three months ended August 1, 2020, the Company granted awards under the Restated 2006 Plan to key employees (“Fiscal 2021 LTIP”). Awards under the Fiscal 2021 LTIP consist of: (i) time-based restricted stock awards, which vest in equal tranches in July 2021, July 2022 and July 2023, and (ii) PRSUs, which vest based on the Company’s achievement of revenue and operating income targets for the three-year period ending April 30, 2023. During the three months ended July 29, 2023, the Company issued a total of 5,772 fully-vested shares of the Company’s common stock to settle the PRSUs in the Fiscal 2021 LTIP. No compensation expense was recorded during fiscal year ended April 30, 2024 for the Fiscal 2021 LTIP PRSUs. During the fiscal year ended April 30, 2023, the Company recorded $354,000 of compensation expense related to the Fiscal 2021 LTIP PRSUs. During the fiscal year ended April 30, 2022, the Company recorded a reversal of $(634,000) compensation expense related to the Fiscal 2021 LTIP PRSUs.</w:t>
      </w:r>
    </w:p>
    <w:p>
      <w:pPr>
        <w:spacing w:after="0" w:line="188" w:lineRule="exact"/>
        <w:rPr>
          <w:sz w:val="20"/>
          <w:szCs w:val="20"/>
          <w:color w:val="auto"/>
        </w:rPr>
      </w:pPr>
    </w:p>
    <w:p>
      <w:pPr>
        <w:ind w:left="40" w:right="199" w:firstLine="648"/>
        <w:spacing w:after="0" w:line="256" w:lineRule="auto"/>
        <w:rPr>
          <w:sz w:val="20"/>
          <w:szCs w:val="20"/>
          <w:color w:val="auto"/>
        </w:rPr>
      </w:pPr>
      <w:r>
        <w:rPr>
          <w:rFonts w:ascii="Times New Roman" w:cs="Times New Roman" w:eastAsia="Times New Roman" w:hAnsi="Times New Roman"/>
          <w:sz w:val="18"/>
          <w:szCs w:val="18"/>
          <w:color w:val="auto"/>
        </w:rPr>
        <w:t>At April 30, 2024 and 2023, the Company recorded cumulative stock-based compensation expense from these long-term incentive award PRSUs of $16,662,000 and $8,495,000, respectively. 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183" w:lineRule="exact"/>
        <w:rPr>
          <w:sz w:val="20"/>
          <w:szCs w:val="20"/>
          <w:color w:val="auto"/>
        </w:rPr>
      </w:pPr>
    </w:p>
    <w:p>
      <w:pPr>
        <w:ind w:left="720" w:hanging="676"/>
        <w:spacing w:after="0"/>
        <w:tabs>
          <w:tab w:leader="none" w:pos="7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(loss) income before income taxes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April 30,</w:t>
            </w:r>
          </w:p>
        </w:tc>
      </w:tr>
      <w:tr>
        <w:trPr>
          <w:trHeight w:val="142"/>
        </w:trPr>
        <w:tc>
          <w:tcPr>
            <w:tcW w:w="45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68,968</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(187,647)</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(10,187)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(5,737)</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(8,956)</w:t>
            </w: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(188,377)</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 (loss) income</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(1,674)</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80" w:type="dxa"/>
            <w:vAlign w:val="bottom"/>
            <w:shd w:val="clear" w:color="auto" w:fill="CCEEFF"/>
          </w:tcPr>
          <w:p>
            <w:pPr>
              <w:spacing w:after="0"/>
              <w:rPr>
                <w:sz w:val="18"/>
                <w:szCs w:val="18"/>
                <w:color w:val="auto"/>
              </w:rPr>
            </w:pPr>
          </w:p>
        </w:tc>
      </w:tr>
      <w:tr>
        <w:trPr>
          <w:trHeight w:val="22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(loss) income before income taxes</w:t>
            </w:r>
          </w:p>
        </w:tc>
        <w:tc>
          <w:tcPr>
            <w:tcW w:w="16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(190,830)</w:t>
            </w:r>
          </w:p>
        </w:tc>
        <w:tc>
          <w:tcPr>
            <w:tcW w:w="1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(13,254)</w:t>
            </w:r>
          </w:p>
        </w:tc>
        <w:tc>
          <w:tcPr>
            <w:tcW w:w="80" w:type="dxa"/>
            <w:vAlign w:val="bottom"/>
          </w:tcPr>
          <w:p>
            <w:pPr>
              <w:spacing w:after="0"/>
              <w:rPr>
                <w:sz w:val="19"/>
                <w:szCs w:val="19"/>
                <w:color w:val="auto"/>
              </w:rPr>
            </w:pPr>
          </w:p>
        </w:tc>
      </w:tr>
    </w:tbl>
    <w:p>
      <w:pPr>
        <w:spacing w:after="0" w:line="179" w:lineRule="exact"/>
        <w:rPr>
          <w:sz w:val="20"/>
          <w:szCs w:val="20"/>
          <w:color w:val="auto"/>
        </w:rPr>
      </w:pPr>
    </w:p>
    <w:p>
      <w:pPr>
        <w:ind w:left="40" w:right="259" w:firstLine="648"/>
        <w:spacing w:after="0" w:line="282" w:lineRule="auto"/>
        <w:rPr>
          <w:sz w:val="20"/>
          <w:szCs w:val="20"/>
          <w:color w:val="auto"/>
        </w:rPr>
      </w:pPr>
      <w:r>
        <w:rPr>
          <w:rFonts w:ascii="Times New Roman" w:cs="Times New Roman" w:eastAsia="Times New Roman" w:hAnsi="Times New Roman"/>
          <w:sz w:val="18"/>
          <w:szCs w:val="18"/>
          <w:color w:val="auto"/>
        </w:rPr>
        <w:t>The Company expects any foreign earnings to be reinvested in such foreign jurisdictions and, therefore, no deferred tax liabilities for U.S. income taxes on undistributed earnings are recorded. The foreign subsidiaries do not have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any undistributed earnings.</w:t>
      </w:r>
    </w:p>
    <w:p>
      <w:pPr>
        <w:spacing w:after="0" w:line="225"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income tax expense (benefit) computed using the U.S. federal statutory rates to actual income tax expense is as follows: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2320" w:type="dxa"/>
            <w:vAlign w:val="bottom"/>
            <w:gridSpan w:val="6"/>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Year Ended April 30,</w:t>
            </w:r>
          </w:p>
        </w:tc>
      </w:tr>
      <w:tr>
        <w:trPr>
          <w:trHeight w:val="142"/>
        </w:trPr>
        <w:tc>
          <w:tcPr>
            <w:tcW w:w="48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r>
      <w:tr>
        <w:trPr>
          <w:trHeight w:val="20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8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(0.5)</w:t>
            </w:r>
          </w:p>
        </w:tc>
        <w:tc>
          <w:tcPr>
            <w:tcW w:w="8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(0.1)</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R&amp;D and other tax credits</w:t>
            </w:r>
          </w:p>
        </w:tc>
        <w:tc>
          <w:tcPr>
            <w:tcW w:w="8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(7.8)</w:t>
            </w:r>
          </w:p>
        </w:tc>
        <w:tc>
          <w:tcPr>
            <w:tcW w:w="8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18"/>
                <w:szCs w:val="18"/>
                <w:color w:val="auto"/>
              </w:rPr>
            </w:pPr>
          </w:p>
        </w:tc>
        <w:tc>
          <w:tcPr>
            <w:tcW w:w="8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Limit on executive compensation</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(0.4)</w:t>
            </w:r>
          </w:p>
        </w:tc>
        <w:tc>
          <w:tcPr>
            <w:tcW w:w="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tcPr>
          <w:p>
            <w:pPr>
              <w:spacing w:after="0"/>
              <w:rPr>
                <w:sz w:val="18"/>
                <w:szCs w:val="18"/>
                <w:color w:val="auto"/>
              </w:rPr>
            </w:pPr>
          </w:p>
        </w:tc>
        <w:tc>
          <w:tcPr>
            <w:tcW w:w="8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(0.3)</w:t>
            </w:r>
          </w:p>
        </w:tc>
        <w:tc>
          <w:tcPr>
            <w:tcW w:w="6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8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Excess benefit of equity awards</w:t>
            </w:r>
          </w:p>
        </w:tc>
        <w:tc>
          <w:tcPr>
            <w:tcW w:w="8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(0.6)</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80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(17.2)</w:t>
            </w:r>
          </w:p>
        </w:tc>
        <w:tc>
          <w:tcPr>
            <w:tcW w:w="6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w:t>
            </w:r>
          </w:p>
        </w:tc>
        <w:tc>
          <w:tcPr>
            <w:tcW w:w="8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(0.6)</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18"/>
                <w:szCs w:val="18"/>
                <w:color w:val="auto"/>
              </w:rPr>
            </w:pPr>
          </w:p>
        </w:tc>
        <w:tc>
          <w:tcPr>
            <w:tcW w:w="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18"/>
                <w:szCs w:val="18"/>
                <w:color w:val="auto"/>
              </w:rPr>
            </w:pPr>
          </w:p>
        </w:tc>
      </w:tr>
      <w:tr>
        <w:trPr>
          <w:trHeight w:val="209"/>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are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680" w:type="dxa"/>
            <w:vAlign w:val="bottom"/>
            <w:tcBorders>
              <w:bottom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9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279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296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1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(10,369)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8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5" w:name="page116"/>
    <w:bookmarkEnd w:id="1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Significant components of the Company’s deferred income tax assets and liabilities are as follows (in thousands):</w:t>
      </w: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42"/>
        </w:trPr>
        <w:tc>
          <w:tcPr>
            <w:tcW w:w="5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40" w:type="dxa"/>
            <w:vAlign w:val="bottom"/>
          </w:tcPr>
          <w:p>
            <w:pPr>
              <w:spacing w:after="0"/>
              <w:rPr>
                <w:sz w:val="18"/>
                <w:szCs w:val="18"/>
                <w:color w:val="auto"/>
              </w:rPr>
            </w:pPr>
          </w:p>
        </w:tc>
      </w:tr>
      <w:tr>
        <w:trPr>
          <w:trHeight w:val="216"/>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40" w:type="dxa"/>
            <w:vAlign w:val="bottom"/>
            <w:shd w:val="clear" w:color="auto" w:fill="CCEEFF"/>
          </w:tcPr>
          <w:p>
            <w:pPr>
              <w:spacing w:after="0"/>
              <w:rPr>
                <w:sz w:val="18"/>
                <w:szCs w:val="18"/>
                <w:color w:val="auto"/>
              </w:rPr>
            </w:pPr>
          </w:p>
        </w:tc>
      </w:tr>
      <w:tr>
        <w:trPr>
          <w:trHeight w:val="216"/>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Allowances, reserves, and other</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(1,032)</w:t>
            </w:r>
          </w:p>
        </w:tc>
      </w:tr>
      <w:tr>
        <w:trPr>
          <w:trHeight w:val="216"/>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Outside basis difference</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loss on securities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40" w:type="dxa"/>
            <w:vAlign w:val="bottom"/>
          </w:tcPr>
          <w:p>
            <w:pPr>
              <w:spacing w:after="0"/>
              <w:rPr>
                <w:sz w:val="18"/>
                <w:szCs w:val="18"/>
                <w:color w:val="auto"/>
              </w:rPr>
            </w:pPr>
          </w:p>
        </w:tc>
      </w:tr>
      <w:tr>
        <w:trPr>
          <w:trHeight w:val="216"/>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 and credit carry-forwards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20,430</w:t>
            </w:r>
          </w:p>
        </w:tc>
        <w:tc>
          <w:tcPr>
            <w:tcW w:w="40" w:type="dxa"/>
            <w:vAlign w:val="bottom"/>
            <w:shd w:val="clear" w:color="auto" w:fill="CCEEFF"/>
          </w:tcPr>
          <w:p>
            <w:pPr>
              <w:spacing w:after="0"/>
              <w:rPr>
                <w:sz w:val="18"/>
                <w:szCs w:val="18"/>
                <w:color w:val="auto"/>
              </w:rPr>
            </w:pPr>
          </w:p>
        </w:tc>
      </w:tr>
      <w:tr>
        <w:trPr>
          <w:trHeight w:val="216"/>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24,962</w:t>
            </w:r>
          </w:p>
        </w:tc>
        <w:tc>
          <w:tcPr>
            <w:tcW w:w="40" w:type="dxa"/>
            <w:vAlign w:val="bottom"/>
          </w:tcPr>
          <w:p>
            <w:pPr>
              <w:spacing w:after="0"/>
              <w:rPr>
                <w:sz w:val="18"/>
                <w:szCs w:val="18"/>
                <w:color w:val="auto"/>
              </w:rPr>
            </w:pPr>
          </w:p>
        </w:tc>
      </w:tr>
      <w:tr>
        <w:trPr>
          <w:trHeight w:val="216"/>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Reserve for inventory excess and obsolescence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40" w:type="dxa"/>
            <w:vAlign w:val="bottom"/>
            <w:shd w:val="clear" w:color="auto" w:fill="CCEEFF"/>
          </w:tcPr>
          <w:p>
            <w:pPr>
              <w:spacing w:after="0"/>
              <w:rPr>
                <w:sz w:val="18"/>
                <w:szCs w:val="18"/>
                <w:color w:val="auto"/>
              </w:rPr>
            </w:pPr>
          </w:p>
        </w:tc>
      </w:tr>
      <w:tr>
        <w:trPr>
          <w:trHeight w:val="216"/>
        </w:trPr>
        <w:tc>
          <w:tcPr>
            <w:tcW w:w="5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40" w:type="dxa"/>
            <w:vAlign w:val="bottom"/>
            <w:tcBorders>
              <w:bottom w:val="single" w:sz="8" w:color="CCEEFF"/>
            </w:tcBorders>
          </w:tcPr>
          <w:p>
            <w:pPr>
              <w:spacing w:after="0"/>
              <w:rPr>
                <w:sz w:val="18"/>
                <w:szCs w:val="18"/>
                <w:color w:val="auto"/>
              </w:rPr>
            </w:pP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62,566</w:t>
            </w:r>
          </w:p>
        </w:tc>
        <w:tc>
          <w:tcPr>
            <w:tcW w:w="40" w:type="dxa"/>
            <w:vAlign w:val="bottom"/>
            <w:shd w:val="clear" w:color="auto" w:fill="CCEEFF"/>
          </w:tcPr>
          <w:p>
            <w:pPr>
              <w:spacing w:after="0"/>
              <w:rPr>
                <w:sz w:val="18"/>
                <w:szCs w:val="18"/>
                <w:color w:val="auto"/>
              </w:rPr>
            </w:pPr>
          </w:p>
        </w:tc>
      </w:tr>
      <w:tr>
        <w:trPr>
          <w:trHeight w:val="20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asset basis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(4,999)</w:t>
            </w:r>
          </w:p>
        </w:tc>
      </w:tr>
      <w:tr>
        <w:trPr>
          <w:trHeight w:val="216"/>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Right-of-use asset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(6,478)</w:t>
            </w:r>
          </w:p>
        </w:tc>
      </w:tr>
      <w:tr>
        <w:trPr>
          <w:trHeight w:val="216"/>
        </w:trPr>
        <w:tc>
          <w:tcPr>
            <w:tcW w:w="5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Intangibles basis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(3,109)</w:t>
            </w:r>
          </w:p>
        </w:tc>
      </w:tr>
      <w:tr>
        <w:trPr>
          <w:trHeight w:val="209"/>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40" w:type="dxa"/>
            <w:vAlign w:val="bottom"/>
            <w:tcBorders>
              <w:bottom w:val="single" w:sz="8" w:color="CCEEFF"/>
            </w:tcBorders>
          </w:tcPr>
          <w:p>
            <w:pPr>
              <w:spacing w:after="0"/>
              <w:rPr>
                <w:sz w:val="18"/>
                <w:szCs w:val="18"/>
                <w:color w:val="auto"/>
              </w:rPr>
            </w:pP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(22,503)</w:t>
            </w:r>
          </w:p>
        </w:tc>
        <w:tc>
          <w:tcPr>
            <w:tcW w:w="40" w:type="dxa"/>
            <w:vAlign w:val="bottom"/>
            <w:shd w:val="clear" w:color="auto" w:fill="CCEEFF"/>
          </w:tcPr>
          <w:p>
            <w:pPr>
              <w:spacing w:after="0"/>
              <w:rPr>
                <w:sz w:val="18"/>
                <w:szCs w:val="18"/>
                <w:color w:val="auto"/>
              </w:rPr>
            </w:pPr>
          </w:p>
        </w:tc>
      </w:tr>
      <w:tr>
        <w:trPr>
          <w:trHeight w:val="20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25,477</w:t>
            </w:r>
          </w:p>
        </w:tc>
        <w:tc>
          <w:tcPr>
            <w:tcW w:w="4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firstLine="648"/>
        <w:spacing w:after="0" w:line="255" w:lineRule="auto"/>
        <w:rPr>
          <w:sz w:val="20"/>
          <w:szCs w:val="20"/>
          <w:color w:val="auto"/>
        </w:rPr>
      </w:pPr>
      <w:r>
        <w:rPr>
          <w:rFonts w:ascii="Times New Roman" w:cs="Times New Roman" w:eastAsia="Times New Roman" w:hAnsi="Times New Roman"/>
          <w:sz w:val="18"/>
          <w:szCs w:val="18"/>
          <w:color w:val="auto"/>
        </w:rPr>
        <w:t>For tax years beginning in 2022, the Tax Cuts and Jobs Act of 2017 (“TCJA”) eliminated the option to currently deduct research and experimental (“R&amp;E”) expenditures in the period incurred and requires taxpayers to capitalize and amortize such expenditures over a period of five years (for U.S.-based research) or fifteen years (for non-U.S. based research), as applicable, pursuant to Section 174 of the Internal Revenue Code. As of April 30, 2024 and 2023, the Company recorded a tax adjustment to capitalize and amortize its R&amp;E costs, which resulted in an increase to income taxes payable of approximately $42,788,000 and $24,962,000, respectively, and a decrease to net deferred tax liabilities of a similar amount.</w:t>
      </w:r>
    </w:p>
    <w:p>
      <w:pPr>
        <w:spacing w:after="0" w:line="189" w:lineRule="exact"/>
        <w:rPr>
          <w:sz w:val="20"/>
          <w:szCs w:val="20"/>
          <w:color w:val="auto"/>
        </w:rPr>
      </w:pPr>
    </w:p>
    <w:p>
      <w:pPr>
        <w:ind w:left="40" w:right="79" w:firstLine="648"/>
        <w:spacing w:after="0" w:line="261" w:lineRule="auto"/>
        <w:rPr>
          <w:sz w:val="20"/>
          <w:szCs w:val="20"/>
          <w:color w:val="auto"/>
        </w:rPr>
      </w:pPr>
      <w:r>
        <w:rPr>
          <w:rFonts w:ascii="Times New Roman" w:cs="Times New Roman" w:eastAsia="Times New Roman" w:hAnsi="Times New Roman"/>
          <w:sz w:val="18"/>
          <w:szCs w:val="18"/>
          <w:color w:val="auto"/>
        </w:rPr>
        <w:t>At April 30, 2024 and 2023 the Company recorded a valuation allowance of $23,835,000 and $22,503,000, respectively, primarily against state R&amp;D credits as the Company is currently generating more tax credits than it will utilize in future years and against capital loss carryforward. The valuation allowance increased by $1,332,000 and decreased by $2,337,000 for April 30, 2024 and April 30, 2023, respectively.</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 April 30, 2024 the Company had state credit carryforwards of $24,054,000 that do not expire.</w:t>
      </w:r>
    </w:p>
    <w:p>
      <w:pPr>
        <w:spacing w:after="0" w:line="225" w:lineRule="exact"/>
        <w:rPr>
          <w:sz w:val="20"/>
          <w:szCs w:val="20"/>
          <w:color w:val="auto"/>
        </w:rPr>
      </w:pPr>
    </w:p>
    <w:p>
      <w:pPr>
        <w:ind w:left="40" w:right="199" w:firstLine="648"/>
        <w:spacing w:after="0" w:line="258" w:lineRule="auto"/>
        <w:rPr>
          <w:sz w:val="20"/>
          <w:szCs w:val="20"/>
          <w:color w:val="auto"/>
        </w:rPr>
      </w:pPr>
      <w:r>
        <w:rPr>
          <w:rFonts w:ascii="Times New Roman" w:cs="Times New Roman" w:eastAsia="Times New Roman" w:hAnsi="Times New Roman"/>
          <w:sz w:val="18"/>
          <w:szCs w:val="18"/>
          <w:color w:val="auto"/>
        </w:rPr>
        <w:t>At April 30, 2024, the Company had federal, state and foreign net operating loss carryforwards of approximately $2,464,000, $99,333,000 and $74,000, respectively. The federal net operating losses carry forward indefinitely. The state net operating losses will begin expiring in fiscal year 2035, and the foreign loss carry forward indefinitely. Utilization of federal and state net operating loss carryforwards may be subject to substantial annual limitation due to the ownership changes as provided by Section 382 of the Internal Revenue Code and similar state provisions.</w:t>
      </w:r>
    </w:p>
    <w:p>
      <w:pPr>
        <w:spacing w:after="0" w:line="183" w:lineRule="exact"/>
        <w:rPr>
          <w:sz w:val="20"/>
          <w:szCs w:val="20"/>
          <w:color w:val="auto"/>
        </w:rPr>
      </w:pPr>
    </w:p>
    <w:p>
      <w:pPr>
        <w:ind w:left="40" w:right="239" w:firstLine="648"/>
        <w:spacing w:after="0" w:line="261" w:lineRule="auto"/>
        <w:rPr>
          <w:sz w:val="20"/>
          <w:szCs w:val="20"/>
          <w:color w:val="auto"/>
        </w:rPr>
      </w:pPr>
      <w:r>
        <w:rPr>
          <w:rFonts w:ascii="Times New Roman" w:cs="Times New Roman" w:eastAsia="Times New Roman" w:hAnsi="Times New Roman"/>
          <w:sz w:val="18"/>
          <w:szCs w:val="18"/>
          <w:color w:val="auto"/>
        </w:rPr>
        <w:t>At April 30, 2024 and 2023, the Company had approximately $13,601,000 and $12,841,000, respectively, of unrecognized tax benefits of which $5,139,000 would impact the Company’s rate and $6,517,000 would result in an increase in valuation allowance. The Company estimates that $1,616,000 of its unrecognized tax benefits will decrease in the next twelve months due to statute of limitation expiration.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Company’s gross unrecognized tax benefits for the years ended April 30, 2024 and 2022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156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42"/>
        </w:trPr>
        <w:tc>
          <w:tcPr>
            <w:tcW w:w="55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r>
      <w:tr>
        <w:trPr>
          <w:trHeight w:val="20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May 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$ 12,841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$ 17,806</w:t>
            </w:r>
          </w:p>
        </w:tc>
        <w:tc>
          <w:tcPr>
            <w:tcW w:w="4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4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related to lapsing of statute of limitations</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(1,241)</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(5,843)</w:t>
            </w: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April 30</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$ 13,601</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$ 12,841</w:t>
            </w:r>
          </w:p>
        </w:tc>
        <w:tc>
          <w:tcPr>
            <w:tcW w:w="4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40" w:right="31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interest and penalties on uncertain tax positions to income tax expense. As of April 30, 2024 and 2023, the Company had accrued approximately $283,000 and $282,000, respectively, of interest and penalties related to uncertain tax positions. The 2020 to 2023 tax years remain open to examination by the IRS for federal income taxes. The tax years 2013 and 2019 to 2023 remain open for major state taxing jurisdictions.</w:t>
      </w:r>
    </w:p>
    <w:p>
      <w:pPr>
        <w:spacing w:after="0" w:line="176" w:lineRule="exact"/>
        <w:rPr>
          <w:sz w:val="20"/>
          <w:szCs w:val="20"/>
          <w:color w:val="auto"/>
        </w:rPr>
      </w:pPr>
    </w:p>
    <w:p>
      <w:pPr>
        <w:ind w:left="700" w:hanging="656"/>
        <w:spacing w:after="0"/>
        <w:tabs>
          <w:tab w:leader="none" w:pos="7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Plan and Issuances</w:t>
      </w:r>
    </w:p>
    <w:p>
      <w:pPr>
        <w:spacing w:after="0" w:line="229" w:lineRule="exact"/>
        <w:rPr>
          <w:sz w:val="20"/>
          <w:szCs w:val="20"/>
          <w:color w:val="auto"/>
        </w:rPr>
      </w:pPr>
    </w:p>
    <w:p>
      <w:pPr>
        <w:ind w:left="4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Company’s share repurchase program announced September 2015 was terminated by the Company’s Board of Directors in September 2022.</w:t>
      </w:r>
    </w:p>
    <w:p>
      <w:pPr>
        <w:spacing w:after="0" w:line="162" w:lineRule="exact"/>
        <w:rPr>
          <w:sz w:val="20"/>
          <w:szCs w:val="20"/>
          <w:color w:val="auto"/>
        </w:rPr>
      </w:pPr>
    </w:p>
    <w:p>
      <w:pPr>
        <w:ind w:left="40" w:right="79" w:firstLine="648"/>
        <w:spacing w:after="0" w:line="230" w:lineRule="auto"/>
        <w:rPr>
          <w:sz w:val="20"/>
          <w:szCs w:val="20"/>
          <w:color w:val="auto"/>
        </w:rPr>
      </w:pPr>
      <w:r>
        <w:rPr>
          <w:rFonts w:ascii="Times New Roman" w:cs="Times New Roman" w:eastAsia="Times New Roman" w:hAnsi="Times New Roman"/>
          <w:sz w:val="18"/>
          <w:szCs w:val="18"/>
          <w:color w:val="auto"/>
        </w:rPr>
        <w:t>On September 8, 2022 the Company filed an S-3 shelf registration statement to offer and sell shares of the Company’s common stock, including a prospectus supplement in relation to an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also dated September 8, 2022, with Jefferies LLC relating to the proposed offer and sale of shares of the Company’s common stock having an aggregate offering price of up to $200,000,000 from time to time through Jefferies LLC as the sales agent. During the fiscal year ended April 30, 2024, the Company completed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and the Company sold 807,370 shares, for total gross proceeds of $91,313,000, total proceeds received of $88,574,000, net of commission expense, and $88,437,000, net of equity issuance costs. During the fiscal year ended April 30, 2023, the Company sold 1,109,730 of its shares for total gross proceeds of $108,686,000, total proceeds received of $105,425,000, net of commission expense and $104,649,000, net of equity issuance costs.</w:t>
      </w:r>
    </w:p>
    <w:p>
      <w:pPr>
        <w:spacing w:after="0" w:line="194" w:lineRule="exact"/>
        <w:rPr>
          <w:sz w:val="20"/>
          <w:szCs w:val="20"/>
          <w:color w:val="auto"/>
        </w:rPr>
      </w:pPr>
    </w:p>
    <w:p>
      <w:pPr>
        <w:ind w:left="700" w:hanging="656"/>
        <w:spacing w:after="0"/>
        <w:tabs>
          <w:tab w:leader="none" w:pos="7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1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Accumulated</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0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Translation Adjustments</w:t>
            </w:r>
          </w:p>
        </w:tc>
        <w:tc>
          <w:tcPr>
            <w:tcW w:w="10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6"/>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accumulated other comprehensive loss balance as of April 30, 2023</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foreign currency translation adjustments</w:t>
            </w:r>
          </w:p>
        </w:tc>
        <w:tc>
          <w:tcPr>
            <w:tcW w:w="160" w:type="dxa"/>
            <w:vAlign w:val="bottom"/>
          </w:tcPr>
          <w:p>
            <w:pPr>
              <w:spacing w:after="0"/>
              <w:rPr>
                <w:sz w:val="17"/>
                <w:szCs w:val="17"/>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(1,140)</w:t>
            </w:r>
          </w:p>
        </w:tc>
        <w:tc>
          <w:tcPr>
            <w:tcW w:w="1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(1,140)</w:t>
            </w:r>
          </w:p>
        </w:tc>
        <w:tc>
          <w:tcPr>
            <w:tcW w:w="0" w:type="dxa"/>
            <w:vAlign w:val="bottom"/>
          </w:tcPr>
          <w:p>
            <w:pPr>
              <w:spacing w:after="0"/>
              <w:rPr>
                <w:sz w:val="1"/>
                <w:szCs w:val="1"/>
                <w:color w:val="auto"/>
              </w:rPr>
            </w:pPr>
          </w:p>
        </w:tc>
      </w:tr>
      <w:tr>
        <w:trPr>
          <w:trHeight w:val="196"/>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accumulated other comprehensive loss balance as of April 30, 2024</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720" w:hanging="676"/>
        <w:spacing w:after="0"/>
        <w:tabs>
          <w:tab w:leader="none" w:pos="7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Accounting Estimates</w:t>
      </w:r>
    </w:p>
    <w:p>
      <w:pPr>
        <w:spacing w:after="0" w:line="148"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During the years ended April 30, 2024, 2023 and 2022, the Company revised its estimates at completion of various contracts recognized using the over time method, which resulted in cumulative catch up adjustments during the year in which the change in estimate occurred. The change in estimate was a result of the Company changing the total costs required to complete the contracts due to having more accurate cost information as work progressed in subsequent periods on the various contracts. During the year ended April 30, 2024, the Company revised estimates to complete two LMS contracts. The aggregate impact of these adjustments in contract estimates on revenue related to performance obligations satisfied or partially satisfied in previous periods was an increase to revenue of approximately $2,672,000. During the years ended April 30, 2023 and 2022, the Company revised its estimates of the total expected costs to complete a LMS contract. The aggregate impact of these adjustments in contract estimates on revenue related to performance obligations satisfied or partially satisfied in previous periods was a decrease to revenue of approximately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$1,898,000 and $1,124,000, respectively. During the fiscal year ended April 30, 2023, due to the closure of all of the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Company’s MUAS COCO sites, the Company revised the estimated useful life of the MUAS customer relationship</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intangible asset which resulted in accelerated intangible amortization expenses of $34,149,000, increasing net loss by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$26,158,000, or loss per diluted share of $1.04. During the year ended April 30, 2022, the Company revised its estimates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achievement of the performance metrics of the Company’s long term incentive plans, which resulted in a cumulative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adjustment to reduce previously recognized compensation expense of $1,602,000.</w:t>
      </w:r>
    </w:p>
    <w:p>
      <w:pPr>
        <w:spacing w:after="0" w:line="203" w:lineRule="exact"/>
        <w:rPr>
          <w:sz w:val="20"/>
          <w:szCs w:val="20"/>
          <w:color w:val="auto"/>
        </w:rPr>
      </w:pPr>
    </w:p>
    <w:p>
      <w:pPr>
        <w:ind w:left="720" w:hanging="676"/>
        <w:spacing w:after="0"/>
        <w:tabs>
          <w:tab w:leader="none" w:pos="7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48" w:lineRule="exact"/>
        <w:rPr>
          <w:sz w:val="20"/>
          <w:szCs w:val="20"/>
          <w:color w:val="auto"/>
        </w:rPr>
      </w:pPr>
    </w:p>
    <w:p>
      <w:pPr>
        <w:ind w:left="40" w:right="279" w:firstLine="648"/>
        <w:spacing w:after="0" w:line="282" w:lineRule="auto"/>
        <w:rPr>
          <w:sz w:val="20"/>
          <w:szCs w:val="20"/>
          <w:color w:val="auto"/>
        </w:rPr>
      </w:pPr>
      <w:r>
        <w:rPr>
          <w:rFonts w:ascii="Times New Roman" w:cs="Times New Roman" w:eastAsia="Times New Roman" w:hAnsi="Times New Roman"/>
          <w:sz w:val="18"/>
          <w:szCs w:val="18"/>
          <w:color w:val="auto"/>
        </w:rPr>
        <w:t>Pursuant to a consulting agreement, the Company paid a board member approximately $76,000 and $36,000 for fiscal years ended April 30, 2023 and 2022, respectively, for consulting services independent of his board service.</w:t>
      </w:r>
    </w:p>
    <w:p>
      <w:pPr>
        <w:spacing w:after="0" w:line="162" w:lineRule="exact"/>
        <w:rPr>
          <w:sz w:val="20"/>
          <w:szCs w:val="20"/>
          <w:color w:val="auto"/>
        </w:rPr>
      </w:pPr>
    </w:p>
    <w:p>
      <w:pPr>
        <w:ind w:left="40" w:right="119" w:firstLine="648"/>
        <w:spacing w:after="0" w:line="253" w:lineRule="auto"/>
        <w:rPr>
          <w:sz w:val="20"/>
          <w:szCs w:val="20"/>
          <w:color w:val="auto"/>
        </w:rPr>
      </w:pPr>
      <w:r>
        <w:rPr>
          <w:rFonts w:ascii="Times New Roman" w:cs="Times New Roman" w:eastAsia="Times New Roman" w:hAnsi="Times New Roman"/>
          <w:sz w:val="18"/>
          <w:szCs w:val="18"/>
          <w:color w:val="auto"/>
        </w:rPr>
        <w:t>Related party transactions are defined as transactions between the Company and entities either controlled by the Company or that the Company can significantly influence. Prior to the Company’s sale of all of its equity interest in HAPSMobile in March 2022, the Company determined that it had the ability to exercise significant influence over HAPSMobile. As such, HAPSMobile and SoftBank were considered related parties of the Company prior to the sale. Subsequent to the sale, the Company had no ownership stake in HAPSMobile, and SoftBank and HAPSMobile are no longer considered related parties. Under the DDA and related efforts with HAPSMobile, the Company designed and built prototype solar powered high altitude aircraft and ground control stations for HAPSMobile and conducted low altitude and high altitude flight tests of the prototype aircraft on a best efforts basis. The Company will continue the development of Solar HAPS with SoftBank under the MDDA. Upon the execution of the MDDA, SoftBank issued the first order under the MDDA, which has a maximum value of approximately $51,200,000.</w:t>
      </w:r>
    </w:p>
    <w:p>
      <w:pPr>
        <w:spacing w:after="0" w:line="194" w:lineRule="exact"/>
        <w:rPr>
          <w:sz w:val="20"/>
          <w:szCs w:val="20"/>
          <w:color w:val="auto"/>
        </w:rPr>
      </w:pPr>
    </w:p>
    <w:p>
      <w:pPr>
        <w:ind w:left="40" w:right="11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revenue under both the MDDA and DDA and preliminary design agreements between the Company and SoftBank of $43,325,000 for the fiscal year ended April 30, 2022. As of April 30, 2024 and 2023, the Company had no ownership stake in HAPSMobile and SoftBank and HAPSMobile are no longer considered related parties. Refer to Note 8— Investments in Companies Accounted for Using the Equity Method for further details.</w:t>
      </w:r>
    </w:p>
    <w:p>
      <w:pPr>
        <w:spacing w:after="0" w:line="176" w:lineRule="exact"/>
        <w:rPr>
          <w:sz w:val="20"/>
          <w:szCs w:val="20"/>
          <w:color w:val="auto"/>
        </w:rPr>
      </w:pPr>
    </w:p>
    <w:p>
      <w:pPr>
        <w:ind w:left="720" w:hanging="676"/>
        <w:spacing w:after="0"/>
        <w:tabs>
          <w:tab w:leader="none" w:pos="7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 Company’s operations are conducted in leased facilities. Refer to Note 12—Leases for additional information.</w:t>
      </w:r>
    </w:p>
    <w:p>
      <w:pPr>
        <w:spacing w:after="0" w:line="23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left="40" w:right="339"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legal proceedings and claims which arise out of the ordinary course of its business. Although adverse decisions or settlements may occur, the Company, in consultation with legal counsel, believes that the final disposition of such matters will not have a material adverse effect on the consolidated financial position, results of operations or cash flows of the Company.</w:t>
      </w:r>
    </w:p>
    <w:p>
      <w:pPr>
        <w:spacing w:after="0" w:line="180" w:lineRule="exact"/>
        <w:rPr>
          <w:sz w:val="20"/>
          <w:szCs w:val="20"/>
          <w:color w:val="auto"/>
        </w:rPr>
      </w:pPr>
    </w:p>
    <w:p>
      <w:pPr>
        <w:ind w:left="40" w:right="219" w:firstLine="648"/>
        <w:spacing w:after="0" w:line="282" w:lineRule="auto"/>
        <w:rPr>
          <w:sz w:val="20"/>
          <w:szCs w:val="20"/>
          <w:color w:val="auto"/>
        </w:rPr>
      </w:pPr>
      <w:r>
        <w:rPr>
          <w:rFonts w:ascii="Times New Roman" w:cs="Times New Roman" w:eastAsia="Times New Roman" w:hAnsi="Times New Roman"/>
          <w:sz w:val="18"/>
          <w:szCs w:val="18"/>
          <w:color w:val="auto"/>
        </w:rPr>
        <w:t>At April 30, 2024 and 2023, the Company had outstanding letters of credit totaling $15,668,000 and $8,076,000, respectively.</w:t>
      </w:r>
    </w:p>
    <w:p>
      <w:pPr>
        <w:spacing w:after="0" w:line="162" w:lineRule="exact"/>
        <w:rPr>
          <w:sz w:val="20"/>
          <w:szCs w:val="20"/>
          <w:color w:val="auto"/>
        </w:rPr>
      </w:pPr>
    </w:p>
    <w:p>
      <w:pPr>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On June 29, 2018, the Company completed the sale of substantially all of the assets and related liabilities of its efficient energy systems business segment (the “EES Business”) to Webasto Charging Systems, Inc. (“Webasto”) pursuant to an Asset Purchase Agreement (the “Purchase Agreement”) between Webasto and the Company.</w:t>
      </w:r>
    </w:p>
    <w:p>
      <w:pPr>
        <w:spacing w:after="0" w:line="176" w:lineRule="exact"/>
        <w:rPr>
          <w:sz w:val="20"/>
          <w:szCs w:val="20"/>
          <w:color w:val="auto"/>
        </w:rPr>
      </w:pPr>
    </w:p>
    <w:p>
      <w:pPr>
        <w:ind w:left="40" w:right="119" w:firstLine="648"/>
        <w:spacing w:after="0" w:line="256" w:lineRule="auto"/>
        <w:rPr>
          <w:sz w:val="20"/>
          <w:szCs w:val="20"/>
          <w:color w:val="auto"/>
        </w:rPr>
      </w:pPr>
      <w:r>
        <w:rPr>
          <w:rFonts w:ascii="Times New Roman" w:cs="Times New Roman" w:eastAsia="Times New Roman" w:hAnsi="Times New Roman"/>
          <w:sz w:val="18"/>
          <w:szCs w:val="18"/>
          <w:color w:val="auto"/>
        </w:rPr>
        <w:t>On February 22, 2019, Webasto filed a lawsuit, which was amended in April 2019, alleging several claims against the Company for breach of contract, indemnity, and bad faith, including allegations regarding inaccuracy of certain diligence disclosures and failure to provide certain consents to contract assignments, and related to a previously announced product recall. Webasto sought to recover the costs of the recall and other damages totaling a minimum of $6,500,000 in addition to attorneys’ fees, costs, and punitive damages. On August 16, 2019, the Company filed a counterclaim against Webasto seeking payment of $6,500,000 in additional cash consideration due under the Purchase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99"/>
        <w:spacing w:after="0" w:line="266" w:lineRule="auto"/>
        <w:rPr>
          <w:sz w:val="20"/>
          <w:szCs w:val="20"/>
          <w:color w:val="auto"/>
        </w:rPr>
      </w:pPr>
      <w:r>
        <w:rPr>
          <w:rFonts w:ascii="Times New Roman" w:cs="Times New Roman" w:eastAsia="Times New Roman" w:hAnsi="Times New Roman"/>
          <w:sz w:val="18"/>
          <w:szCs w:val="18"/>
          <w:color w:val="auto"/>
        </w:rPr>
        <w:t>Agreement (the “Holdback”) and declaratory relief regarding Webasto’s cancellation of an assigned contract. Webasto again amended the complaint in May 2021 to include additional claims. On June 2, 2021, the Company filed an answer to Webasto’s second amended complaint filed in May 2021.</w:t>
      </w:r>
    </w:p>
    <w:p>
      <w:pPr>
        <w:spacing w:after="0" w:line="176" w:lineRule="exact"/>
        <w:rPr>
          <w:sz w:val="20"/>
          <w:szCs w:val="20"/>
          <w:color w:val="auto"/>
        </w:rPr>
      </w:pPr>
    </w:p>
    <w:p>
      <w:pPr>
        <w:ind w:left="40" w:right="59" w:firstLine="648"/>
        <w:spacing w:after="0" w:line="252" w:lineRule="auto"/>
        <w:rPr>
          <w:sz w:val="20"/>
          <w:szCs w:val="20"/>
          <w:color w:val="auto"/>
        </w:rPr>
      </w:pPr>
      <w:r>
        <w:rPr>
          <w:rFonts w:ascii="Times New Roman" w:cs="Times New Roman" w:eastAsia="Times New Roman" w:hAnsi="Times New Roman"/>
          <w:sz w:val="18"/>
          <w:szCs w:val="18"/>
          <w:color w:val="auto"/>
        </w:rPr>
        <w:t>In order to avoid the future cost, expense, and distraction of continued litigation, the Company engaged in settlement negotiations with Webasto in May 2021. The Company established a litigation reserve, which reflected the scope of a rejected offer intended to communicate the Company’s serious and good faith intention to attempt to reach a settlement for the stated purposes. The offer did not reflect the Company’s view of the merits of the claims made; however, as a result of the preparation of the good faith offer and the Company’s willingness to pursue settlement for that amount, the Company recorded litigation reserve expenses in the amount of $9,300,000 during the year ended April 30, 2021, recorded in other expense on the consolidated statements of income (loss) and in other current liabilities on the consolidated balance sheet. On December 2, 2021, the Company agreed in principle, subject to formal documentation with Webasto, to settle all existing claims related to the sale of its former EES Business for $20,000,000 and Webasto keeping the Holdback. As a result of the agreement in principle to settle the litigation, the Company recorded additional litigation reserve expenses in the amount of $10,000,000 during the three months ended October 30, 2021, in other expense on the consolidated statements of operations and in other current liabilities on the consolidated balance sheet. The Company executed a written settlement agreement with Webasto effective December 16, 2021 to officially and fully settle all claims in the lawsuit. Under the terms of the written settlement agreement, the Company’s payment of the settlement amount of $20,000,000 occurred over a 24-month period from the effective date of the settlement agreement, and Webasto retained the Holdback. As of April 30, 2023, the entire settlement amount has been paid.</w:t>
      </w:r>
    </w:p>
    <w:p>
      <w:pPr>
        <w:spacing w:after="0" w:line="1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Contract Cost Audits</w:t>
      </w:r>
    </w:p>
    <w:p>
      <w:pPr>
        <w:spacing w:after="0" w:line="229" w:lineRule="exact"/>
        <w:rPr>
          <w:sz w:val="20"/>
          <w:szCs w:val="20"/>
          <w:color w:val="auto"/>
        </w:rPr>
      </w:pPr>
    </w:p>
    <w:p>
      <w:pPr>
        <w:ind w:left="40" w:right="59" w:firstLine="648"/>
        <w:spacing w:after="0" w:line="281" w:lineRule="auto"/>
        <w:rPr>
          <w:sz w:val="20"/>
          <w:szCs w:val="20"/>
          <w:color w:val="auto"/>
        </w:rPr>
      </w:pPr>
      <w:r>
        <w:rPr>
          <w:rFonts w:ascii="Times New Roman" w:cs="Times New Roman" w:eastAsia="Times New Roman" w:hAnsi="Times New Roman"/>
          <w:sz w:val="17"/>
          <w:szCs w:val="17"/>
          <w:color w:val="auto"/>
        </w:rPr>
        <w:t>Payments to the Company on government cost reimbursable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spacing w:after="0" w:line="164" w:lineRule="exact"/>
        <w:rPr>
          <w:sz w:val="20"/>
          <w:szCs w:val="20"/>
          <w:color w:val="auto"/>
        </w:rPr>
      </w:pPr>
    </w:p>
    <w:p>
      <w:pPr>
        <w:ind w:left="40" w:right="279" w:firstLine="648"/>
        <w:spacing w:after="0" w:line="256" w:lineRule="auto"/>
        <w:rPr>
          <w:sz w:val="20"/>
          <w:szCs w:val="20"/>
          <w:color w:val="auto"/>
        </w:rPr>
      </w:pPr>
      <w:r>
        <w:rPr>
          <w:rFonts w:ascii="Times New Roman" w:cs="Times New Roman" w:eastAsia="Times New Roman" w:hAnsi="Times New Roman"/>
          <w:sz w:val="18"/>
          <w:szCs w:val="18"/>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w:t>
      </w:r>
    </w:p>
    <w:p>
      <w:pPr>
        <w:spacing w:after="0" w:line="187" w:lineRule="exact"/>
        <w:rPr>
          <w:sz w:val="20"/>
          <w:szCs w:val="20"/>
          <w:color w:val="auto"/>
        </w:rPr>
      </w:pPr>
    </w:p>
    <w:p>
      <w:pPr>
        <w:jc w:val="both"/>
        <w:ind w:left="40" w:right="459" w:firstLine="648"/>
        <w:spacing w:after="0" w:line="266" w:lineRule="auto"/>
        <w:rPr>
          <w:sz w:val="20"/>
          <w:szCs w:val="20"/>
          <w:color w:val="auto"/>
        </w:rPr>
      </w:pPr>
      <w:r>
        <w:rPr>
          <w:rFonts w:ascii="Times New Roman" w:cs="Times New Roman" w:eastAsia="Times New Roman" w:hAnsi="Times New Roman"/>
          <w:sz w:val="18"/>
          <w:szCs w:val="18"/>
          <w:color w:val="auto"/>
        </w:rPr>
        <w:t>The Company’s revenue recognition policy calls for revenue recognized on all cost reimbursable government contracts to be recorded at actual rates unless collectability is not reasonably assured. At April 30, 2024 and 2023, the Company had no reserve for open incurred cost claim audits.</w:t>
      </w:r>
    </w:p>
    <w:p>
      <w:pPr>
        <w:spacing w:after="0" w:line="172" w:lineRule="exact"/>
        <w:rPr>
          <w:sz w:val="20"/>
          <w:szCs w:val="20"/>
          <w:color w:val="auto"/>
        </w:rPr>
      </w:pPr>
    </w:p>
    <w:p>
      <w:pPr>
        <w:ind w:left="700" w:right="6539" w:hanging="656"/>
        <w:spacing w:after="0" w:line="532" w:lineRule="auto"/>
        <w:tabs>
          <w:tab w:leader="none" w:pos="682"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Acquisitions Tomahawk Acquisition</w:t>
      </w:r>
    </w:p>
    <w:p>
      <w:pPr>
        <w:spacing w:after="0" w:line="1" w:lineRule="exact"/>
        <w:rPr>
          <w:sz w:val="20"/>
          <w:szCs w:val="20"/>
          <w:color w:val="auto"/>
        </w:rPr>
      </w:pPr>
    </w:p>
    <w:p>
      <w:pPr>
        <w:ind w:left="40" w:right="119" w:firstLine="648"/>
        <w:spacing w:after="0" w:line="254" w:lineRule="auto"/>
        <w:rPr>
          <w:sz w:val="20"/>
          <w:szCs w:val="20"/>
          <w:color w:val="auto"/>
        </w:rPr>
      </w:pPr>
      <w:r>
        <w:rPr>
          <w:rFonts w:ascii="Times New Roman" w:cs="Times New Roman" w:eastAsia="Times New Roman" w:hAnsi="Times New Roman"/>
          <w:sz w:val="18"/>
          <w:szCs w:val="18"/>
          <w:color w:val="auto"/>
        </w:rPr>
        <w:t>On September 15, 2023, the Company closed its acquisition of Tomahawk Robotics, Inc., a leader in AI-enabled robotic control systems. Pursuant to the merger agreement, the Company acquired 100% of Tomahawk equity for an aggregate purchase price of $134,467,000 consisting of 985,999 shares of restricted common stock of the Company valued at $109,820,000 and $27,205,000 cash-on-hand, net of $3,048,000 cash acquired, plus a $490,000 holdback. During the three months ended January 27, 2024, the holdback was decreased $100,000 as part of the working capital adjustment, and the total purchase price and goodwill, therefore, decreased by $100,000 as well. The fair value of the shares issued was the closing price on September 15, 2023, the close of the Tomahawk purchase agreement. Tomahawk is incorporated into AeroVironment’s UxS segment. The acquisition will enable deeper integration of both companies’ technology, leading to enhanced interoperability and interconnectivity of uncrewed systems through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9" w:name="page120"/>
    <w:bookmarkEnd w:id="1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singular platform with similar control features. The Company accounted for the acquisition under the acquisition method of accounting for business combinations.</w:t>
      </w:r>
    </w:p>
    <w:p>
      <w:pPr>
        <w:spacing w:after="0" w:line="162" w:lineRule="exact"/>
        <w:rPr>
          <w:sz w:val="20"/>
          <w:szCs w:val="20"/>
          <w:color w:val="auto"/>
        </w:rPr>
      </w:pPr>
    </w:p>
    <w:p>
      <w:pPr>
        <w:ind w:left="40" w:right="159"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provisional allocation of the purchase price over the estimated fair value of the assets and liabilities assumed in the acquisition of Tomahawk. The purchase price allocation is expected to be finalized as soon as practicable within the measurement period, but not later than one year following the acquisition date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Fair value of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-136525</wp:posOffset>
            </wp:positionV>
            <wp:extent cx="565785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Unbilled receivable</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Inventories,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Prepaid and other current assets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Operating lease assets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Technology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Customer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Trademarks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Goodwill</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identifiable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5785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Fair value of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5785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Wages and related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Customer advances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Total liabilities assumed</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identifiable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5785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Fair value of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565785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Equity consideration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Cash consideration,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Holdback</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consideration</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September 15,</w:t>
      </w:r>
    </w:p>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37" w:lineRule="exact"/>
        <w:rPr>
          <w:sz w:val="20"/>
          <w:szCs w:val="20"/>
          <w:color w:val="auto"/>
        </w:rPr>
      </w:pPr>
    </w:p>
    <w:p>
      <w:pPr>
        <w:ind w:left="580" w:hanging="572"/>
        <w:spacing w:after="0"/>
        <w:tabs>
          <w:tab w:leader="none" w:pos="5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2,314</w:t>
      </w:r>
    </w:p>
    <w:p>
      <w:pPr>
        <w:spacing w:after="0" w:line="38" w:lineRule="exact"/>
        <w:rPr>
          <w:rFonts w:ascii="Times New Roman" w:cs="Times New Roman" w:eastAsia="Times New Roman" w:hAnsi="Times New Roman"/>
          <w:sz w:val="17"/>
          <w:szCs w:val="17"/>
          <w:color w:val="auto"/>
        </w:rPr>
      </w:pPr>
    </w:p>
    <w:p>
      <w:pPr>
        <w:ind w:left="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993</w:t>
      </w:r>
    </w:p>
    <w:p>
      <w:pPr>
        <w:spacing w:after="0" w:line="21"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2,882</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148</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1,789</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1,337</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71</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39,000</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4,800</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1,600</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2,865</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95,414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wp:posOffset>
            </wp:positionV>
            <wp:extent cx="6515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ind w:left="400" w:hanging="392"/>
        <w:spacing w:after="0"/>
        <w:tabs>
          <w:tab w:leader="none" w:pos="400" w:val="left"/>
        </w:tabs>
        <w:numPr>
          <w:ilvl w:val="0"/>
          <w:numId w:val="62"/>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153,213</w:t>
      </w:r>
    </w:p>
    <w:p>
      <w:pPr>
        <w:spacing w:after="0" w:line="200" w:lineRule="exact"/>
        <w:rPr>
          <w:sz w:val="20"/>
          <w:szCs w:val="20"/>
          <w:color w:val="auto"/>
        </w:rPr>
      </w:pPr>
    </w:p>
    <w:p>
      <w:pPr>
        <w:spacing w:after="0" w:line="288"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3,788</w:t>
      </w:r>
    </w:p>
    <w:p>
      <w:pPr>
        <w:spacing w:after="0" w:line="27"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620</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1,648</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482</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411</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855</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7</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11,035</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18,846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6515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3" w:lineRule="exact"/>
        <w:rPr>
          <w:sz w:val="20"/>
          <w:szCs w:val="20"/>
          <w:color w:val="auto"/>
        </w:rPr>
      </w:pPr>
    </w:p>
    <w:p>
      <w:pPr>
        <w:ind w:left="400" w:hanging="392"/>
        <w:spacing w:after="0"/>
        <w:tabs>
          <w:tab w:leader="none" w:pos="400" w:val="left"/>
        </w:tabs>
        <w:numPr>
          <w:ilvl w:val="0"/>
          <w:numId w:val="63"/>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134,367</w:t>
      </w:r>
    </w:p>
    <w:p>
      <w:pPr>
        <w:spacing w:after="0" w:line="200" w:lineRule="exact"/>
        <w:rPr>
          <w:sz w:val="20"/>
          <w:szCs w:val="20"/>
          <w:color w:val="auto"/>
        </w:rPr>
      </w:pPr>
    </w:p>
    <w:p>
      <w:pPr>
        <w:spacing w:after="0" w:line="288" w:lineRule="exact"/>
        <w:rPr>
          <w:sz w:val="20"/>
          <w:szCs w:val="20"/>
          <w:color w:val="auto"/>
        </w:rPr>
      </w:pPr>
    </w:p>
    <w:p>
      <w:pPr>
        <w:ind w:left="400" w:hanging="392"/>
        <w:spacing w:after="0"/>
        <w:tabs>
          <w:tab w:leader="none" w:pos="4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109,820</w:t>
      </w:r>
    </w:p>
    <w:p>
      <w:pPr>
        <w:spacing w:after="0" w:line="38" w:lineRule="exact"/>
        <w:rPr>
          <w:rFonts w:ascii="Times New Roman" w:cs="Times New Roman" w:eastAsia="Times New Roman" w:hAnsi="Times New Roman"/>
          <w:sz w:val="17"/>
          <w:szCs w:val="17"/>
          <w:color w:val="auto"/>
        </w:rPr>
      </w:pPr>
    </w:p>
    <w:p>
      <w:pPr>
        <w:ind w:left="4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24,157</w:t>
      </w:r>
    </w:p>
    <w:p>
      <w:pPr>
        <w:spacing w:after="0" w:line="9" w:lineRule="exact"/>
        <w:rPr>
          <w:rFonts w:ascii="Times New Roman" w:cs="Times New Roman" w:eastAsia="Times New Roman" w:hAnsi="Times New Roman"/>
          <w:sz w:val="17"/>
          <w:szCs w:val="17"/>
          <w:color w:val="auto"/>
        </w:rPr>
      </w:pPr>
    </w:p>
    <w:p>
      <w:pPr>
        <w:ind w:left="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wp:posOffset>
            </wp:positionV>
            <wp:extent cx="65151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 w:lineRule="exact"/>
        <w:rPr>
          <w:sz w:val="20"/>
          <w:szCs w:val="20"/>
          <w:color w:val="auto"/>
        </w:rPr>
      </w:pPr>
    </w:p>
    <w:p>
      <w:pPr>
        <w:ind w:left="400" w:hanging="392"/>
        <w:spacing w:after="0"/>
        <w:tabs>
          <w:tab w:leader="none" w:pos="400" w:val="left"/>
        </w:tabs>
        <w:numPr>
          <w:ilvl w:val="0"/>
          <w:numId w:val="65"/>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134,367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38735</wp:posOffset>
            </wp:positionV>
            <wp:extent cx="6515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7200" w:space="720"/>
            <w:col w:w="1099"/>
          </w:cols>
          <w:pgMar w:left="1440" w:top="513" w:right="1440" w:bottom="1440" w:gutter="0" w:footer="0" w:header="0"/>
          <w:type w:val="continuous"/>
        </w:sectPr>
      </w:pPr>
    </w:p>
    <w:p>
      <w:pPr>
        <w:spacing w:after="0" w:line="52"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Determining the fair value of the intangible assets acquired requires significant judgment, including the amount and timing of expected future cash flows, long-term growth rates and discount rates. The fair value of the intangible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87" w:lineRule="exact"/>
        <w:rPr>
          <w:sz w:val="20"/>
          <w:szCs w:val="20"/>
          <w:color w:val="auto"/>
        </w:rPr>
      </w:pPr>
    </w:p>
    <w:p>
      <w:pPr>
        <w:ind w:left="40" w:right="319" w:firstLine="648"/>
        <w:spacing w:after="0" w:line="312" w:lineRule="auto"/>
        <w:rPr>
          <w:sz w:val="20"/>
          <w:szCs w:val="20"/>
          <w:color w:val="auto"/>
        </w:rPr>
      </w:pPr>
      <w:r>
        <w:rPr>
          <w:rFonts w:ascii="Times New Roman" w:cs="Times New Roman" w:eastAsia="Times New Roman" w:hAnsi="Times New Roman"/>
          <w:sz w:val="17"/>
          <w:szCs w:val="17"/>
          <w:color w:val="auto"/>
        </w:rPr>
        <w:t>The goodwill is attributable to the synergies the Company expects to achieve through leveraging the acquired technology to its existing customers, the workforce of Tomahawk and expected future customers in the UxS market. For</w:t>
      </w:r>
    </w:p>
    <w:p>
      <w:pPr>
        <w:sectPr>
          <w:pgSz w:w="11900" w:h="16838" w:orient="portrait"/>
          <w:cols w:equalWidth="0" w:num="1">
            <w:col w:w="9019"/>
          </w:cols>
          <w:pgMar w:left="1440" w:top="513" w:right="1440" w:bottom="1440" w:gutter="0" w:footer="0" w:header="0"/>
          <w:type w:val="continuous"/>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income tax purposes the acquisition is treated as a stock acquisition, and none of the goodwill is expected to be deductible.</w:t>
      </w: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Tomahawk Supplemental Pro Forma Information (unaudited)</w:t>
      </w:r>
    </w:p>
    <w:p>
      <w:pPr>
        <w:spacing w:after="0" w:line="229" w:lineRule="exact"/>
        <w:rPr>
          <w:sz w:val="20"/>
          <w:szCs w:val="20"/>
          <w:color w:val="auto"/>
        </w:rPr>
      </w:pPr>
    </w:p>
    <w:p>
      <w:pPr>
        <w:ind w:left="40" w:right="79" w:firstLine="648"/>
        <w:spacing w:after="0" w:line="258" w:lineRule="auto"/>
        <w:rPr>
          <w:sz w:val="20"/>
          <w:szCs w:val="20"/>
          <w:color w:val="auto"/>
        </w:rPr>
      </w:pPr>
      <w:r>
        <w:rPr>
          <w:rFonts w:ascii="Times New Roman" w:cs="Times New Roman" w:eastAsia="Times New Roman" w:hAnsi="Times New Roman"/>
          <w:sz w:val="18"/>
          <w:szCs w:val="18"/>
          <w:color w:val="auto"/>
        </w:rPr>
        <w:t>Tomahawk revenue since acquisition on September 15, 2023 was $15,883,000 as of April 30, 2024. Other than the aforementioned revenue and intangible asset amortization expense of $5,730,000 for the year ended April 30, 2024 since the acquisition on September 15, 2023, the Tomahawk financial results were not significant. The following unaudited pro forma summary presents condensed consolidated information of the Company as if the business acquisition had occurred on May 1, 2022 (in thousands):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227"/>
        </w:trPr>
        <w:tc>
          <w:tcPr>
            <w:tcW w:w="4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99"/>
        </w:trPr>
        <w:tc>
          <w:tcPr>
            <w:tcW w:w="44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7"/>
                <w:szCs w:val="17"/>
                <w:color w:val="auto"/>
              </w:rPr>
            </w:pP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727,241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551,845</w:t>
            </w:r>
          </w:p>
        </w:tc>
        <w:tc>
          <w:tcPr>
            <w:tcW w:w="240" w:type="dxa"/>
            <w:vAlign w:val="bottom"/>
            <w:shd w:val="clear" w:color="auto" w:fill="CCEEFF"/>
          </w:tcPr>
          <w:p>
            <w:pPr>
              <w:spacing w:after="0"/>
              <w:rPr>
                <w:sz w:val="18"/>
                <w:szCs w:val="18"/>
                <w:color w:val="auto"/>
              </w:rPr>
            </w:pPr>
          </w:p>
        </w:tc>
      </w:t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AeroVironment, Inc.</w:t>
            </w:r>
          </w:p>
        </w:tc>
        <w:tc>
          <w:tcPr>
            <w:tcW w:w="9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57,273</w:t>
            </w:r>
          </w:p>
        </w:tc>
        <w:tc>
          <w:tcPr>
            <w:tcW w:w="6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(190,658)</w:t>
            </w:r>
          </w:p>
        </w:tc>
        <w:tc>
          <w:tcPr>
            <w:tcW w:w="240" w:type="dxa"/>
            <w:vAlign w:val="bottom"/>
          </w:tcPr>
          <w:p>
            <w:pPr>
              <w:spacing w:after="0"/>
              <w:rPr>
                <w:sz w:val="20"/>
                <w:szCs w:val="20"/>
                <w:color w:val="auto"/>
              </w:rPr>
            </w:pPr>
          </w:p>
        </w:tc>
      </w:tr>
    </w:tbl>
    <w:p>
      <w:pPr>
        <w:spacing w:after="0" w:line="179"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any material, nonrecurring pro forma adjustments directly attributable to the business acquisition included in the reported pro forma revenue and earnings.</w:t>
      </w:r>
    </w:p>
    <w:p>
      <w:pPr>
        <w:spacing w:after="0" w:line="162"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These pro forma amounts have been calculated by applying the Company’s accounting policies, assuming transaction costs had been incurred during the three months ended July 30, 2022, reflecting the additional amortization that would have been charged and including the results of Tomahawk prior to acquisition.</w:t>
      </w:r>
    </w:p>
    <w:p>
      <w:pPr>
        <w:spacing w:after="0" w:line="176" w:lineRule="exact"/>
        <w:rPr>
          <w:sz w:val="20"/>
          <w:szCs w:val="20"/>
          <w:color w:val="auto"/>
        </w:rPr>
      </w:pPr>
    </w:p>
    <w:p>
      <w:pPr>
        <w:jc w:val="both"/>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The Company incurred approximately $1,873,000 of acquisition-related expenses for the fiscal year ended April 30, 2024. These expenses are included in selling, general and administrative on the Company’s consolidated statements of income (loss).</w:t>
      </w:r>
    </w:p>
    <w:p>
      <w:pPr>
        <w:spacing w:after="0" w:line="176" w:lineRule="exact"/>
        <w:rPr>
          <w:sz w:val="20"/>
          <w:szCs w:val="20"/>
          <w:color w:val="auto"/>
        </w:rPr>
      </w:pPr>
    </w:p>
    <w:p>
      <w:pPr>
        <w:ind w:left="40" w:right="299"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2022, nor are they indicative of results of operations that may occur in the future.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Planck Acquisition</w:t>
      </w:r>
    </w:p>
    <w:p>
      <w:pPr>
        <w:spacing w:after="0" w:line="229" w:lineRule="exact"/>
        <w:rPr>
          <w:sz w:val="20"/>
          <w:szCs w:val="20"/>
          <w:color w:val="auto"/>
        </w:rPr>
      </w:pPr>
    </w:p>
    <w:p>
      <w:pPr>
        <w:ind w:left="40" w:right="59" w:firstLine="648"/>
        <w:spacing w:after="0" w:line="253" w:lineRule="auto"/>
        <w:rPr>
          <w:sz w:val="20"/>
          <w:szCs w:val="20"/>
          <w:color w:val="auto"/>
        </w:rPr>
      </w:pPr>
      <w:r>
        <w:rPr>
          <w:rFonts w:ascii="Times New Roman" w:cs="Times New Roman" w:eastAsia="Times New Roman" w:hAnsi="Times New Roman"/>
          <w:sz w:val="18"/>
          <w:szCs w:val="18"/>
          <w:color w:val="auto"/>
        </w:rPr>
        <w:t>On August 17, 2022, the Company closed its acquisition of Planck, a leading provider of advanced uncrewed aircraft navigation solutions based in San Diego, California. Pursuant to the purchase agreement, the Company paid a total purchase price of $5,105,000 from cash-on-hand plus a $500,000 holdback for certain assets of Planck, which was paid during the three months ended October 28, 2023. Planck is a small technology company incorporated into AeroVironment’s UxS segment for the MUAS product line to focus on integrating its flight autonomy solutions, such as ACE™, or Autonomous Control Engine, into the Company’s offerings to enable safe, autonomous takeoff and landing from moving platforms on land or at sea in GPS-denied environments. Other solutions include AVEM™, a fully integrated mobile tethered sensor platform designed for persistent autonomous operation from moving vehicles and vessels in any environment, and a suite of machine-learning object detection and tracking systems that are customized for specific end-user needs. The Company accounted for the acquisition under the acquisition method of accounting for business combinations.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1" w:name="page122"/>
    <w:bookmarkEnd w:id="1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59"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final allocation of the purchase price over the estimated fair value of the assets and liabilities assumed in the acquisition of Planck. During the three months ended July 29, 2023, the Company finalized its determination of the fair value of the assets and liabilities assumed in the acquisition of Planck and no significant changes were recorded from the original estimation (in thousands):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August 17,</w:t>
            </w:r>
          </w:p>
        </w:tc>
      </w:tr>
      <w:tr>
        <w:trPr>
          <w:trHeight w:val="226"/>
        </w:trPr>
        <w:tc>
          <w:tcPr>
            <w:tcW w:w="79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assets acquired:</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6"/>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16"/>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Backlog</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r>
      <w:tr>
        <w:trPr>
          <w:trHeight w:val="250"/>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5,674</w:t>
            </w:r>
          </w:p>
        </w:tc>
      </w:tr>
      <w:tr>
        <w:trPr>
          <w:trHeight w:val="197"/>
        </w:trPr>
        <w:tc>
          <w:tcPr>
            <w:tcW w:w="7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liabilities assumed:</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advances</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9"/>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0"/>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7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Holdback</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5,605</w:t>
            </w: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87" w:lineRule="exact"/>
        <w:rPr>
          <w:sz w:val="20"/>
          <w:szCs w:val="20"/>
          <w:color w:val="auto"/>
        </w:rPr>
      </w:pPr>
    </w:p>
    <w:p>
      <w:pPr>
        <w:ind w:left="40" w:right="159" w:firstLine="648"/>
        <w:spacing w:after="0" w:line="266" w:lineRule="auto"/>
        <w:rPr>
          <w:sz w:val="20"/>
          <w:szCs w:val="20"/>
          <w:color w:val="auto"/>
        </w:rPr>
      </w:pPr>
      <w:r>
        <w:rPr>
          <w:rFonts w:ascii="Times New Roman" w:cs="Times New Roman" w:eastAsia="Times New Roman" w:hAnsi="Times New Roman"/>
          <w:sz w:val="18"/>
          <w:szCs w:val="18"/>
          <w:color w:val="auto"/>
        </w:rPr>
        <w:t>The goodwill is attributable to the synergies the Company expects to achieve through leveraging the acquired technology to its existing customers, the workforce of Planck and expected future customers in the MUAS market. For tax purposes the acquisition was treated as an asset acquisition and the goodwill is deductible.</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Planck Supplemental Pro Forma Information (unaudited)</w:t>
      </w:r>
    </w:p>
    <w:p>
      <w:pPr>
        <w:spacing w:after="0" w:line="22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Planck revenue since acquisition on August 17, 2022 through April 30, 2023 was $368,000. Other than the aforementioned revenue and intangible asset amortization expense of $542,000 for the year ended April 30, 2023 since the acquisition on August 17, 2022, the Planck financial results were not significant. The following unaudited pro forma summary presents consolidated information of the Company as if the business acquisition had occurred on May 1, 2021 (in thousands):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60" w:type="dxa"/>
            <w:vAlign w:val="bottom"/>
            <w:tcBorders>
              <w:bottom w:val="single" w:sz="8" w:color="auto"/>
            </w:tcBorders>
          </w:tcPr>
          <w:p>
            <w:pPr>
              <w:spacing w:after="0"/>
              <w:rPr>
                <w:sz w:val="15"/>
                <w:szCs w:val="15"/>
                <w:color w:val="auto"/>
              </w:rPr>
            </w:pPr>
          </w:p>
        </w:tc>
      </w:tr>
      <w:tr>
        <w:trPr>
          <w:trHeight w:val="226"/>
        </w:trPr>
        <w:tc>
          <w:tcPr>
            <w:tcW w:w="4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99"/>
        </w:trPr>
        <w:tc>
          <w:tcPr>
            <w:tcW w:w="41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544,961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448,367</w:t>
            </w: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AeroVironment, Inc.</w:t>
            </w:r>
          </w:p>
        </w:tc>
        <w:tc>
          <w:tcPr>
            <w:tcW w:w="132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(173,277)</w:t>
            </w:r>
          </w:p>
        </w:tc>
        <w:tc>
          <w:tcPr>
            <w:tcW w:w="6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w:t>
            </w:r>
          </w:p>
        </w:tc>
      </w:tr>
    </w:tbl>
    <w:p>
      <w:pPr>
        <w:spacing w:after="0" w:line="179"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any material, nonrecurring pro forma adjustments directly attributable to the business acquisition included in the reported pro forma revenue and earnings.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2" w:name="page123"/>
    <w:bookmarkEnd w:id="1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These pro forma amounts have been calculated by applying the Company’s accounting policies, assuming transaction costs had been incurred during the three months ended July 31, 2021, reflecting the additional amortization that would have been charged and including the results of Planck prior to acquisition.</w:t>
      </w:r>
    </w:p>
    <w:p>
      <w:pPr>
        <w:spacing w:after="0" w:line="176" w:lineRule="exact"/>
        <w:rPr>
          <w:sz w:val="20"/>
          <w:szCs w:val="20"/>
          <w:color w:val="auto"/>
        </w:rPr>
      </w:pPr>
    </w:p>
    <w:p>
      <w:pPr>
        <w:jc w:val="both"/>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The Company incurred approximately $1,009,000 of acquisition-related expenses for the fiscal year ended April 30, 2023. These expenses are included in selling, general and administrative on the Company’s consolidated statements of income (loss).</w:t>
      </w:r>
    </w:p>
    <w:p>
      <w:pPr>
        <w:spacing w:after="0" w:line="176" w:lineRule="exact"/>
        <w:rPr>
          <w:sz w:val="20"/>
          <w:szCs w:val="20"/>
          <w:color w:val="auto"/>
        </w:rPr>
      </w:pPr>
    </w:p>
    <w:p>
      <w:pPr>
        <w:ind w:left="40" w:right="299"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2021, nor are they indicative of results of operations that may occur in the future.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Telerob Acquisition</w:t>
      </w:r>
    </w:p>
    <w:p>
      <w:pPr>
        <w:spacing w:after="0" w:line="229" w:lineRule="exact"/>
        <w:rPr>
          <w:sz w:val="20"/>
          <w:szCs w:val="20"/>
          <w:color w:val="auto"/>
        </w:rPr>
      </w:pPr>
    </w:p>
    <w:p>
      <w:pPr>
        <w:ind w:left="40" w:right="299" w:firstLine="648"/>
        <w:spacing w:after="0" w:line="266" w:lineRule="auto"/>
        <w:rPr>
          <w:sz w:val="20"/>
          <w:szCs w:val="20"/>
          <w:color w:val="auto"/>
        </w:rPr>
      </w:pPr>
      <w:r>
        <w:rPr>
          <w:rFonts w:ascii="Times New Roman" w:cs="Times New Roman" w:eastAsia="Times New Roman" w:hAnsi="Times New Roman"/>
          <w:sz w:val="18"/>
          <w:szCs w:val="18"/>
          <w:color w:val="auto"/>
        </w:rPr>
        <w:t>On May 3, 2021, the Company closed its acquisition of Telerob pursuant to the terms of the Telerob Purchase Agreement. Telerob develops, manufactures, sells, and services remote-controlled uncrewed ground robots and transport vehicles for civil and defense applications.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Pursuant to the Telerob Purchase Agreement at closing, the Company paid €37,455,000 (approximately</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$45,400,000) in cash to the Telerob Seller (subject to certain purchase price adjustments as set forth in the Telerob Purchase</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Agreement), less (a) €3,000,000 (approximately $3,636,000) to be held in escrow for breaches of the Telerob Seller’s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fundamental warranties or any other of Telerob Seller’s warranties to the extent not covered by a representation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warranty insurance policy (the “RWI Policy”) obtained by the Company in support of certain indemnifications provided by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Telerob Seller; (b) transaction-related fees and costs incurred by the Telerob Seller, including change in control</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payments triggered by the transaction; and (c) 50% of the cost of obtaining the RWI Policy. In addition, at closing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Company paid off approximately €7,811,000 (approximately $9,468,000), of certain indebtedness of Telerob, which</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amount was paid in combination to the Telerob Seller and the lender under an agreement between Telerob GmbH and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lender providing for a reduced payoff amount. This indebtedness was offset by cash on hand at Telerob at closing. The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escrow amount is to be released to the Telerob Seller, less any amounts paid or reserved, 30 months following the closing</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addition to the consideration paid at closing, the Telerob Seller may receive €2,000,000 (approximately</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$2,139,000) in additional cash consideration if specific revenue targets for Telerob are achieved during the 12 month period</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after closing beginning on the first day of the calendar month following the closing (the “First Earnout Year”) and an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additional €2,000,000 (approximately $2,139,000) in cash consideration if specific revenue targets for Telerob are achieved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the 12 month period following the First Earnout Year. The Telerob Seller was also entitled to receive up to €2,000,000</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(approximately $2,203,000) in additional cash consideration if specific awards and/or orders from the U.S. military are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achieved prior to the end of a 36-month post-closing period. The first year earnout of €2,000,000 (approximately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$2,139,000) was not achieved. During the fiscal year ended April 30, 2023, the second year earnout of €2,000,000</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(approximately $2,132,000) was achieved and was paid in November 2023. The third earnout of €2,000,000</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(approximately $2,139,000) was not achieved.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accounted for the acquisition under the acquisition method of accounting for business combinations. During the fiscal year ended April 30, 2022, the Company finalized its determination of the fair value of the assets and liabilities assumed as of the acquisition date, which is summarized in the following table (in thousands):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May 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8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assets acquired:</w:t>
            </w:r>
          </w:p>
        </w:tc>
        <w:tc>
          <w:tcPr>
            <w:tcW w:w="2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26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Unbilled receivable</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 net</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Backlog</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relationships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intangible assets</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2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w:t>
            </w:r>
          </w:p>
        </w:tc>
        <w:tc>
          <w:tcPr>
            <w:tcW w:w="0" w:type="dxa"/>
            <w:vAlign w:val="bottom"/>
          </w:tcPr>
          <w:p>
            <w:pPr>
              <w:spacing w:after="0"/>
              <w:rPr>
                <w:sz w:val="1"/>
                <w:szCs w:val="1"/>
                <w:color w:val="auto"/>
              </w:rPr>
            </w:pPr>
          </w:p>
        </w:tc>
      </w:tr>
      <w:tr>
        <w:trPr>
          <w:trHeight w:val="25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2500" w:type="dxa"/>
            <w:vAlign w:val="bottom"/>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60,637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8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liabilities assumed:</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6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Wages and related accruals</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advances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Deferred income taxes</w:t>
            </w:r>
          </w:p>
        </w:tc>
        <w:tc>
          <w:tcPr>
            <w:tcW w:w="2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0" w:type="dxa"/>
            <w:vAlign w:val="bottom"/>
          </w:tcPr>
          <w:p>
            <w:pPr>
              <w:spacing w:after="0"/>
              <w:rPr>
                <w:sz w:val="1"/>
                <w:szCs w:val="1"/>
                <w:color w:val="auto"/>
              </w:rPr>
            </w:pPr>
          </w:p>
        </w:tc>
      </w:tr>
      <w:tr>
        <w:trPr>
          <w:trHeight w:val="25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500" w:type="dxa"/>
            <w:vAlign w:val="bottom"/>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8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consideration:</w:t>
            </w: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net of cash acquired</w:t>
            </w:r>
          </w:p>
        </w:tc>
        <w:tc>
          <w:tcPr>
            <w:tcW w:w="26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99" w:firstLine="648"/>
        <w:spacing w:after="0" w:line="256" w:lineRule="auto"/>
        <w:rPr>
          <w:sz w:val="20"/>
          <w:szCs w:val="20"/>
          <w:color w:val="auto"/>
        </w:rPr>
      </w:pPr>
      <w:r>
        <w:rPr>
          <w:rFonts w:ascii="Times New Roman" w:cs="Times New Roman" w:eastAsia="Times New Roman" w:hAnsi="Times New Roman"/>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best estimate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87" w:lineRule="exact"/>
        <w:rPr>
          <w:sz w:val="20"/>
          <w:szCs w:val="20"/>
          <w:color w:val="auto"/>
        </w:rPr>
      </w:pPr>
    </w:p>
    <w:p>
      <w:pPr>
        <w:ind w:left="40" w:right="239" w:firstLine="648"/>
        <w:spacing w:after="0" w:line="266" w:lineRule="auto"/>
        <w:rPr>
          <w:sz w:val="20"/>
          <w:szCs w:val="20"/>
          <w:color w:val="auto"/>
        </w:rPr>
      </w:pPr>
      <w:r>
        <w:rPr>
          <w:rFonts w:ascii="Times New Roman" w:cs="Times New Roman" w:eastAsia="Times New Roman" w:hAnsi="Times New Roman"/>
          <w:sz w:val="18"/>
          <w:szCs w:val="18"/>
          <w:color w:val="auto"/>
        </w:rPr>
        <w:t>The goodwill is attributable to the synergies the Company expects to achieve through leveraging the acquired technology to its existing customers, the workforce of Telerob and expected future customers in the UGV market. For tax purposes the acquisition was treated as a stock purchase and the goodwill is not deductible.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4" w:name="page125"/>
    <w:bookmarkEnd w:id="1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Telerob Supplemental Pro Forma Information (unaudited)</w:t>
      </w:r>
    </w:p>
    <w:p>
      <w:pPr>
        <w:spacing w:after="0" w:line="229"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Telerob revenue and loss from operations for the year ended April 30, 2022 since acquisition on May 3, 2021 was $29,177,000 and $12,115,000, respectively. The following unaudited pro forma summary presents consolidated information of the Company as if the business acquisition had occurred on May 1, 2020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360" w:type="dxa"/>
            <w:vAlign w:val="bottom"/>
            <w:tcBorders>
              <w:bottom w:val="single" w:sz="8" w:color="auto"/>
            </w:tcBorders>
          </w:tcPr>
          <w:p>
            <w:pPr>
              <w:spacing w:after="0"/>
              <w:rPr>
                <w:sz w:val="15"/>
                <w:szCs w:val="15"/>
                <w:color w:val="auto"/>
              </w:rPr>
            </w:pPr>
          </w:p>
        </w:tc>
      </w:tr>
      <w:tr>
        <w:trPr>
          <w:trHeight w:val="213"/>
        </w:trPr>
        <w:tc>
          <w:tcPr>
            <w:tcW w:w="4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99"/>
        </w:trPr>
        <w:tc>
          <w:tcPr>
            <w:tcW w:w="4260" w:type="dxa"/>
            <w:vAlign w:val="bottom"/>
          </w:tcPr>
          <w:p>
            <w:pPr>
              <w:spacing w:after="0"/>
              <w:rPr>
                <w:sz w:val="17"/>
                <w:szCs w:val="17"/>
                <w:color w:val="auto"/>
              </w:rPr>
            </w:pPr>
          </w:p>
        </w:tc>
        <w:tc>
          <w:tcPr>
            <w:tcW w:w="202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2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445,732</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428,353</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AeroVironment, Inc.</w:t>
            </w:r>
          </w:p>
        </w:tc>
        <w:tc>
          <w:tcPr>
            <w:tcW w:w="2020" w:type="dxa"/>
            <w:vAlign w:val="bottom"/>
            <w:gridSpan w:val="2"/>
          </w:tcPr>
          <w:p>
            <w:pPr>
              <w:jc w:val="right"/>
              <w:ind w:right="102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6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17,345</w:t>
            </w:r>
          </w:p>
        </w:tc>
      </w:tr>
    </w:tbl>
    <w:p>
      <w:pPr>
        <w:spacing w:after="0" w:line="179"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have any material, nonrecurring pro forma adjustments directly attributable to the business acquisition included in the reported pro forma revenue and earnings.</w:t>
      </w:r>
    </w:p>
    <w:p>
      <w:pPr>
        <w:spacing w:after="0" w:line="162" w:lineRule="exact"/>
        <w:rPr>
          <w:sz w:val="20"/>
          <w:szCs w:val="20"/>
          <w:color w:val="auto"/>
        </w:rPr>
      </w:pPr>
    </w:p>
    <w:p>
      <w:pPr>
        <w:ind w:left="40" w:right="179" w:firstLine="648"/>
        <w:spacing w:after="0" w:line="261" w:lineRule="auto"/>
        <w:rPr>
          <w:sz w:val="20"/>
          <w:szCs w:val="20"/>
          <w:color w:val="auto"/>
        </w:rPr>
      </w:pPr>
      <w:r>
        <w:rPr>
          <w:rFonts w:ascii="Times New Roman" w:cs="Times New Roman" w:eastAsia="Times New Roman" w:hAnsi="Times New Roman"/>
          <w:sz w:val="18"/>
          <w:szCs w:val="18"/>
          <w:color w:val="auto"/>
        </w:rPr>
        <w:t>These pro forma amounts have been calculated by applying the Company’s accounting policies, assuming transaction costs had been incurred during the three months ended August 1, 2020, reflecting the additional amortization that would have been charged assuming the fair value adjustments to intangible assets had been applied from May 1, 2020 with the consequential tax effects and including the results of Telerob prior to acquisition.</w:t>
      </w:r>
    </w:p>
    <w:p>
      <w:pPr>
        <w:spacing w:after="0" w:line="180" w:lineRule="exact"/>
        <w:rPr>
          <w:sz w:val="20"/>
          <w:szCs w:val="20"/>
          <w:color w:val="auto"/>
        </w:rPr>
      </w:pPr>
    </w:p>
    <w:p>
      <w:pPr>
        <w:jc w:val="both"/>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The Company incurred approximately $1,186,000 of acquisition-related expenses for the fiscal year ended April 30, 2022. These expenses are included in selling, general and administrative on the Company’s consolidated statements of income (loss).</w:t>
      </w:r>
    </w:p>
    <w:p>
      <w:pPr>
        <w:spacing w:after="0" w:line="176" w:lineRule="exact"/>
        <w:rPr>
          <w:sz w:val="20"/>
          <w:szCs w:val="20"/>
          <w:color w:val="auto"/>
        </w:rPr>
      </w:pPr>
    </w:p>
    <w:p>
      <w:pPr>
        <w:ind w:left="40" w:right="299"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2020, nor are they indicative of results of operations that may occur in the future.</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22. Pension</w:t>
      </w:r>
    </w:p>
    <w:p>
      <w:pPr>
        <w:spacing w:after="0" w:line="229" w:lineRule="exact"/>
        <w:rPr>
          <w:sz w:val="20"/>
          <w:szCs w:val="20"/>
          <w:color w:val="auto"/>
        </w:rPr>
      </w:pPr>
    </w:p>
    <w:p>
      <w:pPr>
        <w:ind w:left="40" w:right="59" w:firstLine="648"/>
        <w:spacing w:after="0" w:line="258" w:lineRule="auto"/>
        <w:rPr>
          <w:sz w:val="20"/>
          <w:szCs w:val="20"/>
          <w:color w:val="auto"/>
        </w:rPr>
      </w:pPr>
      <w:r>
        <w:rPr>
          <w:rFonts w:ascii="Times New Roman" w:cs="Times New Roman" w:eastAsia="Times New Roman" w:hAnsi="Times New Roman"/>
          <w:sz w:val="18"/>
          <w:szCs w:val="18"/>
          <w:color w:val="auto"/>
        </w:rPr>
        <w:t>As part of the Telerob acquisition, the Company acquired a small foreign-based defined benefit pension plan. The Rheinmetall-Zusatzversorgung (“RZV”) service plan covers three former employees based on individual contracts issued to the employees. No other employees are eligible to participate. The Company has reinsurance policies taken out for participating former employees, which were pledged to the employees. The measurement date for the Company’s pension plan was April 30, 2024.</w:t>
      </w:r>
    </w:p>
    <w:p>
      <w:pPr>
        <w:spacing w:after="0" w:line="183" w:lineRule="exact"/>
        <w:rPr>
          <w:sz w:val="20"/>
          <w:szCs w:val="20"/>
          <w:color w:val="auto"/>
        </w:rPr>
      </w:pPr>
    </w:p>
    <w:p>
      <w:pPr>
        <w:ind w:left="40" w:right="259" w:firstLine="648"/>
        <w:spacing w:after="0" w:line="282" w:lineRule="auto"/>
        <w:rPr>
          <w:sz w:val="20"/>
          <w:szCs w:val="20"/>
          <w:color w:val="auto"/>
        </w:rPr>
      </w:pPr>
      <w:r>
        <w:rPr>
          <w:rFonts w:ascii="Times New Roman" w:cs="Times New Roman" w:eastAsia="Times New Roman" w:hAnsi="Times New Roman"/>
          <w:sz w:val="18"/>
          <w:szCs w:val="18"/>
          <w:color w:val="auto"/>
        </w:rPr>
        <w:t>The table below includes the projected benefit obligation and fair value of plan assets. The net fair value of plan assets is recorded in other assets on the consolidated balance sheets.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226"/>
        </w:trPr>
        <w:tc>
          <w:tcPr>
            <w:tcW w:w="31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45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4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 of the plan</w:t>
            </w:r>
          </w:p>
        </w:tc>
        <w:tc>
          <w:tcPr>
            <w:tcW w:w="4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340" w:type="dxa"/>
            <w:vAlign w:val="bottom"/>
            <w:vMerge w:val="restart"/>
          </w:tcPr>
          <w:p>
            <w:pPr>
              <w:jc w:val="right"/>
              <w:ind w:right="2810"/>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16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1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5" w:name="page126"/>
    <w:bookmarkEnd w:id="1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Change in projected benefit obligation (in thousands):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benefit obligation balance as of April 30, 2023 and April 30, 2022,</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76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(3,192)</w:t>
            </w:r>
          </w:p>
        </w:tc>
        <w:tc>
          <w:tcPr>
            <w:tcW w:w="46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w:t>
            </w:r>
          </w:p>
        </w:tc>
        <w:tc>
          <w:tcPr>
            <w:tcW w:w="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3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178"/>
        </w:trPr>
        <w:tc>
          <w:tcPr>
            <w:tcW w:w="59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Pension benefit obligation balance as of April 30, 2024 and April 30, 2023,</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76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(3,246)</w:t>
            </w:r>
          </w:p>
        </w:tc>
        <w:tc>
          <w:tcPr>
            <w:tcW w:w="4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r>
      <w:tr>
        <w:trPr>
          <w:trHeight w:val="432"/>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 in plan assets (in thousands):</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29"/>
        </w:trPr>
        <w:tc>
          <w:tcPr>
            <w:tcW w:w="598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as of April 30, 2023 and April 30, 2022, respectively</w:t>
            </w:r>
          </w:p>
        </w:tc>
        <w:tc>
          <w:tcPr>
            <w:tcW w:w="76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4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3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09"/>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as of April 30, 2024 and April 30, 2023, respectively</w:t>
            </w:r>
          </w:p>
        </w:tc>
        <w:tc>
          <w:tcPr>
            <w:tcW w:w="3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w:t>
            </w:r>
          </w:p>
        </w:tc>
      </w:tr>
      <w:tr>
        <w:trPr>
          <w:trHeight w:val="20"/>
        </w:trPr>
        <w:tc>
          <w:tcPr>
            <w:tcW w:w="5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0" w:right="199" w:firstLine="648"/>
        <w:spacing w:after="0" w:line="258" w:lineRule="auto"/>
        <w:rPr>
          <w:sz w:val="20"/>
          <w:szCs w:val="20"/>
          <w:color w:val="auto"/>
        </w:rPr>
      </w:pPr>
      <w:r>
        <w:rPr>
          <w:rFonts w:ascii="Times New Roman" w:cs="Times New Roman" w:eastAsia="Times New Roman" w:hAnsi="Times New Roman"/>
          <w:sz w:val="18"/>
          <w:szCs w:val="18"/>
          <w:color w:val="auto"/>
        </w:rPr>
        <w:t>The accumulated benefit obligation is approximately equal to the projected benefit obligation. The plan assets consist of reinsurance policies for each of the three pension commitments. The reinsurance policies are fixed-income investments considered a level 2 fair value hierarchy based on observable inputs of the policy. The Company does not expect to make any contributions to the Plan in the fiscal year ending April 30, 2025. The projected benefit obligation and projected fair value of plan assets include the assumptions in the table below.</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In-payment benefits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Expected benefits payments as of April 30, 2024 (in thousands):</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2030-2034</w:t>
            </w:r>
          </w:p>
        </w:tc>
        <w:tc>
          <w:tcPr>
            <w:tcW w:w="10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expected benefit payments</w:t>
            </w:r>
          </w:p>
        </w:tc>
        <w:tc>
          <w:tcPr>
            <w:tcW w:w="10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Net periodic benefit cost is recorded in interest (expense) income, net.</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253"/>
        </w:trPr>
        <w:tc>
          <w:tcPr>
            <w:tcW w:w="5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226"/>
        </w:trPr>
        <w:tc>
          <w:tcPr>
            <w:tcW w:w="5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3"/>
        </w:trPr>
        <w:tc>
          <w:tcPr>
            <w:tcW w:w="5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9"/>
                <w:szCs w:val="19"/>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3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loss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8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6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6" w:name="page127"/>
    <w:bookmarkEnd w:id="1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20" w:hanging="676"/>
        <w:spacing w:after="0"/>
        <w:tabs>
          <w:tab w:leader="none" w:pos="7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229" w:lineRule="exact"/>
        <w:rPr>
          <w:sz w:val="20"/>
          <w:szCs w:val="20"/>
          <w:color w:val="auto"/>
        </w:rPr>
      </w:pPr>
    </w:p>
    <w:p>
      <w:pPr>
        <w:ind w:left="40" w:right="179" w:firstLine="648"/>
        <w:spacing w:after="0" w:line="266" w:lineRule="auto"/>
        <w:rPr>
          <w:sz w:val="20"/>
          <w:szCs w:val="20"/>
          <w:color w:val="auto"/>
        </w:rPr>
      </w:pPr>
      <w:r>
        <w:rPr>
          <w:rFonts w:ascii="Times New Roman" w:cs="Times New Roman" w:eastAsia="Times New Roman" w:hAnsi="Times New Roman"/>
          <w:sz w:val="18"/>
          <w:szCs w:val="18"/>
          <w:color w:val="auto"/>
        </w:rPr>
        <w:t>Effective May 1, 2023, the Company reorganized its segments. Due to the Company’s growth as an organization, the reorganization was implemented to drive additional operational improvements, foster synergies and provide leaders with greater autonomy over their product lines. The Company’s reportable segments are as follows:</w:t>
      </w:r>
    </w:p>
    <w:p>
      <w:pPr>
        <w:spacing w:after="0" w:line="176"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UnCrewed Systems—The UxS segment, the renamed UAS segment which consists of the former SUAS, MUAS and UGV segments and the recently acquired Tomahawk, focuses primarily on small UAS products designed to operate reliably at lower altitudes in a wide range of environmental conditions, providing a vantage point from which to collect and deliver valuable information as well as related support including training, spare and accessory parts, product repair, product replacement, maintenance and upgrades; medium UAS products designed to operate reliably at medium altitudes with longer range while carrying larger payloads including airborne platforms, payloads and payload integration, and ground support equipment and other items and services related generally to uncrewed aircraft systems historically including ISR services; UGV products designed to help responders remove, contain or neutralize these hazards in situations where improvised explosive devices, caustic chemicals, nuclear, radiological or biological hazards or violent individuals represent significant danger to humans; and AI-enabled common control and communication solutions that allow any uncrewed system to be controlled from a common user interface while aggregating data from multiple platforms to provide real time intelligence.</w:t>
      </w:r>
    </w:p>
    <w:p>
      <w:pPr>
        <w:spacing w:after="0" w:line="190" w:lineRule="exact"/>
        <w:rPr>
          <w:sz w:val="20"/>
          <w:szCs w:val="20"/>
          <w:color w:val="auto"/>
        </w:rPr>
      </w:pPr>
    </w:p>
    <w:p>
      <w:pPr>
        <w:ind w:left="40" w:right="199" w:firstLine="648"/>
        <w:spacing w:after="0" w:line="258" w:lineRule="auto"/>
        <w:rPr>
          <w:sz w:val="20"/>
          <w:szCs w:val="20"/>
          <w:color w:val="auto"/>
        </w:rPr>
      </w:pPr>
      <w:r>
        <w:rPr>
          <w:rFonts w:ascii="Times New Roman" w:cs="Times New Roman" w:eastAsia="Times New Roman" w:hAnsi="Times New Roman"/>
          <w:sz w:val="18"/>
          <w:szCs w:val="18"/>
          <w:color w:val="auto"/>
        </w:rPr>
        <w:t>Loitering Munitions Systems—The LMS segment, which consists of the former Tactical Missile Systems segment, focuses primarily on tube-launched aircraft that deploy with the push of a button, fly at higher speeds than small UAS products, and perform either effects delivery or reconnaissance missions, and related support services including training, spare parts, product repair, and product replacement. The LMS segment also includes customer-funded research and development programs.</w:t>
      </w:r>
    </w:p>
    <w:p>
      <w:pPr>
        <w:spacing w:after="0" w:line="183" w:lineRule="exact"/>
        <w:rPr>
          <w:sz w:val="20"/>
          <w:szCs w:val="20"/>
          <w:color w:val="auto"/>
        </w:rPr>
      </w:pPr>
    </w:p>
    <w:p>
      <w:pPr>
        <w:ind w:left="40" w:right="179" w:firstLine="648"/>
        <w:spacing w:after="0" w:line="258" w:lineRule="auto"/>
        <w:rPr>
          <w:sz w:val="20"/>
          <w:szCs w:val="20"/>
          <w:color w:val="auto"/>
        </w:rPr>
      </w:pPr>
      <w:r>
        <w:rPr>
          <w:rFonts w:ascii="Times New Roman" w:cs="Times New Roman" w:eastAsia="Times New Roman" w:hAnsi="Times New Roman"/>
          <w:sz w:val="18"/>
          <w:szCs w:val="18"/>
          <w:color w:val="auto"/>
        </w:rPr>
        <w:t>MacCready Works— The MW segment, which consists of the former MacCready Works and HAPS segments, focuses on customer-funded research and development in the areas of HAPS, robotics, sensors, software analytics, data intelligence and connectivity. This segment contains the Company’s center of excellence for the development of machine learning, object identification and autonomy solutions and also seeks to identify new products, services and businesses for the Company.</w:t>
      </w:r>
    </w:p>
    <w:p>
      <w:pPr>
        <w:spacing w:after="0" w:line="183" w:lineRule="exact"/>
        <w:rPr>
          <w:sz w:val="20"/>
          <w:szCs w:val="20"/>
          <w:color w:val="auto"/>
        </w:rPr>
      </w:pPr>
    </w:p>
    <w:p>
      <w:pPr>
        <w:ind w:left="40" w:right="79" w:firstLine="648"/>
        <w:spacing w:after="0" w:line="254" w:lineRule="auto"/>
        <w:rPr>
          <w:sz w:val="20"/>
          <w:szCs w:val="20"/>
          <w:color w:val="auto"/>
        </w:rPr>
      </w:pPr>
      <w:r>
        <w:rPr>
          <w:rFonts w:ascii="Times New Roman" w:cs="Times New Roman" w:eastAsia="Times New Roman" w:hAnsi="Times New Roman"/>
          <w:sz w:val="18"/>
          <w:szCs w:val="18"/>
          <w:color w:val="auto"/>
        </w:rPr>
        <w:t>Prior period segment information has been recast to align with the new segment structure. The accounting policies of the segments are the same as those described in Note 1–Organization and Significant Accounting Policies. The operating segments do not make sales to each other. The following table (in thousands) sets forth segment revenue and adjusted operating income (loss) from operations for the periods indicated. Segment adjusted operating income (loss) is defined as operating income (loss) before impairment of goodwill and accelerated amortization, intangible amortization, amortization of purchase accounting adjustments related to increasing the carrying value of certain assets to fair value, and acquisition related expenses. Segment adjusted income (loss) from operations is the measure of profitability used by the CODM for purposes of making decisions about allocating resources to the segments and assessing performance.</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UxS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Year Ended April 30, 2024</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LMS</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MW</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 sales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415,074</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168,863</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Contract services</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32,932</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74,293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income (loss) from operations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93,122</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24,062</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(24,706)</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27,595</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35,749</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7" w:name="page128"/>
    <w:bookmarkEnd w:id="1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UxS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5"/>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Year Ended April 30, 2023</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LMS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MW</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5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268,021</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84,686</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353,062</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75,889</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75,647</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187,474</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540,536</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income from operations</w:t>
            </w:r>
          </w:p>
        </w:tc>
        <w:tc>
          <w:tcPr>
            <w:tcW w:w="5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30,568</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42,306</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249,925</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256,016</w:t>
            </w:r>
          </w:p>
        </w:tc>
        <w:tc>
          <w:tcPr>
            <w:tcW w:w="0" w:type="dxa"/>
            <w:vAlign w:val="bottom"/>
          </w:tcPr>
          <w:p>
            <w:pPr>
              <w:spacing w:after="0"/>
              <w:rPr>
                <w:sz w:val="1"/>
                <w:szCs w:val="1"/>
                <w:color w:val="auto"/>
              </w:rPr>
            </w:pPr>
          </w:p>
        </w:tc>
      </w:tr>
      <w:tr>
        <w:trPr>
          <w:trHeight w:val="434"/>
        </w:trPr>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UxS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5"/>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Year Ended April 30, 2022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LMS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MW</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194,517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240,683</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106,226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68,570</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205,049</w:t>
            </w: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445,732</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940" w:type="dxa"/>
            <w:vAlign w:val="bottom"/>
            <w:gridSpan w:val="2"/>
          </w:tcPr>
          <w:p>
            <w:pPr>
              <w:spacing w:after="0"/>
              <w:rPr>
                <w:sz w:val="19"/>
                <w:szCs w:val="19"/>
                <w:color w:val="auto"/>
              </w:rPr>
            </w:pPr>
          </w:p>
        </w:tc>
        <w:tc>
          <w:tcPr>
            <w:tcW w:w="38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income (loss) from operations</w:t>
            </w:r>
          </w:p>
        </w:tc>
        <w:tc>
          <w:tcPr>
            <w:tcW w:w="5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28,703</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(2,823)</w:t>
            </w:r>
          </w:p>
        </w:tc>
        <w:tc>
          <w:tcPr>
            <w:tcW w:w="3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31,674</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54,324</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459"/>
        <w:spacing w:after="0" w:line="282" w:lineRule="auto"/>
        <w:rPr>
          <w:sz w:val="20"/>
          <w:szCs w:val="20"/>
          <w:color w:val="auto"/>
        </w:rPr>
      </w:pPr>
      <w:r>
        <w:rPr>
          <w:rFonts w:ascii="Times New Roman" w:cs="Times New Roman" w:eastAsia="Times New Roman" w:hAnsi="Times New Roman"/>
          <w:sz w:val="18"/>
          <w:szCs w:val="18"/>
          <w:color w:val="auto"/>
        </w:rPr>
        <w:t>The following table (in thousands) provides a reconciliation from segment adjusted income from operations to income (loss) before taxes: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April 30,</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09"/>
        </w:trPr>
        <w:tc>
          <w:tcPr>
            <w:tcW w:w="46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income from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31,674</w:t>
            </w:r>
          </w:p>
        </w:tc>
      </w:tr>
      <w:tr>
        <w:trPr>
          <w:trHeight w:val="230"/>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of goodwill and accelerated 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(190,166)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acquired intangible assets and other</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(18,558)</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(29,418)</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(36,707)</w:t>
            </w:r>
          </w:p>
        </w:tc>
      </w:tr>
      <w:tr>
        <w:trPr>
          <w:trHeight w:val="229"/>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w:t>
            </w:r>
          </w:p>
        </w:tc>
      </w:tr>
      <w:tr>
        <w:trPr>
          <w:trHeight w:val="230"/>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w:t>
            </w:r>
          </w:p>
        </w:tc>
      </w:tr>
      <w:tr>
        <w:trPr>
          <w:trHeight w:val="230"/>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(10,313)</w:t>
            </w:r>
          </w:p>
        </w:tc>
      </w:tr>
      <w:tr>
        <w:trPr>
          <w:trHeight w:val="230"/>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 of ownership in HAPSMobile Inc. joint venture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w:t>
            </w:r>
          </w:p>
        </w:tc>
      </w:tr>
      <w:tr>
        <w:trPr>
          <w:trHeight w:val="22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63,231</w:t>
            </w:r>
          </w:p>
        </w:tc>
        <w:tc>
          <w:tcPr>
            <w:tcW w:w="260" w:type="dxa"/>
            <w:vAlign w:val="bottom"/>
          </w:tcPr>
          <w:p>
            <w:pPr>
              <w:spacing w:after="0"/>
              <w:rPr>
                <w:sz w:val="19"/>
                <w:szCs w:val="19"/>
                <w:color w:val="auto"/>
              </w:rPr>
            </w:pPr>
          </w:p>
        </w:tc>
        <w:tc>
          <w:tcPr>
            <w:tcW w:w="28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(188,377)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(19,143)</w:t>
            </w:r>
          </w:p>
        </w:tc>
      </w:tr>
    </w:tbl>
    <w:p>
      <w:pPr>
        <w:spacing w:after="0" w:line="179" w:lineRule="exact"/>
        <w:rPr>
          <w:sz w:val="20"/>
          <w:szCs w:val="20"/>
          <w:color w:val="auto"/>
        </w:rPr>
      </w:pPr>
    </w:p>
    <w:p>
      <w:pPr>
        <w:jc w:val="both"/>
        <w:ind w:left="40" w:right="59" w:firstLine="648"/>
        <w:spacing w:after="0" w:line="266" w:lineRule="auto"/>
        <w:rPr>
          <w:sz w:val="20"/>
          <w:szCs w:val="20"/>
          <w:color w:val="auto"/>
        </w:rPr>
      </w:pPr>
      <w:r>
        <w:rPr>
          <w:rFonts w:ascii="Times New Roman" w:cs="Times New Roman" w:eastAsia="Times New Roman" w:hAnsi="Times New Roman"/>
          <w:sz w:val="18"/>
          <w:szCs w:val="18"/>
          <w:color w:val="auto"/>
        </w:rPr>
        <w:t>Segment assets are summarized in the table below. Corporate assets primarily consist of cash and cash equivalents, prepaid expenses and other current assets, long-term investments, property and equipment, net, operating lease right-of-use assets, deferred income taxes and other assets managed centrally on behalf of the business segments.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UxS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LMS</w:t>
            </w:r>
          </w:p>
        </w:tc>
        <w:tc>
          <w:tcPr>
            <w:tcW w:w="100" w:type="dxa"/>
            <w:vAlign w:val="bottom"/>
          </w:tcPr>
          <w:p>
            <w:pPr>
              <w:spacing w:after="0"/>
              <w:rPr>
                <w:sz w:val="13"/>
                <w:szCs w:val="13"/>
                <w:color w:val="auto"/>
              </w:rPr>
            </w:pPr>
          </w:p>
        </w:tc>
        <w:tc>
          <w:tcPr>
            <w:tcW w:w="10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April 30, 2024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MW</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590,619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165,413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50,767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209,061</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1,015,860</w:t>
            </w:r>
          </w:p>
        </w:tc>
        <w:tc>
          <w:tcPr>
            <w:tcW w:w="0" w:type="dxa"/>
            <w:vAlign w:val="bottom"/>
          </w:tcPr>
          <w:p>
            <w:pPr>
              <w:spacing w:after="0"/>
              <w:rPr>
                <w:sz w:val="1"/>
                <w:szCs w:val="1"/>
                <w:color w:val="auto"/>
              </w:rPr>
            </w:pPr>
          </w:p>
        </w:tc>
      </w:tr>
      <w:tr>
        <w:trPr>
          <w:trHeight w:val="353"/>
        </w:trPr>
        <w:tc>
          <w:tcPr>
            <w:tcW w:w="3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UxS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LMS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April 30, 2023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MW</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474,417</w:t>
            </w:r>
          </w:p>
        </w:tc>
        <w:tc>
          <w:tcPr>
            <w:tcW w:w="1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103,375</w:t>
            </w:r>
          </w:p>
        </w:tc>
        <w:tc>
          <w:tcPr>
            <w:tcW w:w="1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39,650</w:t>
            </w: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207,135</w:t>
            </w:r>
          </w:p>
        </w:tc>
        <w:tc>
          <w:tcPr>
            <w:tcW w:w="20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824,577</w:t>
            </w:r>
          </w:p>
        </w:tc>
        <w:tc>
          <w:tcPr>
            <w:tcW w:w="0" w:type="dxa"/>
            <w:vAlign w:val="bottom"/>
          </w:tcPr>
          <w:p>
            <w:pPr>
              <w:spacing w:after="0"/>
              <w:rPr>
                <w:sz w:val="1"/>
                <w:szCs w:val="1"/>
                <w:color w:val="auto"/>
              </w:rPr>
            </w:pPr>
          </w:p>
        </w:tc>
      </w:tr>
      <w:tr>
        <w:trPr>
          <w:trHeight w:val="648"/>
        </w:trPr>
        <w:tc>
          <w:tcPr>
            <w:tcW w:w="3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8" w:name="page129"/>
    <w:bookmarkEnd w:id="1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Capital expenditures are summarized in the table below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74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UxS</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LMS</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MW</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April 30, 2024</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22,983</w:t>
            </w:r>
          </w:p>
        </w:tc>
      </w:tr>
      <w:tr>
        <w:trPr>
          <w:trHeight w:val="229"/>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Year Ended April 30, 2023</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14,868</w:t>
            </w:r>
          </w:p>
        </w:tc>
      </w:tr>
      <w:tr>
        <w:trPr>
          <w:trHeight w:val="230"/>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April 30, 2022</w:t>
            </w: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4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22,289</w:t>
            </w:r>
          </w:p>
        </w:tc>
      </w:tr>
    </w:tbl>
    <w:p>
      <w:pPr>
        <w:spacing w:after="0" w:line="221" w:lineRule="exact"/>
        <w:rPr>
          <w:sz w:val="20"/>
          <w:szCs w:val="20"/>
          <w:color w:val="auto"/>
        </w:rPr>
      </w:pPr>
    </w:p>
    <w:p>
      <w:pPr>
        <w:ind w:left="720" w:hanging="676"/>
        <w:spacing w:after="0"/>
        <w:tabs>
          <w:tab w:leader="none" w:pos="7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Geographic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Sales to non-U.S. customers, including U.S. government foreign military sales in which an end user is a foreign</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government, accounted for 62%, 53% and 41% of revenue for each of the fiscal years ended April 30, 2024, 2023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2022, respectively. For the fiscal year ended April 30, 2024 and 2023, Ukraine represented $274,136,000, or 38%, and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$100,095,000, or 19%, respectively, of the Company’s consolidated revenues. The Company’s international revenues from</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customers in each foreign country were less than 10% of consolidated revenues for fiscal year 2022. The Company’s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internationally deployed in-service assets for UGV was $2,912,000 and $1,798,000 as of April 30, 2024 and 2023,</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9" w:name="page130"/>
    <w:bookmarkEnd w:id="1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SUPPLEMENTARY DATA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Charged to</w:t>
            </w:r>
          </w:p>
        </w:tc>
        <w:tc>
          <w:tcPr>
            <w:tcW w:w="76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Charged to</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2"/>
                <w:szCs w:val="12"/>
                <w:color w:val="auto"/>
              </w:rPr>
            </w:pPr>
          </w:p>
        </w:tc>
        <w:tc>
          <w:tcPr>
            <w:tcW w:w="8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20" w:type="dxa"/>
            <w:vAlign w:val="bottom"/>
          </w:tcPr>
          <w:p>
            <w:pPr>
              <w:spacing w:after="0"/>
              <w:rPr>
                <w:sz w:val="12"/>
                <w:szCs w:val="12"/>
                <w:color w:val="auto"/>
              </w:rPr>
            </w:pPr>
          </w:p>
        </w:tc>
        <w:tc>
          <w:tcPr>
            <w:tcW w:w="168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Acquired from Costs and</w:t>
            </w:r>
          </w:p>
        </w:tc>
        <w:tc>
          <w:tcPr>
            <w:tcW w:w="80" w:type="dxa"/>
            <w:vAlign w:val="bottom"/>
          </w:tcPr>
          <w:p>
            <w:pPr>
              <w:spacing w:after="0"/>
              <w:rPr>
                <w:sz w:val="12"/>
                <w:szCs w:val="12"/>
                <w:color w:val="auto"/>
              </w:rPr>
            </w:pPr>
          </w:p>
        </w:tc>
        <w:tc>
          <w:tcPr>
            <w:tcW w:w="76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173"/>
        </w:trPr>
        <w:tc>
          <w:tcPr>
            <w:tcW w:w="3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Acquisition</w:t>
            </w: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center"/>
              <w:ind w:left="9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Allowance for doubtful accounts for the year</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ended April 30: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tcPr>
          <w:p>
            <w:pPr>
              <w:jc w:val="right"/>
              <w:ind w:right="2991"/>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jc w:val="right"/>
              <w:ind w:right="2991"/>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jc w:val="right"/>
              <w:ind w:right="2991"/>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reserve for the year ended April 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jc w:val="right"/>
              <w:ind w:right="2991"/>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1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8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jc w:val="right"/>
              <w:ind w:right="2991"/>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jc w:val="right"/>
              <w:ind w:right="2991"/>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8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Reserve for inventory excess and obsolescence for</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year ended April 30: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tcPr>
          <w:p>
            <w:pPr>
              <w:jc w:val="right"/>
              <w:ind w:right="2991"/>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1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8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jc w:val="right"/>
              <w:ind w:right="2991"/>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jc w:val="right"/>
              <w:ind w:right="2991"/>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1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13,937</w:t>
            </w:r>
          </w:p>
        </w:tc>
        <w:tc>
          <w:tcPr>
            <w:tcW w:w="8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Reserve for self-insured medical claims for the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April 30: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tcPr>
          <w:p>
            <w:pPr>
              <w:jc w:val="right"/>
              <w:ind w:right="2991"/>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14,724</w:t>
            </w:r>
          </w:p>
        </w:tc>
        <w:tc>
          <w:tcPr>
            <w:tcW w:w="8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jc w:val="right"/>
              <w:ind w:right="2991"/>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13,863</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tcPr>
          <w:p>
            <w:pPr>
              <w:jc w:val="right"/>
              <w:ind w:right="2991"/>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Pr>
          <w:p>
            <w:pPr>
              <w:spacing w:after="0"/>
              <w:rPr>
                <w:sz w:val="20"/>
                <w:szCs w:val="20"/>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80" w:type="dxa"/>
            <w:vAlign w:val="bottom"/>
          </w:tcPr>
          <w:p>
            <w:pPr>
              <w:spacing w:after="0"/>
              <w:rPr>
                <w:sz w:val="20"/>
                <w:szCs w:val="20"/>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30" w:name="page131"/>
    <w:bookmarkEnd w:id="1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40" w:right="79" w:firstLine="648"/>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As required by Rules 13a-15(e) and 15d-15(e) under the Exchange Act, we have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as of the end of the period covered by this report, our disclosure controls and procedures were effective and were operating at a reasonable level.</w:t>
      </w:r>
    </w:p>
    <w:p>
      <w:pPr>
        <w:spacing w:after="0" w:line="1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left="40" w:right="59" w:firstLine="648"/>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7" w:lineRule="exact"/>
        <w:rPr>
          <w:sz w:val="20"/>
          <w:szCs w:val="20"/>
          <w:color w:val="auto"/>
        </w:rPr>
      </w:pPr>
    </w:p>
    <w:p>
      <w:pPr>
        <w:ind w:left="1040" w:right="339" w:hanging="321"/>
        <w:spacing w:after="0" w:line="282"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61" w:lineRule="exact"/>
        <w:rPr>
          <w:rFonts w:ascii="Times New Roman" w:cs="Times New Roman" w:eastAsia="Times New Roman" w:hAnsi="Times New Roman"/>
          <w:sz w:val="18"/>
          <w:szCs w:val="18"/>
          <w:color w:val="auto"/>
        </w:rPr>
      </w:pPr>
    </w:p>
    <w:p>
      <w:pPr>
        <w:ind w:left="1040" w:right="99" w:hanging="321"/>
        <w:spacing w:after="0" w:line="261"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79" w:lineRule="exact"/>
        <w:rPr>
          <w:rFonts w:ascii="Times New Roman" w:cs="Times New Roman" w:eastAsia="Times New Roman" w:hAnsi="Times New Roman"/>
          <w:sz w:val="18"/>
          <w:szCs w:val="18"/>
          <w:color w:val="auto"/>
        </w:rPr>
      </w:pPr>
    </w:p>
    <w:p>
      <w:pPr>
        <w:ind w:left="1040" w:right="359" w:hanging="321"/>
        <w:spacing w:after="0" w:line="282" w:lineRule="auto"/>
        <w:tabs>
          <w:tab w:leader="none" w:pos="10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ind w:left="40" w:right="359"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left="40" w:right="199" w:firstLine="648"/>
        <w:spacing w:after="0" w:line="256"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management, including our principal executive and financial officers, we have assessed our internal control over financial reporting as of April 30, 2024, based on criteria for effective internal control over financial reporting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issued by the Committee of Sponsoring Organizations of the Treadway Commission (2013 framework) (“COSO”). Based on this assessment, management concluded that the Company maintained effective internal control over financial reporting as of April 30, 2024 based on the specified criteria.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1" w:name="page132"/>
    <w:bookmarkEnd w:id="1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firstLine="648"/>
        <w:spacing w:after="0" w:line="312"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April 30, 2024 has been audited by Deloitte &amp; Touche LLP, an independent registered public accounting firm, as stated in their report which is included herein.</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40" w:right="139" w:firstLine="648"/>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or in other factors identified in connection with the evaluation required by paragraph (d) of Exchange Act Rules 13a-15(f) or 15d-15(f) that occurred during the fiscal year ended April 30, 2024 that have materially affected, or are reasonably likely to materially affect, our internal control over financial reporting.</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40" w:right="179" w:firstLine="648"/>
        <w:spacing w:after="0" w:line="274" w:lineRule="auto"/>
        <w:rPr>
          <w:sz w:val="20"/>
          <w:szCs w:val="20"/>
          <w:color w:val="auto"/>
        </w:rPr>
      </w:pPr>
      <w:r>
        <w:rPr>
          <w:rFonts w:ascii="Times New Roman" w:cs="Times New Roman" w:eastAsia="Times New Roman" w:hAnsi="Times New Roman"/>
          <w:sz w:val="17"/>
          <w:szCs w:val="17"/>
          <w:color w:val="auto"/>
        </w:rPr>
        <w:t>On March 19, 2024, Kevin McDonnell, our Senior Vice President and Chief Financial Officer, adopted a trading arrangement (the “McDonnell Rule 10b5-1 Trading Plan”) for the sale of shares of Common Stock that is intended to satisfy the affirmative defense conditions of Exchange Act Rule 10b5-1(c). The McDonnell Rule 10b5-1 Trading Plan, which has a term of approximately 9 months, provides for the sale of shares of Common Stock issuable under the terms of certain restricted stock awards granted to Mr. McDonnell by the Company. The aggregate number of shares of Common Stock that will be subject to sale pursuant to the terms of the McDonnell Rule 10b5-1 Trading Plan, is 3,202 shares.</w:t>
      </w:r>
    </w:p>
    <w:p>
      <w:pPr>
        <w:spacing w:after="0" w:line="173" w:lineRule="exact"/>
        <w:rPr>
          <w:sz w:val="20"/>
          <w:szCs w:val="20"/>
          <w:color w:val="auto"/>
        </w:rPr>
      </w:pPr>
    </w:p>
    <w:p>
      <w:pPr>
        <w:ind w:left="40" w:right="119"/>
        <w:spacing w:after="0" w:line="266" w:lineRule="auto"/>
        <w:rPr>
          <w:sz w:val="20"/>
          <w:szCs w:val="20"/>
          <w:color w:val="auto"/>
        </w:rPr>
      </w:pPr>
      <w:r>
        <w:rPr>
          <w:rFonts w:ascii="Times New Roman" w:cs="Times New Roman" w:eastAsia="Times New Roman" w:hAnsi="Times New Roman"/>
          <w:sz w:val="18"/>
          <w:szCs w:val="18"/>
          <w:color w:val="auto"/>
        </w:rPr>
        <w:t>Other than with respect to the McDonnell Rule 10b5-1 Trading Plan, none of our directors or officers informed us of the adoption or termination of a “Rule 10b5-1 trading arrangement” or “non-Rule 10b5-1 trading arrangement,” as those terms are defined in Regulation S-K, Item 408 during the three-month period ended April 30, 2024.</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2" w:name="page133"/>
    <w:bookmarkEnd w:id="1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 the shareholders and the Board of Directors of AeroVironment, Inc.</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AeroVironment, Inc. and subsidiaries (the “Company”) as of April 30, 2024,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April 30, 2024, based on criteria established in Internal Control — Integrated Framework (2013) issued by COSO.</w:t>
      </w:r>
    </w:p>
    <w:p>
      <w:pPr>
        <w:spacing w:after="0" w:line="183"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April 30, 2024, of the Company and our report dated June 26, 2024, expressed an unqualified opinion on those financial statements.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left="40" w:right="59"/>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June 26,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Certain information required by Item 401, Item 405, Item 407(c)(3) and Items 407(d)(4) and (d)(5) of</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Regulation S-K will be included in the definitive proxy statement for our 2024 Annual Meeting of Stockholders, which will</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be filed no later than 120 days after April 30, 2024, and that information is incorporated by reference herein.</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Codes of Ethics</w:t>
      </w:r>
    </w:p>
    <w:p>
      <w:pPr>
        <w:spacing w:after="0" w:line="229"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Conduct and Ethics (“Code of Conduct”). The Code of Conduct is posted on our website, http://investor.avinc.com/corporate-governance. We intend to disclose on our website any amendments to, or waivers of, the Code of Conduct covering our Chief Executive Officer, Chief Financial Officer and/or Controller promptly following the date of such amendments or waivers. A copy of the Code of Conduct may be obtained upon request, without charge, by contacting our Secretary at (805) 520-8350 or by writing to us at AeroVironment, Inc., Attn: Secretary, 900 Innovators Way, Simi Valley, California 93065. The information contained on or connected to our website is not incorporated by reference into this Annual Report and should not be considered part of this or any reported filed with the SEC.</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 family relationships exist among any of our executive officers or directors.</w:t>
      </w:r>
    </w:p>
    <w:p>
      <w:pPr>
        <w:spacing w:after="0" w:line="225" w:lineRule="exact"/>
        <w:rPr>
          <w:sz w:val="20"/>
          <w:szCs w:val="20"/>
          <w:color w:val="auto"/>
        </w:rPr>
      </w:pPr>
    </w:p>
    <w:p>
      <w:pPr>
        <w:ind w:left="40" w:right="29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procedures by which security holders may recommend nominees to our board of directors.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left="40" w:right="99" w:firstLine="648"/>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Policy addressing our policies and procedures governing securities trading by our directors, officers, employees and certain other service providers and the company itself, intended to promote compliance with insider trading laws, rules and regulations, including Nasdaq listing standards, applicable to the company and such personnel. A copy of the current Insider Trading Policy is filed with this Annual Report on Form 10-K as Exhibit 19.</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40" w:right="11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402 and Items 407(e)(4) and (5) of Regulation S-K will be included in the definitive proxy statement for our 2024 Annual Meeting of Stockholders, and that information is incorporated by reference herein.</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201(d) and Item 403 of Regulation S-K will be included in the definitive proxy statement for our 2024 Annual Meeting of Stockholders, and that information is incorporated by reference herein.</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404 and Item 407(a) of Regulation S-K will be included in the definitive proxy statement for our 2024 Annual Meeting of Stockholders, and that information is incorporated by reference herein.</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independent public accounting firm is Deloitte &amp; Touche LLP, Los Angeles, California, PCAOB Auditor ID</w:t>
      </w:r>
    </w:p>
    <w:p>
      <w:pPr>
        <w:spacing w:after="0" w:line="27" w:lineRule="exact"/>
        <w:rPr>
          <w:sz w:val="20"/>
          <w:szCs w:val="20"/>
          <w:color w:val="auto"/>
        </w:rPr>
      </w:pPr>
    </w:p>
    <w:p>
      <w:pPr>
        <w:ind w:left="40" w:right="179" w:firstLine="4"/>
        <w:spacing w:after="0" w:line="260" w:lineRule="auto"/>
        <w:tabs>
          <w:tab w:leader="none" w:pos="31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14 of Form 10-K will be included in the definitive proxy statement for our 2024 Annual Meeting of Stockholders, and that information is incorporated by reference herein.</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4" w:name="page135"/>
    <w:bookmarkEnd w:id="1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02" w:lineRule="exact"/>
        <w:rPr>
          <w:sz w:val="20"/>
          <w:szCs w:val="20"/>
          <w:color w:val="auto"/>
        </w:rPr>
      </w:pPr>
    </w:p>
    <w:p>
      <w:pPr>
        <w:ind w:left="700" w:hanging="656"/>
        <w:spacing w:after="0"/>
        <w:tabs>
          <w:tab w:leader="none" w:pos="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filed as part of this Annual Report:</w:t>
      </w:r>
    </w:p>
    <w:p>
      <w:pPr>
        <w:spacing w:after="0" w:line="180"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 Financial Statements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consolidated financial statements are included in Item 8:</w:t>
      </w:r>
    </w:p>
    <w:p>
      <w:pPr>
        <w:spacing w:after="0" w:line="198" w:lineRule="exact"/>
        <w:rPr>
          <w:sz w:val="20"/>
          <w:szCs w:val="20"/>
          <w:color w:val="auto"/>
        </w:rPr>
      </w:pPr>
    </w:p>
    <w:p>
      <w:pPr>
        <w:ind w:left="1040" w:hanging="321"/>
        <w:spacing w:after="0"/>
        <w:tabs>
          <w:tab w:leader="none" w:pos="10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w:t>
      </w:r>
    </w:p>
    <w:p>
      <w:pPr>
        <w:spacing w:after="0" w:line="18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at April 30, 2024 and 2023</w:t>
      </w:r>
    </w:p>
    <w:p>
      <w:pPr>
        <w:spacing w:after="0" w:line="18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(Loss) for the Years Ended April 30, 2024, 2023 and 2022</w:t>
      </w:r>
    </w:p>
    <w:p>
      <w:pPr>
        <w:spacing w:after="0" w:line="198" w:lineRule="exact"/>
        <w:rPr>
          <w:rFonts w:ascii="Times New Roman" w:cs="Times New Roman" w:eastAsia="Times New Roman" w:hAnsi="Times New Roman"/>
          <w:sz w:val="18"/>
          <w:szCs w:val="18"/>
          <w:color w:val="auto"/>
        </w:rPr>
      </w:pPr>
    </w:p>
    <w:p>
      <w:pPr>
        <w:ind w:left="1040" w:right="399" w:hanging="321"/>
        <w:spacing w:after="0" w:line="282" w:lineRule="auto"/>
        <w:tabs>
          <w:tab w:leader="none" w:pos="10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(Loss) for the Years Ended April 30, 2024, 2023 and 2022</w:t>
      </w:r>
    </w:p>
    <w:p>
      <w:pPr>
        <w:spacing w:after="0" w:line="121"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for the Years Ended April 30, 2024, 2023 and 2022</w:t>
      </w:r>
    </w:p>
    <w:p>
      <w:pPr>
        <w:spacing w:after="0" w:line="184"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April 30, 2024, 2023 and 2022</w:t>
      </w:r>
    </w:p>
    <w:p>
      <w:pPr>
        <w:spacing w:after="0" w:line="198" w:lineRule="exact"/>
        <w:rPr>
          <w:rFonts w:ascii="Times New Roman" w:cs="Times New Roman" w:eastAsia="Times New Roman" w:hAnsi="Times New Roman"/>
          <w:sz w:val="18"/>
          <w:szCs w:val="18"/>
          <w:color w:val="auto"/>
        </w:rPr>
      </w:pPr>
    </w:p>
    <w:p>
      <w:pPr>
        <w:ind w:left="1040" w:hanging="321"/>
        <w:spacing w:after="0"/>
        <w:tabs>
          <w:tab w:leader="none" w:pos="10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180" w:lineRule="exact"/>
        <w:rPr>
          <w:rFonts w:ascii="Times New Roman" w:cs="Times New Roman" w:eastAsia="Times New Roman" w:hAnsi="Times New Roman"/>
          <w:sz w:val="18"/>
          <w:szCs w:val="18"/>
          <w:color w:val="auto"/>
        </w:rPr>
      </w:pPr>
    </w:p>
    <w:p>
      <w:pPr>
        <w:ind w:left="920" w:hanging="228"/>
        <w:spacing w:after="0"/>
        <w:tabs>
          <w:tab w:leader="none" w:pos="9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 Schedules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Schedule is included in Item 8:</w:t>
      </w:r>
    </w:p>
    <w:p>
      <w:pPr>
        <w:spacing w:after="0" w:line="198" w:lineRule="exact"/>
        <w:rPr>
          <w:sz w:val="20"/>
          <w:szCs w:val="20"/>
          <w:color w:val="auto"/>
        </w:rPr>
      </w:pPr>
    </w:p>
    <w:p>
      <w:pPr>
        <w:ind w:left="1040" w:hanging="321"/>
        <w:spacing w:after="0"/>
        <w:tabs>
          <w:tab w:leader="none" w:pos="10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II—Valuation and Qualifying Accounts</w:t>
      </w:r>
    </w:p>
    <w:p>
      <w:pPr>
        <w:spacing w:after="0" w:line="225" w:lineRule="exact"/>
        <w:rPr>
          <w:sz w:val="20"/>
          <w:szCs w:val="20"/>
          <w:color w:val="auto"/>
        </w:rPr>
      </w:pPr>
    </w:p>
    <w:p>
      <w:pPr>
        <w:ind w:left="40" w:right="439" w:firstLine="648"/>
        <w:spacing w:after="0" w:line="266" w:lineRule="auto"/>
        <w:rPr>
          <w:sz w:val="20"/>
          <w:szCs w:val="20"/>
          <w:color w:val="auto"/>
        </w:rPr>
      </w:pPr>
      <w:r>
        <w:rPr>
          <w:rFonts w:ascii="Times New Roman" w:cs="Times New Roman" w:eastAsia="Times New Roman" w:hAnsi="Times New Roman"/>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Item 15(b) of this report below.</w:t>
      </w:r>
    </w:p>
    <w:p>
      <w:pPr>
        <w:spacing w:after="0" w:line="225" w:lineRule="exact"/>
        <w:rPr>
          <w:sz w:val="20"/>
          <w:szCs w:val="20"/>
          <w:color w:val="auto"/>
        </w:rPr>
      </w:pPr>
    </w:p>
    <w:p>
      <w:pPr>
        <w:ind w:left="700" w:hanging="656"/>
        <w:spacing w:after="0"/>
        <w:tabs>
          <w:tab w:leader="none" w:pos="7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320" w:type="dxa"/>
            <w:vAlign w:val="bottom"/>
            <w:gridSpan w:val="9"/>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73"/>
        </w:trPr>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32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2.1*(26)</w:t>
            </w:r>
          </w:p>
        </w:tc>
        <w:tc>
          <w:tcPr>
            <w:tcW w:w="160" w:type="dxa"/>
            <w:vAlign w:val="bottom"/>
          </w:tcPr>
          <w:p>
            <w:pPr>
              <w:spacing w:after="0"/>
              <w:rPr>
                <w:sz w:val="14"/>
                <w:szCs w:val="14"/>
                <w:color w:val="auto"/>
              </w:rPr>
            </w:pPr>
          </w:p>
        </w:tc>
        <w:tc>
          <w:tcPr>
            <w:tcW w:w="7560" w:type="dxa"/>
            <w:vAlign w:val="bottom"/>
            <w:tcBorders>
              <w:top w:val="single" w:sz="8" w:color="auto"/>
              <w:bottom w:val="single" w:sz="8" w:color="0000EE"/>
            </w:tcBorders>
            <w:gridSpan w:val="12"/>
          </w:tcPr>
          <w:p>
            <w:pPr>
              <w:spacing w:after="0" w:line="169"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Agreement and Plan of Merger, dated as of August 18, 2023, by and among AeroVironment, Inc., Tropic</w:t>
              </w:r>
            </w:hyperlink>
          </w:p>
        </w:tc>
        <w:tc>
          <w:tcPr>
            <w:tcW w:w="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Merger Sub, Inc., Tomahawk Robotics, Inc., and Shareholder Representative Services LLC, solely in its</w:t>
              </w:r>
            </w:hyperlink>
          </w:p>
        </w:tc>
        <w:tc>
          <w:tcPr>
            <w:tcW w:w="3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40" w:type="dxa"/>
            <w:vAlign w:val="bottom"/>
            <w:gridSpan w:val="13"/>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capacity as the Stockholder Representative.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3.1(1)</w:t>
            </w:r>
          </w:p>
        </w:tc>
        <w:tc>
          <w:tcPr>
            <w:tcW w:w="160" w:type="dxa"/>
            <w:vAlign w:val="bottom"/>
          </w:tcPr>
          <w:p>
            <w:pPr>
              <w:spacing w:after="0"/>
              <w:rPr>
                <w:sz w:val="17"/>
                <w:szCs w:val="17"/>
                <w:color w:val="auto"/>
              </w:rPr>
            </w:pPr>
          </w:p>
        </w:tc>
        <w:tc>
          <w:tcPr>
            <w:tcW w:w="54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Amended and Restated Certificate of Incorporation of AeroVironment, Inc.</w:t>
              </w:r>
            </w:hyperlink>
          </w:p>
        </w:tc>
        <w:tc>
          <w:tcPr>
            <w:tcW w:w="24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 (22)</w:t>
            </w:r>
          </w:p>
        </w:tc>
        <w:tc>
          <w:tcPr>
            <w:tcW w:w="160" w:type="dxa"/>
            <w:vAlign w:val="bottom"/>
          </w:tcPr>
          <w:p>
            <w:pPr>
              <w:spacing w:after="0"/>
              <w:rPr>
                <w:sz w:val="17"/>
                <w:szCs w:val="17"/>
                <w:color w:val="auto"/>
              </w:rPr>
            </w:pPr>
          </w:p>
        </w:tc>
        <w:tc>
          <w:tcPr>
            <w:tcW w:w="70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Fourth Amended and Restated Bylaws of AeroVironment, Inc., amended as of December 1, 2022</w:t>
              </w:r>
            </w:hyperlink>
          </w:p>
        </w:tc>
        <w:tc>
          <w:tcPr>
            <w:tcW w:w="8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4.1(3)</w:t>
            </w:r>
          </w:p>
        </w:tc>
        <w:tc>
          <w:tcPr>
            <w:tcW w:w="160" w:type="dxa"/>
            <w:vAlign w:val="bottom"/>
          </w:tcPr>
          <w:p>
            <w:pPr>
              <w:spacing w:after="0"/>
              <w:rPr>
                <w:sz w:val="17"/>
                <w:szCs w:val="17"/>
                <w:color w:val="auto"/>
              </w:rPr>
            </w:pPr>
          </w:p>
        </w:tc>
        <w:tc>
          <w:tcPr>
            <w:tcW w:w="7840" w:type="dxa"/>
            <w:vAlign w:val="bottom"/>
            <w:gridSpan w:val="13"/>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Form of AeroVironment, Inc.’s Common Stock Certificate</w:t>
              </w:r>
            </w:hyperlink>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4.2(4)</w:t>
            </w:r>
          </w:p>
        </w:tc>
        <w:tc>
          <w:tcPr>
            <w:tcW w:w="160" w:type="dxa"/>
            <w:vAlign w:val="bottom"/>
          </w:tcPr>
          <w:p>
            <w:pPr>
              <w:spacing w:after="0"/>
              <w:rPr>
                <w:sz w:val="17"/>
                <w:szCs w:val="17"/>
                <w:color w:val="auto"/>
              </w:rPr>
            </w:pPr>
          </w:p>
        </w:tc>
        <w:tc>
          <w:tcPr>
            <w:tcW w:w="42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Description of Registrant’s Securities</w:t>
              </w:r>
            </w:hyperlink>
          </w:p>
        </w:tc>
        <w:tc>
          <w:tcPr>
            <w:tcW w:w="36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17"/>
                <w:szCs w:val="17"/>
                <w:color w:val="auto"/>
              </w:rPr>
            </w:pPr>
          </w:p>
        </w:tc>
        <w:tc>
          <w:tcPr>
            <w:tcW w:w="7840" w:type="dxa"/>
            <w:vAlign w:val="bottom"/>
            <w:gridSpan w:val="13"/>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Form of Director and Executive Officer Indemnification Agreement</w:t>
              </w:r>
            </w:hyperlink>
          </w:p>
        </w:tc>
        <w:tc>
          <w:tcPr>
            <w:tcW w:w="0" w:type="dxa"/>
            <w:vAlign w:val="bottom"/>
          </w:tcPr>
          <w:p>
            <w:pPr>
              <w:spacing w:after="0"/>
              <w:rPr>
                <w:sz w:val="1"/>
                <w:szCs w:val="1"/>
                <w:color w:val="auto"/>
              </w:rPr>
            </w:pPr>
          </w:p>
        </w:tc>
      </w:tr>
      <w:tr>
        <w:trPr>
          <w:trHeight w:val="196"/>
        </w:trPr>
        <w:tc>
          <w:tcPr>
            <w:tcW w:w="9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160" w:type="dxa"/>
            <w:vAlign w:val="bottom"/>
          </w:tcPr>
          <w:p>
            <w:pPr>
              <w:spacing w:after="0"/>
              <w:rPr>
                <w:sz w:val="17"/>
                <w:szCs w:val="17"/>
                <w:color w:val="auto"/>
              </w:rPr>
            </w:pPr>
          </w:p>
        </w:tc>
        <w:tc>
          <w:tcPr>
            <w:tcW w:w="192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AeroVironment, Inc. 2006</w:t>
              </w:r>
            </w:hyperlink>
          </w:p>
        </w:tc>
        <w:tc>
          <w:tcPr>
            <w:tcW w:w="2980" w:type="dxa"/>
            <w:vAlign w:val="bottom"/>
            <w:tcBorders>
              <w:top w:val="single" w:sz="8" w:color="0000EE"/>
            </w:tcBorders>
            <w:gridSpan w:val="5"/>
          </w:tcPr>
          <w:p>
            <w:pPr>
              <w:ind w:left="40"/>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Equity Incentive Plan</w:t>
              </w:r>
            </w:hyperlink>
          </w:p>
        </w:tc>
        <w:tc>
          <w:tcPr>
            <w:tcW w:w="29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10.3#(6)</w:t>
            </w:r>
          </w:p>
        </w:tc>
        <w:tc>
          <w:tcPr>
            <w:tcW w:w="160" w:type="dxa"/>
            <w:vAlign w:val="bottom"/>
          </w:tcPr>
          <w:p>
            <w:pPr>
              <w:spacing w:after="0"/>
              <w:rPr>
                <w:sz w:val="15"/>
                <w:szCs w:val="15"/>
                <w:color w:val="auto"/>
              </w:rPr>
            </w:pPr>
          </w:p>
        </w:tc>
        <w:tc>
          <w:tcPr>
            <w:tcW w:w="1920" w:type="dxa"/>
            <w:vAlign w:val="bottom"/>
            <w:tcBorders>
              <w:top w:val="single" w:sz="8" w:color="0000EE"/>
            </w:tcBorders>
          </w:tcPr>
          <w:p>
            <w:pPr>
              <w:spacing w:after="0" w:line="182"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AeroVironment, Inc. 2006</w:t>
              </w:r>
            </w:hyperlink>
          </w:p>
        </w:tc>
        <w:tc>
          <w:tcPr>
            <w:tcW w:w="1600" w:type="dxa"/>
            <w:vAlign w:val="bottom"/>
            <w:tcBorders>
              <w:top w:val="single" w:sz="8" w:color="0000EE"/>
            </w:tcBorders>
            <w:gridSpan w:val="3"/>
          </w:tcPr>
          <w:p>
            <w:pPr>
              <w:ind w:left="40"/>
              <w:spacing w:after="0" w:line="182" w:lineRule="exact"/>
              <w:rPr>
                <w:rFonts w:ascii="Times New Roman" w:cs="Times New Roman" w:eastAsia="Times New Roman" w:hAnsi="Times New Roman"/>
                <w:sz w:val="18"/>
                <w:szCs w:val="18"/>
                <w:color w:val="0000EE"/>
                <w:w w:val="95"/>
              </w:rPr>
            </w:pPr>
            <w:hyperlink r:id="rId167">
              <w:r>
                <w:rPr>
                  <w:rFonts w:ascii="Times New Roman" w:cs="Times New Roman" w:eastAsia="Times New Roman" w:hAnsi="Times New Roman"/>
                  <w:sz w:val="18"/>
                  <w:szCs w:val="18"/>
                  <w:color w:val="0000EE"/>
                  <w:w w:val="95"/>
                </w:rPr>
                <w:t>Equity Incentive Plan,</w:t>
              </w:r>
            </w:hyperlink>
          </w:p>
        </w:tc>
        <w:tc>
          <w:tcPr>
            <w:tcW w:w="4320" w:type="dxa"/>
            <w:vAlign w:val="bottom"/>
            <w:gridSpan w:val="9"/>
          </w:tcPr>
          <w:p>
            <w:pPr>
              <w:ind w:left="80"/>
              <w:spacing w:after="0" w:line="182"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as amended and restated effective September 29, 2011</w:t>
              </w:r>
            </w:hyperlink>
          </w:p>
        </w:tc>
        <w:tc>
          <w:tcPr>
            <w:tcW w:w="0" w:type="dxa"/>
            <w:vAlign w:val="bottom"/>
          </w:tcPr>
          <w:p>
            <w:pPr>
              <w:spacing w:after="0"/>
              <w:rPr>
                <w:sz w:val="1"/>
                <w:szCs w:val="1"/>
                <w:color w:val="auto"/>
              </w:rPr>
            </w:pPr>
          </w:p>
        </w:tc>
      </w:tr>
      <w:tr>
        <w:trPr>
          <w:trHeight w:val="183"/>
        </w:trPr>
        <w:tc>
          <w:tcPr>
            <w:tcW w:w="9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10.4#(7)</w:t>
            </w:r>
          </w:p>
        </w:tc>
        <w:tc>
          <w:tcPr>
            <w:tcW w:w="160" w:type="dxa"/>
            <w:vAlign w:val="bottom"/>
          </w:tcPr>
          <w:p>
            <w:pPr>
              <w:spacing w:after="0"/>
              <w:rPr>
                <w:sz w:val="15"/>
                <w:szCs w:val="15"/>
                <w:color w:val="auto"/>
              </w:rPr>
            </w:pPr>
          </w:p>
        </w:tc>
        <w:tc>
          <w:tcPr>
            <w:tcW w:w="192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AeroVironment, Inc. 2006</w:t>
              </w:r>
            </w:hyperlink>
          </w:p>
        </w:tc>
        <w:tc>
          <w:tcPr>
            <w:tcW w:w="5580" w:type="dxa"/>
            <w:vAlign w:val="bottom"/>
            <w:tcBorders>
              <w:top w:val="single" w:sz="8" w:color="0000EE"/>
              <w:bottom w:val="single" w:sz="8" w:color="0000EE"/>
            </w:tcBorders>
            <w:gridSpan w:val="9"/>
          </w:tcPr>
          <w:p>
            <w:pPr>
              <w:ind w:left="40"/>
              <w:spacing w:after="0" w:line="182"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Equity Incentive Plan, as amended and restated effective September 30, 2016</w:t>
              </w:r>
            </w:hyperlink>
          </w:p>
        </w:tc>
        <w:tc>
          <w:tcPr>
            <w:tcW w:w="20" w:type="dxa"/>
            <w:vAlign w:val="bottom"/>
            <w:tcBorders>
              <w:bottom w:val="single" w:sz="8" w:color="0000EE"/>
            </w:tcBorders>
          </w:tcPr>
          <w:p>
            <w:pPr>
              <w:spacing w:after="0"/>
              <w:rPr>
                <w:sz w:val="15"/>
                <w:szCs w:val="15"/>
                <w:color w:val="auto"/>
              </w:rPr>
            </w:pPr>
          </w:p>
        </w:tc>
        <w:tc>
          <w:tcPr>
            <w:tcW w:w="3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10.5#(3)</w:t>
            </w:r>
          </w:p>
        </w:tc>
        <w:tc>
          <w:tcPr>
            <w:tcW w:w="160" w:type="dxa"/>
            <w:vAlign w:val="bottom"/>
          </w:tcPr>
          <w:p>
            <w:pPr>
              <w:spacing w:after="0"/>
              <w:rPr>
                <w:sz w:val="15"/>
                <w:szCs w:val="15"/>
                <w:color w:val="auto"/>
              </w:rPr>
            </w:pPr>
          </w:p>
        </w:tc>
        <w:tc>
          <w:tcPr>
            <w:tcW w:w="7100" w:type="dxa"/>
            <w:vAlign w:val="bottom"/>
            <w:tcBorders>
              <w:bottom w:val="single" w:sz="8" w:color="0000EE"/>
            </w:tcBorders>
            <w:gridSpan w:val="9"/>
          </w:tcPr>
          <w:p>
            <w:pPr>
              <w:spacing w:after="0" w:line="182"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Form of Stock Option Agreement pursuant to the AeroVironment, Inc. 2006 Equity Incentive Plan</w:t>
              </w:r>
            </w:hyperlink>
          </w:p>
        </w:tc>
        <w:tc>
          <w:tcPr>
            <w:tcW w:w="420" w:type="dxa"/>
            <w:vAlign w:val="bottom"/>
            <w:gridSpan w:val="2"/>
          </w:tcPr>
          <w:p>
            <w:pPr>
              <w:spacing w:after="0"/>
              <w:rPr>
                <w:sz w:val="15"/>
                <w:szCs w:val="15"/>
                <w:color w:val="auto"/>
              </w:rPr>
            </w:pPr>
          </w:p>
        </w:tc>
        <w:tc>
          <w:tcPr>
            <w:tcW w:w="3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5" w:name="page136"/>
    <w:bookmarkEnd w:id="1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Exhibit</w:t>
      </w:r>
    </w:p>
    <w:p>
      <w:pPr>
        <w:spacing w:after="0" w:line="42" w:lineRule="exact"/>
        <w:rPr>
          <w:sz w:val="20"/>
          <w:szCs w:val="20"/>
          <w:color w:val="auto"/>
        </w:rPr>
      </w:pPr>
    </w:p>
    <w:p>
      <w:pPr>
        <w:ind w:left="20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10.6#(3)</w:t>
      </w:r>
      <w:r>
        <w:rPr>
          <w:sz w:val="20"/>
          <w:szCs w:val="20"/>
          <w:color w:val="auto"/>
        </w:rPr>
        <w:tab/>
      </w:r>
      <w:hyperlink r:id="rId171">
        <w:r>
          <w:rPr>
            <w:rFonts w:ascii="Times New Roman" w:cs="Times New Roman" w:eastAsia="Times New Roman" w:hAnsi="Times New Roman"/>
            <w:sz w:val="17"/>
            <w:szCs w:val="17"/>
            <w:u w:val="single" w:color="auto"/>
            <w:color w:val="0000EE"/>
          </w:rPr>
          <w:t>Form of Performance Based Bonus Award pursuant to the AeroVironment, Inc. 2006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-124460</wp:posOffset>
            </wp:positionV>
            <wp:extent cx="56578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ind w:left="1120" w:right="239" w:hanging="927"/>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10.7#(8)</w:t>
      </w:r>
      <w:r>
        <w:rPr>
          <w:sz w:val="20"/>
          <w:szCs w:val="20"/>
          <w:color w:val="auto"/>
        </w:rPr>
        <w:tab/>
      </w:r>
      <w:hyperlink r:id="rId173">
        <w:r>
          <w:rPr>
            <w:rFonts w:ascii="Times New Roman" w:cs="Times New Roman" w:eastAsia="Times New Roman" w:hAnsi="Times New Roman"/>
            <w:sz w:val="18"/>
            <w:szCs w:val="18"/>
            <w:u w:val="single" w:color="auto"/>
            <w:color w:val="0000EE"/>
          </w:rPr>
          <w:t>Form of Long-Term Compensation Award Grant Notice and Long-Term Compensation Award Agreement</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pursuant to the AeroVironment, Inc. 2006 Equity Incentive Plan</w:t>
        </w:r>
      </w:hyperlink>
    </w:p>
    <w:p>
      <w:pPr>
        <w:spacing w:after="0" w:line="2" w:lineRule="exact"/>
        <w:rPr>
          <w:sz w:val="20"/>
          <w:szCs w:val="20"/>
          <w:color w:val="auto"/>
        </w:rPr>
      </w:pPr>
    </w:p>
    <w:p>
      <w:pPr>
        <w:ind w:left="1120" w:right="479" w:hanging="927"/>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10.8#(9)</w:t>
      </w:r>
      <w:r>
        <w:rPr>
          <w:sz w:val="20"/>
          <w:szCs w:val="20"/>
          <w:color w:val="auto"/>
        </w:rPr>
        <w:tab/>
      </w:r>
      <w:hyperlink r:id="rId174">
        <w:r>
          <w:rPr>
            <w:rFonts w:ascii="Times New Roman" w:cs="Times New Roman" w:eastAsia="Times New Roman" w:hAnsi="Times New Roman"/>
            <w:sz w:val="18"/>
            <w:szCs w:val="18"/>
            <w:u w:val="single" w:color="auto"/>
            <w:color w:val="0000EE"/>
          </w:rPr>
          <w:t>Form of Restricted Stock Award Grant Notice and Restricted Stock Award Agreement (Severance Plan</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Participants) pursuant to the AeroVironment, Inc. 2006 Equity Incentive Plan</w:t>
        </w:r>
      </w:hyperlink>
    </w:p>
    <w:p>
      <w:pPr>
        <w:spacing w:after="0" w:line="2" w:lineRule="exact"/>
        <w:rPr>
          <w:sz w:val="20"/>
          <w:szCs w:val="20"/>
          <w:color w:val="auto"/>
        </w:rPr>
      </w:pPr>
    </w:p>
    <w:p>
      <w:pPr>
        <w:ind w:left="1120" w:right="99" w:hanging="927"/>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10.9#(9)</w:t>
      </w:r>
      <w:r>
        <w:rPr>
          <w:sz w:val="20"/>
          <w:szCs w:val="20"/>
          <w:color w:val="auto"/>
        </w:rPr>
        <w:tab/>
      </w:r>
      <w:hyperlink r:id="rId175">
        <w:r>
          <w:rPr>
            <w:rFonts w:ascii="Times New Roman" w:cs="Times New Roman" w:eastAsia="Times New Roman" w:hAnsi="Times New Roman"/>
            <w:sz w:val="18"/>
            <w:szCs w:val="18"/>
            <w:u w:val="single" w:color="auto"/>
            <w:color w:val="0000EE"/>
          </w:rPr>
          <w:t>Form of Restricted Stock Award Grant Notice and Restricted Stock Award Agreement (Non-Severance Plan</w:t>
        </w:r>
      </w:hyperlink>
      <w:r>
        <w:rPr>
          <w:rFonts w:ascii="Times New Roman" w:cs="Times New Roman" w:eastAsia="Times New Roman" w:hAnsi="Times New Roman"/>
          <w:sz w:val="18"/>
          <w:szCs w:val="18"/>
          <w:u w:val="single" w:color="auto"/>
          <w:color w:val="0000EE"/>
        </w:rPr>
        <w:t xml:space="preserve"> </w:t>
      </w:r>
      <w:hyperlink r:id="rId175">
        <w:r>
          <w:rPr>
            <w:rFonts w:ascii="Times New Roman" w:cs="Times New Roman" w:eastAsia="Times New Roman" w:hAnsi="Times New Roman"/>
            <w:sz w:val="18"/>
            <w:szCs w:val="18"/>
            <w:u w:val="single" w:color="auto"/>
            <w:color w:val="0000EE"/>
          </w:rPr>
          <w:t>Participants) pursuant to the AeroVironment, Inc. 2006 Equity Incentive Plan</w:t>
        </w:r>
      </w:hyperlink>
    </w:p>
    <w:p>
      <w:pPr>
        <w:spacing w:after="0" w:line="2" w:lineRule="exact"/>
        <w:rPr>
          <w:sz w:val="20"/>
          <w:szCs w:val="20"/>
          <w:color w:val="auto"/>
        </w:rPr>
      </w:pPr>
    </w:p>
    <w:p>
      <w:pPr>
        <w:ind w:left="1120" w:right="259" w:hanging="972"/>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10.10#(9)</w:t>
      </w:r>
      <w:r>
        <w:rPr>
          <w:sz w:val="20"/>
          <w:szCs w:val="20"/>
          <w:color w:val="auto"/>
        </w:rPr>
        <w:tab/>
      </w:r>
      <w:hyperlink r:id="rId176">
        <w:r>
          <w:rPr>
            <w:rFonts w:ascii="Times New Roman" w:cs="Times New Roman" w:eastAsia="Times New Roman" w:hAnsi="Times New Roman"/>
            <w:sz w:val="18"/>
            <w:szCs w:val="18"/>
            <w:u w:val="single" w:color="auto"/>
            <w:color w:val="0000EE"/>
          </w:rPr>
          <w:t>Form of Restricted Stock Award Grant Notice and Restricted Stock Award Agreement (Non-Management</w:t>
        </w:r>
      </w:hyperlink>
      <w:r>
        <w:rPr>
          <w:rFonts w:ascii="Times New Roman" w:cs="Times New Roman" w:eastAsia="Times New Roman" w:hAnsi="Times New Roman"/>
          <w:sz w:val="18"/>
          <w:szCs w:val="18"/>
          <w:u w:val="single" w:color="auto"/>
          <w:color w:val="0000EE"/>
        </w:rPr>
        <w:t xml:space="preserve"> </w:t>
      </w:r>
      <w:hyperlink r:id="rId176">
        <w:r>
          <w:rPr>
            <w:rFonts w:ascii="Times New Roman" w:cs="Times New Roman" w:eastAsia="Times New Roman" w:hAnsi="Times New Roman"/>
            <w:sz w:val="18"/>
            <w:szCs w:val="18"/>
            <w:u w:val="single" w:color="auto"/>
            <w:color w:val="0000EE"/>
          </w:rPr>
          <w:t>Directors) pursuant to the AeroVironment, Inc. 2006 Equity Incentive Plan</w:t>
        </w:r>
      </w:hyperlink>
    </w:p>
    <w:p>
      <w:pPr>
        <w:spacing w:after="0" w:line="2" w:lineRule="exact"/>
        <w:rPr>
          <w:sz w:val="20"/>
          <w:szCs w:val="20"/>
          <w:color w:val="auto"/>
        </w:rPr>
      </w:pPr>
    </w:p>
    <w:p>
      <w:pPr>
        <w:ind w:left="1120" w:right="379" w:hanging="969"/>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10.11#(9)</w:t>
      </w:r>
      <w:r>
        <w:rPr>
          <w:sz w:val="20"/>
          <w:szCs w:val="20"/>
          <w:color w:val="auto"/>
        </w:rPr>
        <w:tab/>
      </w:r>
      <w:hyperlink r:id="rId177">
        <w:r>
          <w:rPr>
            <w:rFonts w:ascii="Times New Roman" w:cs="Times New Roman" w:eastAsia="Times New Roman" w:hAnsi="Times New Roman"/>
            <w:sz w:val="18"/>
            <w:szCs w:val="18"/>
            <w:u w:val="single" w:color="auto"/>
            <w:color w:val="0000EE"/>
          </w:rPr>
          <w:t>Form of Performance Restricted Stock Unit Award Grant Notice and Performance Restricted Stock Unit</w:t>
        </w:r>
      </w:hyperlink>
      <w:r>
        <w:rPr>
          <w:rFonts w:ascii="Times New Roman" w:cs="Times New Roman" w:eastAsia="Times New Roman" w:hAnsi="Times New Roman"/>
          <w:sz w:val="18"/>
          <w:szCs w:val="18"/>
          <w:u w:val="single" w:color="auto"/>
          <w:color w:val="0000EE"/>
        </w:rPr>
        <w:t xml:space="preserve"> </w:t>
      </w:r>
      <w:hyperlink r:id="rId177">
        <w:r>
          <w:rPr>
            <w:rFonts w:ascii="Times New Roman" w:cs="Times New Roman" w:eastAsia="Times New Roman" w:hAnsi="Times New Roman"/>
            <w:sz w:val="18"/>
            <w:szCs w:val="18"/>
            <w:u w:val="single" w:color="auto"/>
            <w:color w:val="0000EE"/>
          </w:rPr>
          <w:t>Award Agreement pursuant to the AeroVironment, Inc. 2006 Equity Incentive Plan</w:t>
        </w:r>
      </w:hyperlink>
    </w:p>
    <w:p>
      <w:pPr>
        <w:ind w:left="120"/>
        <w:spacing w:after="0" w:line="23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10.12#(10)</w:t>
      </w:r>
      <w:r>
        <w:rPr>
          <w:sz w:val="20"/>
          <w:szCs w:val="20"/>
          <w:color w:val="auto"/>
        </w:rPr>
        <w:tab/>
      </w:r>
      <w:hyperlink r:id="rId178">
        <w:r>
          <w:rPr>
            <w:rFonts w:ascii="Times New Roman" w:cs="Times New Roman" w:eastAsia="Times New Roman" w:hAnsi="Times New Roman"/>
            <w:sz w:val="18"/>
            <w:szCs w:val="18"/>
            <w:u w:val="single" w:color="auto"/>
            <w:color w:val="0000EE"/>
          </w:rPr>
          <w:t>AeroVironment, Inc. 2021 Equity Incentive Plan</w:t>
        </w:r>
      </w:hyperlink>
    </w:p>
    <w:p>
      <w:pPr>
        <w:spacing w:after="0" w:line="1" w:lineRule="exact"/>
        <w:rPr>
          <w:sz w:val="20"/>
          <w:szCs w:val="20"/>
          <w:color w:val="auto"/>
        </w:rPr>
      </w:pPr>
    </w:p>
    <w:p>
      <w:pPr>
        <w:ind w:left="1120" w:right="119" w:hanging="1017"/>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10.13#(10)</w:t>
      </w:r>
      <w:r>
        <w:rPr>
          <w:sz w:val="20"/>
          <w:szCs w:val="20"/>
          <w:color w:val="auto"/>
        </w:rPr>
        <w:tab/>
      </w:r>
      <w:hyperlink r:id="rId179">
        <w:r>
          <w:rPr>
            <w:rFonts w:ascii="Times New Roman" w:cs="Times New Roman" w:eastAsia="Times New Roman" w:hAnsi="Times New Roman"/>
            <w:sz w:val="18"/>
            <w:szCs w:val="18"/>
            <w:u w:val="single" w:color="auto"/>
            <w:color w:val="0000EE"/>
          </w:rPr>
          <w:t>Form of Stock Option Grant Notice and Stock Option Agreement pursuant to the AeroVironment, Inc. 2021</w:t>
        </w:r>
      </w:hyperlink>
      <w:r>
        <w:rPr>
          <w:rFonts w:ascii="Times New Roman" w:cs="Times New Roman" w:eastAsia="Times New Roman" w:hAnsi="Times New Roman"/>
          <w:sz w:val="18"/>
          <w:szCs w:val="18"/>
          <w:u w:val="single" w:color="auto"/>
          <w:color w:val="0000EE"/>
        </w:rPr>
        <w:t xml:space="preserve"> </w:t>
      </w:r>
      <w:hyperlink r:id="rId179">
        <w:r>
          <w:rPr>
            <w:rFonts w:ascii="Times New Roman" w:cs="Times New Roman" w:eastAsia="Times New Roman" w:hAnsi="Times New Roman"/>
            <w:sz w:val="18"/>
            <w:szCs w:val="18"/>
            <w:u w:val="single" w:color="auto"/>
            <w:color w:val="0000EE"/>
          </w:rPr>
          <w:t>Equity Incentive Plan</w:t>
        </w:r>
      </w:hyperlink>
    </w:p>
    <w:p>
      <w:pPr>
        <w:spacing w:after="0" w:line="2" w:lineRule="exact"/>
        <w:rPr>
          <w:sz w:val="20"/>
          <w:szCs w:val="20"/>
          <w:color w:val="auto"/>
        </w:rPr>
      </w:pPr>
    </w:p>
    <w:p>
      <w:pPr>
        <w:ind w:left="1120" w:right="559" w:hanging="1017"/>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10.14#(10)</w:t>
      </w:r>
      <w:r>
        <w:rPr>
          <w:sz w:val="20"/>
          <w:szCs w:val="20"/>
          <w:color w:val="auto"/>
        </w:rPr>
        <w:tab/>
      </w:r>
      <w:hyperlink r:id="rId180">
        <w:r>
          <w:rPr>
            <w:rFonts w:ascii="Times New Roman" w:cs="Times New Roman" w:eastAsia="Times New Roman" w:hAnsi="Times New Roman"/>
            <w:sz w:val="18"/>
            <w:szCs w:val="18"/>
            <w:u w:val="single" w:color="auto"/>
            <w:color w:val="0000EE"/>
          </w:rPr>
          <w:t>Form of Restricted Stock Award Grant Notice and Restricted Stock Award Agreement pursuant to the</w:t>
        </w:r>
      </w:hyperlink>
      <w:r>
        <w:rPr>
          <w:rFonts w:ascii="Times New Roman" w:cs="Times New Roman" w:eastAsia="Times New Roman" w:hAnsi="Times New Roman"/>
          <w:sz w:val="18"/>
          <w:szCs w:val="18"/>
          <w:u w:val="single" w:color="auto"/>
          <w:color w:val="0000EE"/>
        </w:rPr>
        <w:t xml:space="preserve"> </w:t>
      </w:r>
      <w:hyperlink r:id="rId180">
        <w:r>
          <w:rPr>
            <w:rFonts w:ascii="Times New Roman" w:cs="Times New Roman" w:eastAsia="Times New Roman" w:hAnsi="Times New Roman"/>
            <w:sz w:val="18"/>
            <w:szCs w:val="18"/>
            <w:u w:val="single" w:color="auto"/>
            <w:color w:val="0000EE"/>
          </w:rPr>
          <w:t>AeroVironment, Inc. 2021 Equity Incentive Plan (Severance Plan Participants)</w:t>
        </w:r>
      </w:hyperlink>
    </w:p>
    <w:p>
      <w:pPr>
        <w:spacing w:after="0" w:line="2" w:lineRule="exact"/>
        <w:rPr>
          <w:sz w:val="20"/>
          <w:szCs w:val="20"/>
          <w:color w:val="auto"/>
        </w:rPr>
      </w:pPr>
    </w:p>
    <w:p>
      <w:pPr>
        <w:ind w:left="1120" w:right="559" w:hanging="1017"/>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10.15#(10)</w:t>
      </w:r>
      <w:r>
        <w:rPr>
          <w:sz w:val="20"/>
          <w:szCs w:val="20"/>
          <w:color w:val="auto"/>
        </w:rPr>
        <w:tab/>
      </w:r>
      <w:hyperlink r:id="rId181">
        <w:r>
          <w:rPr>
            <w:rFonts w:ascii="Times New Roman" w:cs="Times New Roman" w:eastAsia="Times New Roman" w:hAnsi="Times New Roman"/>
            <w:sz w:val="18"/>
            <w:szCs w:val="18"/>
            <w:u w:val="single" w:color="auto"/>
            <w:color w:val="0000EE"/>
          </w:rPr>
          <w:t>Form of Restricted Stock Award Grant Notice and Restricted Stock Award Agreement pursuant to the</w:t>
        </w:r>
      </w:hyperlink>
      <w:r>
        <w:rPr>
          <w:rFonts w:ascii="Times New Roman" w:cs="Times New Roman" w:eastAsia="Times New Roman" w:hAnsi="Times New Roman"/>
          <w:sz w:val="18"/>
          <w:szCs w:val="18"/>
          <w:u w:val="single" w:color="auto"/>
          <w:color w:val="0000EE"/>
        </w:rPr>
        <w:t xml:space="preserve"> </w:t>
      </w:r>
      <w:hyperlink r:id="rId181">
        <w:r>
          <w:rPr>
            <w:rFonts w:ascii="Times New Roman" w:cs="Times New Roman" w:eastAsia="Times New Roman" w:hAnsi="Times New Roman"/>
            <w:sz w:val="18"/>
            <w:szCs w:val="18"/>
            <w:u w:val="single" w:color="auto"/>
            <w:color w:val="0000EE"/>
          </w:rPr>
          <w:t>AeroVironment, Inc. 2021 Equity Incentive Plan (Non-Severance Plan Participants)</w:t>
        </w:r>
      </w:hyperlink>
    </w:p>
    <w:p>
      <w:pPr>
        <w:spacing w:after="0" w:line="2" w:lineRule="exact"/>
        <w:rPr>
          <w:sz w:val="20"/>
          <w:szCs w:val="20"/>
          <w:color w:val="auto"/>
        </w:rPr>
      </w:pPr>
    </w:p>
    <w:p>
      <w:pPr>
        <w:ind w:left="1120" w:right="559" w:hanging="1017"/>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10.16#(10)</w:t>
      </w:r>
      <w:r>
        <w:rPr>
          <w:sz w:val="20"/>
          <w:szCs w:val="20"/>
          <w:color w:val="auto"/>
        </w:rPr>
        <w:tab/>
      </w:r>
      <w:hyperlink r:id="rId182">
        <w:r>
          <w:rPr>
            <w:rFonts w:ascii="Times New Roman" w:cs="Times New Roman" w:eastAsia="Times New Roman" w:hAnsi="Times New Roman"/>
            <w:sz w:val="18"/>
            <w:szCs w:val="18"/>
            <w:u w:val="single" w:color="auto"/>
            <w:color w:val="0000EE"/>
          </w:rPr>
          <w:t>Form of Restricted Stock Award Grant Notice and Restricted Stock Award Agreement pursuant to the</w:t>
        </w:r>
      </w:hyperlink>
      <w:r>
        <w:rPr>
          <w:rFonts w:ascii="Times New Roman" w:cs="Times New Roman" w:eastAsia="Times New Roman" w:hAnsi="Times New Roman"/>
          <w:sz w:val="18"/>
          <w:szCs w:val="18"/>
          <w:u w:val="single" w:color="auto"/>
          <w:color w:val="0000EE"/>
        </w:rPr>
        <w:t xml:space="preserve"> </w:t>
      </w:r>
      <w:hyperlink r:id="rId182">
        <w:r>
          <w:rPr>
            <w:rFonts w:ascii="Times New Roman" w:cs="Times New Roman" w:eastAsia="Times New Roman" w:hAnsi="Times New Roman"/>
            <w:sz w:val="18"/>
            <w:szCs w:val="18"/>
            <w:u w:val="single" w:color="auto"/>
            <w:color w:val="0000EE"/>
          </w:rPr>
          <w:t>AeroVironment, Inc. 2021 Equity Incentive Plan (Non-Employee Directors)</w:t>
        </w:r>
      </w:hyperlink>
    </w:p>
    <w:p>
      <w:pPr>
        <w:spacing w:after="0" w:line="2" w:lineRule="exact"/>
        <w:rPr>
          <w:sz w:val="20"/>
          <w:szCs w:val="20"/>
          <w:color w:val="auto"/>
        </w:rPr>
      </w:pPr>
    </w:p>
    <w:p>
      <w:pPr>
        <w:ind w:left="1120" w:right="599" w:hanging="1017"/>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10.17#(10)</w:t>
      </w:r>
      <w:r>
        <w:rPr>
          <w:sz w:val="20"/>
          <w:szCs w:val="20"/>
          <w:color w:val="auto"/>
        </w:rPr>
        <w:tab/>
      </w:r>
      <w:hyperlink r:id="rId183">
        <w:r>
          <w:rPr>
            <w:rFonts w:ascii="Times New Roman" w:cs="Times New Roman" w:eastAsia="Times New Roman" w:hAnsi="Times New Roman"/>
            <w:sz w:val="18"/>
            <w:szCs w:val="18"/>
            <w:u w:val="single" w:color="auto"/>
            <w:color w:val="0000EE"/>
          </w:rPr>
          <w:t>Form of Performance Restricted Stock Award Grant Notice and Performance Restricted Stock Award</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Agreement pursuant to the AeroVironment, Inc. 2021 Equity Incentive Plan</w:t>
        </w:r>
      </w:hyperlink>
    </w:p>
    <w:p>
      <w:pPr>
        <w:spacing w:after="0" w:line="2" w:lineRule="exact"/>
        <w:rPr>
          <w:sz w:val="20"/>
          <w:szCs w:val="20"/>
          <w:color w:val="auto"/>
        </w:rPr>
      </w:pPr>
    </w:p>
    <w:p>
      <w:pPr>
        <w:ind w:left="1120" w:right="179" w:hanging="972"/>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10.18(23)</w:t>
      </w:r>
      <w:r>
        <w:rPr>
          <w:sz w:val="20"/>
          <w:szCs w:val="20"/>
          <w:color w:val="auto"/>
        </w:rPr>
        <w:tab/>
      </w:r>
      <w:hyperlink r:id="rId184">
        <w:r>
          <w:rPr>
            <w:rFonts w:ascii="Times New Roman" w:cs="Times New Roman" w:eastAsia="Times New Roman" w:hAnsi="Times New Roman"/>
            <w:sz w:val="18"/>
            <w:szCs w:val="18"/>
            <w:u w:val="single" w:color="auto"/>
            <w:color w:val="0000EE"/>
          </w:rPr>
          <w:t>Lease, dated March 11, 2022, between AeroVironment, Inc. and BCORE Defender CA1W01, LLC, for the</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property located at 85 Moreland Road, Simi Valley, California</w:t>
        </w:r>
      </w:hyperlink>
    </w:p>
    <w:p>
      <w:pPr>
        <w:spacing w:after="0" w:line="2" w:lineRule="exact"/>
        <w:rPr>
          <w:sz w:val="20"/>
          <w:szCs w:val="20"/>
          <w:color w:val="auto"/>
        </w:rPr>
      </w:pPr>
    </w:p>
    <w:p>
      <w:pPr>
        <w:ind w:left="1120" w:right="419" w:hanging="972"/>
        <w:spacing w:after="0" w:line="229"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10.19(27)</w:t>
      </w:r>
      <w:r>
        <w:rPr>
          <w:sz w:val="20"/>
          <w:szCs w:val="20"/>
          <w:color w:val="auto"/>
        </w:rPr>
        <w:tab/>
      </w:r>
      <w:hyperlink r:id="rId185">
        <w:r>
          <w:rPr>
            <w:rFonts w:ascii="Times New Roman" w:cs="Times New Roman" w:eastAsia="Times New Roman" w:hAnsi="Times New Roman"/>
            <w:sz w:val="18"/>
            <w:szCs w:val="18"/>
            <w:u w:val="single" w:color="auto"/>
            <w:color w:val="0000EE"/>
          </w:rPr>
          <w:t>First Amendment to Lease, dated March 11, 2022, between AeroVironment, Inc. and BCORE Defender</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CA1W01, LLC, for the property located at 85 Moreland Road, Simi Valley, California, dated as of</w:t>
        </w:r>
      </w:hyperlink>
      <w:r>
        <w:rPr>
          <w:rFonts w:ascii="Times New Roman" w:cs="Times New Roman" w:eastAsia="Times New Roman" w:hAnsi="Times New Roman"/>
          <w:sz w:val="18"/>
          <w:szCs w:val="18"/>
          <w:u w:val="single" w:color="auto"/>
          <w:color w:val="0000EE"/>
        </w:rPr>
        <w:t xml:space="preserve"> </w:t>
      </w:r>
      <w:hyperlink r:id="rId185">
        <w:r>
          <w:rPr>
            <w:rFonts w:ascii="Times New Roman" w:cs="Times New Roman" w:eastAsia="Times New Roman" w:hAnsi="Times New Roman"/>
            <w:sz w:val="18"/>
            <w:szCs w:val="18"/>
            <w:u w:val="single" w:color="auto"/>
            <w:color w:val="0000EE"/>
          </w:rPr>
          <w:t>September 10, 2023.</w:t>
        </w:r>
      </w:hyperlink>
    </w:p>
    <w:p>
      <w:pPr>
        <w:spacing w:after="0" w:line="2" w:lineRule="exact"/>
        <w:rPr>
          <w:rFonts w:ascii="Times New Roman" w:cs="Times New Roman" w:eastAsia="Times New Roman" w:hAnsi="Times New Roman"/>
          <w:sz w:val="18"/>
          <w:szCs w:val="18"/>
          <w:u w:val="single" w:color="auto"/>
          <w:color w:val="0000EE"/>
        </w:rPr>
      </w:pPr>
    </w:p>
    <w:p>
      <w:pPr>
        <w:jc w:val="both"/>
        <w:ind w:left="1120" w:right="259" w:hanging="969"/>
        <w:spacing w:after="0" w:line="229"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10.20(11)</w:t>
      </w:r>
      <w:r>
        <w:rPr>
          <w:sz w:val="20"/>
          <w:szCs w:val="20"/>
          <w:color w:val="auto"/>
        </w:rPr>
        <w:tab/>
      </w:r>
      <w:hyperlink r:id="rId186">
        <w:r>
          <w:rPr>
            <w:rFonts w:ascii="Times New Roman" w:cs="Times New Roman" w:eastAsia="Times New Roman" w:hAnsi="Times New Roman"/>
            <w:sz w:val="18"/>
            <w:szCs w:val="18"/>
            <w:u w:val="single" w:color="auto"/>
            <w:color w:val="0000EE"/>
          </w:rPr>
          <w:t>Standard Industrial/Commercial Single-Tenant Lease, dated March 3, 2008, between AeroVironment, Inc.</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and Hillside Associates III, LLC, for the property located at 900 Enchanted Way, Simi Valley, California,</w:t>
        </w:r>
      </w:hyperlink>
      <w:r>
        <w:rPr>
          <w:rFonts w:ascii="Times New Roman" w:cs="Times New Roman" w:eastAsia="Times New Roman" w:hAnsi="Times New Roman"/>
          <w:sz w:val="18"/>
          <w:szCs w:val="18"/>
          <w:u w:val="single" w:color="auto"/>
          <w:color w:val="0000EE"/>
        </w:rPr>
        <w:t xml:space="preserve"> </w:t>
      </w:r>
      <w:hyperlink r:id="rId186">
        <w:r>
          <w:rPr>
            <w:rFonts w:ascii="Times New Roman" w:cs="Times New Roman" w:eastAsia="Times New Roman" w:hAnsi="Times New Roman"/>
            <w:sz w:val="18"/>
            <w:szCs w:val="18"/>
            <w:u w:val="single" w:color="auto"/>
            <w:color w:val="0000EE"/>
          </w:rPr>
          <w:t>including the addendum thereto</w:t>
        </w:r>
      </w:hyperlink>
    </w:p>
    <w:p>
      <w:pPr>
        <w:ind w:left="16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10.21(12)</w:t>
      </w:r>
      <w:r>
        <w:rPr>
          <w:sz w:val="20"/>
          <w:szCs w:val="20"/>
          <w:color w:val="auto"/>
        </w:rPr>
        <w:tab/>
      </w:r>
      <w:hyperlink r:id="rId187">
        <w:r>
          <w:rPr>
            <w:rFonts w:ascii="Times New Roman" w:cs="Times New Roman" w:eastAsia="Times New Roman" w:hAnsi="Times New Roman"/>
            <w:sz w:val="17"/>
            <w:szCs w:val="17"/>
            <w:u w:val="single" w:color="auto"/>
            <w:color w:val="0000EE"/>
          </w:rPr>
          <w:t>First Amendment to Lease Agreement (900 Enchanted Way, Simi Valley, CA 93065) dated as of December</w:t>
        </w:r>
      </w:hyperlink>
    </w:p>
    <w:p>
      <w:pPr>
        <w:ind w:left="1120"/>
        <w:spacing w:after="0" w:line="219" w:lineRule="auto"/>
        <w:rPr>
          <w:rFonts w:ascii="Times New Roman" w:cs="Times New Roman" w:eastAsia="Times New Roman" w:hAnsi="Times New Roman"/>
          <w:sz w:val="18"/>
          <w:szCs w:val="18"/>
          <w:u w:val="single" w:color="auto"/>
          <w:color w:val="0000EE"/>
        </w:rPr>
      </w:pPr>
      <w:hyperlink r:id="rId187">
        <w:r>
          <w:rPr>
            <w:rFonts w:ascii="Times New Roman" w:cs="Times New Roman" w:eastAsia="Times New Roman" w:hAnsi="Times New Roman"/>
            <w:sz w:val="18"/>
            <w:szCs w:val="18"/>
            <w:u w:val="single" w:color="auto"/>
            <w:color w:val="0000EE"/>
          </w:rPr>
          <w:t>1, 2013, by and between the Company and Hillside III LLC, and related agreements</w:t>
        </w:r>
      </w:hyperlink>
    </w:p>
    <w:p>
      <w:pPr>
        <w:spacing w:after="0" w:line="1" w:lineRule="exact"/>
        <w:rPr>
          <w:rFonts w:ascii="Times New Roman" w:cs="Times New Roman" w:eastAsia="Times New Roman" w:hAnsi="Times New Roman"/>
          <w:sz w:val="18"/>
          <w:szCs w:val="18"/>
          <w:u w:val="single" w:color="auto"/>
          <w:color w:val="0000EE"/>
        </w:rPr>
      </w:pPr>
    </w:p>
    <w:p>
      <w:pPr>
        <w:ind w:left="1120" w:right="519" w:hanging="927"/>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10.22(4)</w:t>
      </w:r>
      <w:r>
        <w:rPr>
          <w:sz w:val="20"/>
          <w:szCs w:val="20"/>
          <w:color w:val="auto"/>
        </w:rPr>
        <w:tab/>
      </w:r>
      <w:hyperlink r:id="rId188">
        <w:r>
          <w:rPr>
            <w:rFonts w:ascii="Times New Roman" w:cs="Times New Roman" w:eastAsia="Times New Roman" w:hAnsi="Times New Roman"/>
            <w:sz w:val="18"/>
            <w:szCs w:val="18"/>
            <w:u w:val="single" w:color="auto"/>
            <w:color w:val="0000EE"/>
          </w:rPr>
          <w:t>Second Amendment to Lease Agreement dated as of May 13, 2020, by and between the Company and</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Hillside III LLC for the property located at 900 Enchanted Way, Simi Valley, CA 93065</w:t>
        </w:r>
      </w:hyperlink>
    </w:p>
    <w:p>
      <w:pPr>
        <w:spacing w:after="0" w:line="2" w:lineRule="exact"/>
        <w:rPr>
          <w:sz w:val="20"/>
          <w:szCs w:val="20"/>
          <w:color w:val="auto"/>
        </w:rPr>
      </w:pPr>
    </w:p>
    <w:p>
      <w:pPr>
        <w:ind w:left="1120" w:right="139" w:hanging="969"/>
        <w:spacing w:after="0" w:line="229"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10.23(11)</w:t>
      </w:r>
      <w:r>
        <w:rPr>
          <w:sz w:val="20"/>
          <w:szCs w:val="20"/>
          <w:color w:val="auto"/>
        </w:rPr>
        <w:tab/>
      </w:r>
      <w:hyperlink r:id="rId189">
        <w:r>
          <w:rPr>
            <w:rFonts w:ascii="Times New Roman" w:cs="Times New Roman" w:eastAsia="Times New Roman" w:hAnsi="Times New Roman"/>
            <w:sz w:val="18"/>
            <w:szCs w:val="18"/>
            <w:u w:val="single" w:color="auto"/>
            <w:color w:val="0000EE"/>
          </w:rPr>
          <w:t>Standard Industrial/Commercial Single-Tenant Lease, dated April 21, 2008, between AeroVironment, Inc.</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and Hillside Associates II, LLC, for the property located at 994 Flower Glen Street, Simi Valley, California,</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including the addendum thereto</w:t>
        </w:r>
      </w:hyperlink>
    </w:p>
    <w:p>
      <w:pPr>
        <w:spacing w:after="0" w:line="2" w:lineRule="exact"/>
        <w:rPr>
          <w:rFonts w:ascii="Times New Roman" w:cs="Times New Roman" w:eastAsia="Times New Roman" w:hAnsi="Times New Roman"/>
          <w:sz w:val="18"/>
          <w:szCs w:val="18"/>
          <w:u w:val="single" w:color="auto"/>
          <w:color w:val="0000EE"/>
        </w:rPr>
      </w:pPr>
    </w:p>
    <w:p>
      <w:pPr>
        <w:ind w:left="1120" w:right="699" w:hanging="972"/>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10.24(12)</w:t>
      </w:r>
      <w:r>
        <w:rPr>
          <w:sz w:val="20"/>
          <w:szCs w:val="20"/>
          <w:color w:val="auto"/>
        </w:rPr>
        <w:tab/>
      </w:r>
      <w:hyperlink r:id="rId190">
        <w:r>
          <w:rPr>
            <w:rFonts w:ascii="Times New Roman" w:cs="Times New Roman" w:eastAsia="Times New Roman" w:hAnsi="Times New Roman"/>
            <w:sz w:val="18"/>
            <w:szCs w:val="18"/>
            <w:u w:val="single" w:color="auto"/>
            <w:color w:val="0000EE"/>
          </w:rPr>
          <w:t>First Amendment to Lease Agreement (994 Flower Glen Street, Simi Valley, CA 93065) dated as of</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December 1, 2013, by and between the Company and Hillside II LLC, and related agreements</w:t>
        </w:r>
      </w:hyperlink>
    </w:p>
    <w:p>
      <w:pPr>
        <w:jc w:val="center"/>
        <w:ind w:right="19"/>
        <w:spacing w:after="0"/>
        <w:tabs>
          <w:tab w:leader="none" w:pos="2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10.25(13)</w:t>
      </w:r>
      <w:r>
        <w:rPr>
          <w:sz w:val="20"/>
          <w:szCs w:val="20"/>
          <w:color w:val="auto"/>
        </w:rPr>
        <w:tab/>
      </w:r>
      <w:hyperlink r:id="rId191">
        <w:r>
          <w:rPr>
            <w:rFonts w:ascii="Times New Roman" w:cs="Times New Roman" w:eastAsia="Times New Roman" w:hAnsi="Times New Roman"/>
            <w:sz w:val="17"/>
            <w:szCs w:val="17"/>
            <w:u w:val="single" w:color="auto"/>
            <w:color w:val="0000EE"/>
          </w:rPr>
          <w:t>Second Amendment to Lease Agreement (994 Innovators Way, Simi Valley, CA 93065) dated as of June 1,</w:t>
        </w:r>
      </w:hyperlink>
    </w:p>
    <w:p>
      <w:pPr>
        <w:jc w:val="center"/>
        <w:ind w:right="99"/>
        <w:spacing w:after="0" w:line="219" w:lineRule="auto"/>
        <w:rPr>
          <w:rFonts w:ascii="Times New Roman" w:cs="Times New Roman" w:eastAsia="Times New Roman" w:hAnsi="Times New Roman"/>
          <w:sz w:val="18"/>
          <w:szCs w:val="18"/>
          <w:u w:val="single" w:color="auto"/>
          <w:color w:val="0000EE"/>
        </w:rPr>
      </w:pPr>
      <w:hyperlink r:id="rId191">
        <w:r>
          <w:rPr>
            <w:rFonts w:ascii="Times New Roman" w:cs="Times New Roman" w:eastAsia="Times New Roman" w:hAnsi="Times New Roman"/>
            <w:sz w:val="18"/>
            <w:szCs w:val="18"/>
            <w:u w:val="single" w:color="auto"/>
            <w:color w:val="0000EE"/>
          </w:rPr>
          <w:t>2021, by and between the Company and Hillside Associates II, LLC, and related agreements</w:t>
        </w:r>
      </w:hyperlink>
    </w:p>
    <w:p>
      <w:pPr>
        <w:spacing w:after="0" w:line="1" w:lineRule="exact"/>
        <w:rPr>
          <w:sz w:val="20"/>
          <w:szCs w:val="20"/>
          <w:color w:val="auto"/>
        </w:rPr>
      </w:pPr>
    </w:p>
    <w:p>
      <w:pPr>
        <w:ind w:left="1120" w:right="259" w:hanging="972"/>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10.26(12)</w:t>
      </w:r>
      <w:r>
        <w:rPr>
          <w:sz w:val="20"/>
          <w:szCs w:val="20"/>
          <w:color w:val="auto"/>
        </w:rPr>
        <w:tab/>
      </w:r>
      <w:hyperlink r:id="rId192">
        <w:r>
          <w:rPr>
            <w:rFonts w:ascii="Times New Roman" w:cs="Times New Roman" w:eastAsia="Times New Roman" w:hAnsi="Times New Roman"/>
            <w:sz w:val="18"/>
            <w:szCs w:val="18"/>
            <w:u w:val="single" w:color="auto"/>
            <w:color w:val="0000EE"/>
          </w:rPr>
          <w:t>Lease Agreement (996 Flower Glen Street, Simi Valley, CA 93065) dated as of December 1, 2013, by and</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between the Company and Hillside II LLC, and related agreements</w:t>
        </w:r>
      </w:hyperlink>
    </w:p>
    <w:p>
      <w:pPr>
        <w:ind w:left="16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10.27(13)</w:t>
      </w:r>
      <w:r>
        <w:rPr>
          <w:sz w:val="20"/>
          <w:szCs w:val="20"/>
          <w:color w:val="auto"/>
        </w:rPr>
        <w:tab/>
      </w:r>
      <w:hyperlink r:id="rId193">
        <w:r>
          <w:rPr>
            <w:rFonts w:ascii="Times New Roman" w:cs="Times New Roman" w:eastAsia="Times New Roman" w:hAnsi="Times New Roman"/>
            <w:sz w:val="17"/>
            <w:szCs w:val="17"/>
            <w:u w:val="single" w:color="auto"/>
            <w:color w:val="0000EE"/>
          </w:rPr>
          <w:t>First Amendment to Lease Agreement (996 Innovators Way, Simi Valley, CA 93065) dated as of June 1,</w:t>
        </w:r>
      </w:hyperlink>
    </w:p>
    <w:p>
      <w:pPr>
        <w:ind w:left="1120"/>
        <w:spacing w:after="0" w:line="219" w:lineRule="auto"/>
        <w:rPr>
          <w:rFonts w:ascii="Times New Roman" w:cs="Times New Roman" w:eastAsia="Times New Roman" w:hAnsi="Times New Roman"/>
          <w:sz w:val="18"/>
          <w:szCs w:val="18"/>
          <w:u w:val="single" w:color="auto"/>
          <w:color w:val="0000EE"/>
        </w:rPr>
      </w:pPr>
      <w:hyperlink r:id="rId193">
        <w:r>
          <w:rPr>
            <w:rFonts w:ascii="Times New Roman" w:cs="Times New Roman" w:eastAsia="Times New Roman" w:hAnsi="Times New Roman"/>
            <w:sz w:val="18"/>
            <w:szCs w:val="18"/>
            <w:u w:val="single" w:color="auto"/>
            <w:color w:val="0000EE"/>
          </w:rPr>
          <w:t>2021, by and between the Company and Hillside Associates II, LLC, and related agreements</w:t>
        </w:r>
      </w:hyperlink>
    </w:p>
    <w:p>
      <w:pPr>
        <w:spacing w:after="0" w:line="1" w:lineRule="exact"/>
        <w:rPr>
          <w:sz w:val="20"/>
          <w:szCs w:val="20"/>
          <w:color w:val="auto"/>
        </w:rPr>
      </w:pPr>
    </w:p>
    <w:p>
      <w:pPr>
        <w:ind w:left="1120" w:right="639" w:hanging="972"/>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10.28(14)</w:t>
      </w:r>
      <w:r>
        <w:rPr>
          <w:sz w:val="20"/>
          <w:szCs w:val="20"/>
          <w:color w:val="auto"/>
        </w:rPr>
        <w:tab/>
      </w:r>
      <w:hyperlink r:id="rId194">
        <w:r>
          <w:rPr>
            <w:rFonts w:ascii="Times New Roman" w:cs="Times New Roman" w:eastAsia="Times New Roman" w:hAnsi="Times New Roman"/>
            <w:sz w:val="18"/>
            <w:szCs w:val="18"/>
            <w:u w:val="single" w:color="auto"/>
            <w:color w:val="0000EE"/>
          </w:rPr>
          <w:t>Lease dated March 28, 2018 between AeroVironment, Inc. and Princeton Avenue Holdings, LLC for</w:t>
        </w:r>
      </w:hyperlink>
      <w:r>
        <w:rPr>
          <w:rFonts w:ascii="Times New Roman" w:cs="Times New Roman" w:eastAsia="Times New Roman" w:hAnsi="Times New Roman"/>
          <w:sz w:val="18"/>
          <w:szCs w:val="18"/>
          <w:u w:val="single" w:color="auto"/>
          <w:color w:val="0000EE"/>
        </w:rPr>
        <w:t xml:space="preserve"> </w:t>
      </w:r>
      <w:hyperlink r:id="rId194">
        <w:r>
          <w:rPr>
            <w:rFonts w:ascii="Times New Roman" w:cs="Times New Roman" w:eastAsia="Times New Roman" w:hAnsi="Times New Roman"/>
            <w:sz w:val="18"/>
            <w:szCs w:val="18"/>
            <w:u w:val="single" w:color="auto"/>
            <w:color w:val="0000EE"/>
          </w:rPr>
          <w:t>property located at 14501 Princeton Avenue, Moorpark, California, including addendums thereto</w:t>
        </w:r>
      </w:hyperlink>
    </w:p>
    <w:p>
      <w:pPr>
        <w:spacing w:after="0" w:line="2" w:lineRule="exact"/>
        <w:rPr>
          <w:sz w:val="20"/>
          <w:szCs w:val="20"/>
          <w:color w:val="auto"/>
        </w:rPr>
      </w:pPr>
    </w:p>
    <w:p>
      <w:pPr>
        <w:ind w:left="1120" w:right="439" w:hanging="972"/>
        <w:spacing w:after="0" w:line="226"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10.29(15)</w:t>
      </w:r>
      <w:r>
        <w:rPr>
          <w:sz w:val="20"/>
          <w:szCs w:val="20"/>
          <w:color w:val="auto"/>
        </w:rPr>
        <w:tab/>
      </w:r>
      <w:hyperlink r:id="rId195">
        <w:r>
          <w:rPr>
            <w:rFonts w:ascii="Times New Roman" w:cs="Times New Roman" w:eastAsia="Times New Roman" w:hAnsi="Times New Roman"/>
            <w:sz w:val="18"/>
            <w:szCs w:val="18"/>
            <w:u w:val="single" w:color="auto"/>
            <w:color w:val="0000EE"/>
          </w:rPr>
          <w:t>First Amendment to Lease dated October 26, 2018 between AeroVironment, Inc. and Princeton Avenue</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Holdings, LLC for property located at 14501 Princeton Avenue, Moorpark, California</w:t>
        </w:r>
      </w:hyperlink>
    </w:p>
    <w:p>
      <w:pPr>
        <w:spacing w:after="0" w:line="2" w:lineRule="exact"/>
        <w:rPr>
          <w:sz w:val="20"/>
          <w:szCs w:val="20"/>
          <w:color w:val="auto"/>
        </w:rPr>
      </w:pPr>
    </w:p>
    <w:p>
      <w:pPr>
        <w:ind w:left="1120" w:right="359" w:hanging="972"/>
        <w:spacing w:after="0" w:line="229" w:lineRule="auto"/>
        <w:tabs>
          <w:tab w:leader="none" w:pos="11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10.30(22)</w:t>
      </w:r>
      <w:r>
        <w:rPr>
          <w:sz w:val="20"/>
          <w:szCs w:val="20"/>
          <w:color w:val="auto"/>
        </w:rPr>
        <w:tab/>
      </w:r>
      <w:hyperlink r:id="rId195">
        <w:r>
          <w:rPr>
            <w:rFonts w:ascii="Times New Roman" w:cs="Times New Roman" w:eastAsia="Times New Roman" w:hAnsi="Times New Roman"/>
            <w:sz w:val="18"/>
            <w:szCs w:val="18"/>
            <w:u w:val="single" w:color="auto"/>
            <w:color w:val="0000EE"/>
          </w:rPr>
          <w:t>Second Amendment to Lease dated October 26, 2018 between AeroVironment, Inc., Princeton Avenue</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Holdings, LLC and Princeton Avenue Holdings II, LLC for property located at 14501 Princeton Avenue,</w:t>
        </w:r>
      </w:hyperlink>
      <w:r>
        <w:rPr>
          <w:rFonts w:ascii="Times New Roman" w:cs="Times New Roman" w:eastAsia="Times New Roman" w:hAnsi="Times New Roman"/>
          <w:sz w:val="18"/>
          <w:szCs w:val="18"/>
          <w:u w:val="single" w:color="auto"/>
          <w:color w:val="0000EE"/>
        </w:rPr>
        <w:t xml:space="preserve"> </w:t>
      </w:r>
      <w:hyperlink r:id="rId195">
        <w:r>
          <w:rPr>
            <w:rFonts w:ascii="Times New Roman" w:cs="Times New Roman" w:eastAsia="Times New Roman" w:hAnsi="Times New Roman"/>
            <w:sz w:val="18"/>
            <w:szCs w:val="18"/>
            <w:u w:val="single" w:color="auto"/>
            <w:color w:val="0000EE"/>
          </w:rPr>
          <w:t>Moorpark, California</w:t>
        </w:r>
      </w:hyperlink>
    </w:p>
    <w:p>
      <w:pPr>
        <w:spacing w:after="0" w:line="2" w:lineRule="exact"/>
        <w:rPr>
          <w:rFonts w:ascii="Times New Roman" w:cs="Times New Roman" w:eastAsia="Times New Roman" w:hAnsi="Times New Roman"/>
          <w:sz w:val="18"/>
          <w:szCs w:val="18"/>
          <w:u w:val="single" w:color="auto"/>
          <w:color w:val="0000EE"/>
        </w:rPr>
      </w:pPr>
    </w:p>
    <w:p>
      <w:pPr>
        <w:ind w:left="16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10.31#(3)</w:t>
      </w:r>
      <w:r>
        <w:rPr>
          <w:sz w:val="20"/>
          <w:szCs w:val="20"/>
          <w:color w:val="auto"/>
        </w:rPr>
        <w:tab/>
      </w:r>
      <w:hyperlink r:id="rId196">
        <w:r>
          <w:rPr>
            <w:rFonts w:ascii="Times New Roman" w:cs="Times New Roman" w:eastAsia="Times New Roman" w:hAnsi="Times New Roman"/>
            <w:sz w:val="17"/>
            <w:szCs w:val="17"/>
            <w:u w:val="single" w:color="auto"/>
            <w:color w:val="0000EE"/>
          </w:rPr>
          <w:t>Retiree Medical Plan</w:t>
        </w:r>
      </w:hyperlink>
    </w:p>
    <w:p>
      <w:pPr>
        <w:spacing w:after="0" w:line="200" w:lineRule="exact"/>
        <w:rPr>
          <w:rFonts w:ascii="Times New Roman" w:cs="Times New Roman" w:eastAsia="Times New Roman" w:hAnsi="Times New Roman"/>
          <w:sz w:val="18"/>
          <w:szCs w:val="18"/>
          <w:u w:val="single" w:color="auto"/>
          <w:color w:val="0000EE"/>
        </w:rPr>
      </w:pPr>
    </w:p>
    <w:p>
      <w:pPr>
        <w:spacing w:after="0" w:line="221"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6" w:name="page137"/>
    <w:bookmarkEnd w:id="136"/>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6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Exhibit</w:t>
      </w:r>
    </w:p>
    <w:p>
      <w:pPr>
        <w:spacing w:after="0" w:line="42" w:lineRule="exact"/>
        <w:rPr>
          <w:sz w:val="20"/>
          <w:szCs w:val="20"/>
          <w:color w:val="auto"/>
        </w:rPr>
      </w:pPr>
    </w:p>
    <w:p>
      <w:pPr>
        <w:ind w:left="160"/>
        <w:spacing w:after="0"/>
        <w:tabs>
          <w:tab w:leader="none" w:pos="11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10.32(16)</w:t>
      </w:r>
      <w:r>
        <w:rPr>
          <w:sz w:val="20"/>
          <w:szCs w:val="20"/>
          <w:color w:val="auto"/>
        </w:rPr>
        <w:tab/>
      </w:r>
      <w:hyperlink r:id="rId198">
        <w:r>
          <w:rPr>
            <w:rFonts w:ascii="Times New Roman" w:cs="Times New Roman" w:eastAsia="Times New Roman" w:hAnsi="Times New Roman"/>
            <w:sz w:val="17"/>
            <w:szCs w:val="17"/>
            <w:u w:val="single" w:color="auto"/>
            <w:color w:val="0000EE"/>
          </w:rPr>
          <w:t>Form of Director Letter Agreement by and between AeroVironment, Inc. and certain non-employee director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-124460</wp:posOffset>
            </wp:positionV>
            <wp:extent cx="56578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07"/>
        </w:trPr>
        <w:tc>
          <w:tcPr>
            <w:tcW w:w="13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10.33(14)</w:t>
            </w:r>
          </w:p>
        </w:tc>
        <w:tc>
          <w:tcPr>
            <w:tcW w:w="3620" w:type="dxa"/>
            <w:vAlign w:val="bottom"/>
          </w:tcPr>
          <w:p>
            <w:pPr>
              <w:spacing w:after="0"/>
              <w:rPr>
                <w:sz w:val="17"/>
                <w:szCs w:val="17"/>
                <w:color w:val="auto"/>
              </w:rPr>
            </w:pPr>
          </w:p>
        </w:tc>
        <w:tc>
          <w:tcPr>
            <w:tcW w:w="378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Asset Purchase Agreement by and between Webasto</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900" w:type="dxa"/>
            <w:vAlign w:val="bottom"/>
            <w:gridSpan w:val="36"/>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Charging Systems, Inc. and AeroVironment, Inc.</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5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dated as of June 1, 2018</w:t>
              </w:r>
            </w:hyperlink>
          </w:p>
        </w:tc>
        <w:tc>
          <w:tcPr>
            <w:tcW w:w="3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w w:val="99"/>
              </w:rPr>
              <w:t>10.34(15)</w:t>
            </w:r>
          </w:p>
        </w:tc>
        <w:tc>
          <w:tcPr>
            <w:tcW w:w="3620" w:type="dxa"/>
            <w:vAlign w:val="bottom"/>
          </w:tcPr>
          <w:p>
            <w:pPr>
              <w:spacing w:after="0"/>
              <w:rPr>
                <w:sz w:val="17"/>
                <w:szCs w:val="17"/>
                <w:color w:val="auto"/>
              </w:rPr>
            </w:pPr>
          </w:p>
        </w:tc>
        <w:tc>
          <w:tcPr>
            <w:tcW w:w="34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Side Letter Agreement by and between Webasto</w:t>
              </w:r>
            </w:hyperlink>
          </w:p>
        </w:tc>
        <w:tc>
          <w:tcPr>
            <w:tcW w:w="4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900" w:type="dxa"/>
            <w:vAlign w:val="bottom"/>
            <w:gridSpan w:val="36"/>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Charging Systems, Inc. and AeroVironment, Inc.</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dated as of June 29, 2018</w:t>
              </w:r>
            </w:hyperlink>
          </w:p>
        </w:tc>
        <w:tc>
          <w:tcPr>
            <w:tcW w:w="1680" w:type="dxa"/>
            <w:vAlign w:val="bottom"/>
            <w:tcBorders>
              <w:top w:val="single" w:sz="8" w:color="0000EE"/>
            </w:tcBorders>
            <w:gridSpan w:val="13"/>
          </w:tcPr>
          <w:p>
            <w:pPr>
              <w:spacing w:after="0"/>
              <w:rPr>
                <w:sz w:val="17"/>
                <w:szCs w:val="17"/>
                <w:color w:val="auto"/>
              </w:rPr>
            </w:pPr>
          </w:p>
        </w:tc>
        <w:tc>
          <w:tcPr>
            <w:tcW w:w="3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w w:val="98"/>
              </w:rPr>
              <w:t>10.35#(17)</w:t>
            </w:r>
          </w:p>
        </w:tc>
        <w:tc>
          <w:tcPr>
            <w:tcW w:w="3620" w:type="dxa"/>
            <w:vAlign w:val="bottom"/>
          </w:tcPr>
          <w:p>
            <w:pPr>
              <w:spacing w:after="0"/>
              <w:rPr>
                <w:sz w:val="17"/>
                <w:szCs w:val="17"/>
                <w:color w:val="auto"/>
              </w:rPr>
            </w:pPr>
          </w:p>
        </w:tc>
        <w:tc>
          <w:tcPr>
            <w:tcW w:w="37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8"/>
              </w:rPr>
            </w:pPr>
            <w:hyperlink r:id="rId202">
              <w:r>
                <w:rPr>
                  <w:rFonts w:ascii="Times New Roman" w:cs="Times New Roman" w:eastAsia="Times New Roman" w:hAnsi="Times New Roman"/>
                  <w:sz w:val="18"/>
                  <w:szCs w:val="18"/>
                  <w:color w:val="0000EE"/>
                  <w:w w:val="98"/>
                </w:rPr>
                <w:t>AeroVironment, Inc. Executive Severance Plan and</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5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Summary Description, effective January 1, 2019</w:t>
              </w:r>
            </w:hyperlink>
          </w:p>
        </w:tc>
        <w:tc>
          <w:tcPr>
            <w:tcW w:w="4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w w:val="98"/>
              </w:rPr>
              <w:t>10.36#(18)</w:t>
            </w:r>
          </w:p>
        </w:tc>
        <w:tc>
          <w:tcPr>
            <w:tcW w:w="3620" w:type="dxa"/>
            <w:vAlign w:val="bottom"/>
          </w:tcPr>
          <w:p>
            <w:pPr>
              <w:spacing w:after="0"/>
              <w:rPr>
                <w:sz w:val="17"/>
                <w:szCs w:val="17"/>
                <w:color w:val="auto"/>
              </w:rPr>
            </w:pPr>
          </w:p>
        </w:tc>
        <w:tc>
          <w:tcPr>
            <w:tcW w:w="3900" w:type="dxa"/>
            <w:vAlign w:val="bottom"/>
            <w:gridSpan w:val="36"/>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Special Consulting Agreement by and between</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900" w:type="dxa"/>
            <w:vAlign w:val="bottom"/>
            <w:gridSpan w:val="36"/>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AeroVironment, Inc. and Kirk Flittie dated as of July</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03">
              <w:r>
                <w:rPr>
                  <w:rFonts w:ascii="Times New Roman" w:cs="Times New Roman" w:eastAsia="Times New Roman" w:hAnsi="Times New Roman"/>
                  <w:sz w:val="18"/>
                  <w:szCs w:val="18"/>
                  <w:color w:val="0000EE"/>
                  <w:w w:val="98"/>
                </w:rPr>
                <w:t>13, 2019</w:t>
              </w:r>
            </w:hyperlink>
          </w:p>
        </w:tc>
        <w:tc>
          <w:tcPr>
            <w:tcW w:w="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w w:val="98"/>
              </w:rPr>
              <w:t>10.37*(19)</w:t>
            </w:r>
          </w:p>
        </w:tc>
        <w:tc>
          <w:tcPr>
            <w:tcW w:w="3620" w:type="dxa"/>
            <w:vAlign w:val="bottom"/>
          </w:tcPr>
          <w:p>
            <w:pPr>
              <w:spacing w:after="0"/>
              <w:rPr>
                <w:sz w:val="17"/>
                <w:szCs w:val="17"/>
                <w:color w:val="auto"/>
              </w:rPr>
            </w:pPr>
          </w:p>
        </w:tc>
        <w:tc>
          <w:tcPr>
            <w:tcW w:w="376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Stock Purchase Agreement, dated January 11, 2021,</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7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7"/>
              </w:rPr>
            </w:pPr>
            <w:hyperlink r:id="rId204">
              <w:r>
                <w:rPr>
                  <w:rFonts w:ascii="Times New Roman" w:cs="Times New Roman" w:eastAsia="Times New Roman" w:hAnsi="Times New Roman"/>
                  <w:sz w:val="18"/>
                  <w:szCs w:val="18"/>
                  <w:color w:val="0000EE"/>
                  <w:w w:val="97"/>
                </w:rPr>
                <w:t>by and among AeroVironment, Inc., Arcturus UAV,</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6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Inc., and the shareholders and other equity interest</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1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r:id="rId204">
              <w:r>
                <w:rPr>
                  <w:rFonts w:ascii="Times New Roman" w:cs="Times New Roman" w:eastAsia="Times New Roman" w:hAnsi="Times New Roman"/>
                  <w:sz w:val="18"/>
                  <w:szCs w:val="18"/>
                  <w:color w:val="0000EE"/>
                  <w:w w:val="97"/>
                </w:rPr>
                <w:t>holders of Arcturus UAV, Inc.</w:t>
              </w:r>
            </w:hyperlink>
          </w:p>
        </w:tc>
        <w:tc>
          <w:tcPr>
            <w:tcW w:w="17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w w:val="99"/>
              </w:rPr>
              <w:t>10.38(13)</w:t>
            </w:r>
          </w:p>
        </w:tc>
        <w:tc>
          <w:tcPr>
            <w:tcW w:w="3620" w:type="dxa"/>
            <w:vAlign w:val="bottom"/>
          </w:tcPr>
          <w:p>
            <w:pPr>
              <w:spacing w:after="0"/>
              <w:rPr>
                <w:sz w:val="17"/>
                <w:szCs w:val="17"/>
                <w:color w:val="auto"/>
              </w:rPr>
            </w:pPr>
          </w:p>
        </w:tc>
        <w:tc>
          <w:tcPr>
            <w:tcW w:w="378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Loan commitment letter, dated January 11, 2021, by</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7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8"/>
              </w:rPr>
            </w:pPr>
            <w:hyperlink r:id="rId205">
              <w:r>
                <w:rPr>
                  <w:rFonts w:ascii="Times New Roman" w:cs="Times New Roman" w:eastAsia="Times New Roman" w:hAnsi="Times New Roman"/>
                  <w:sz w:val="18"/>
                  <w:szCs w:val="18"/>
                  <w:color w:val="0000EE"/>
                  <w:w w:val="98"/>
                </w:rPr>
                <w:t>and among AeroVironment, Inc., Bank of America,</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900" w:type="dxa"/>
            <w:vAlign w:val="bottom"/>
            <w:gridSpan w:val="36"/>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N.A., BofA Securities, Inc., JPMorgan Chase Bank,</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N.A., and U.S. Bank National Association.</w:t>
              </w:r>
            </w:hyperlink>
          </w:p>
        </w:tc>
        <w:tc>
          <w:tcPr>
            <w:tcW w:w="640" w:type="dxa"/>
            <w:vAlign w:val="bottom"/>
            <w:tcBorders>
              <w:top w:val="single" w:sz="8" w:color="0000EE"/>
            </w:tcBorders>
            <w:gridSpan w:val="15"/>
          </w:tcPr>
          <w:p>
            <w:pPr>
              <w:spacing w:after="0"/>
              <w:rPr>
                <w:sz w:val="17"/>
                <w:szCs w:val="17"/>
                <w:color w:val="auto"/>
              </w:rPr>
            </w:pPr>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w w:val="98"/>
              </w:rPr>
              <w:t>10.39*(13)</w:t>
            </w:r>
          </w:p>
        </w:tc>
        <w:tc>
          <w:tcPr>
            <w:tcW w:w="3620" w:type="dxa"/>
            <w:vAlign w:val="bottom"/>
          </w:tcPr>
          <w:p>
            <w:pPr>
              <w:spacing w:after="0"/>
              <w:rPr>
                <w:sz w:val="17"/>
                <w:szCs w:val="17"/>
                <w:color w:val="auto"/>
              </w:rPr>
            </w:pPr>
          </w:p>
        </w:tc>
        <w:tc>
          <w:tcPr>
            <w:tcW w:w="3900" w:type="dxa"/>
            <w:vAlign w:val="bottom"/>
            <w:gridSpan w:val="36"/>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Credit Agreement, dated February 19, 2021, by and</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84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among AeroVironment, Inc., certain lenders, letter of</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900" w:type="dxa"/>
            <w:vAlign w:val="bottom"/>
            <w:gridSpan w:val="36"/>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credit issuers, Bank of America, N.A., as the</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6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administrative agent and the swingline lender, and</w:t>
              </w:r>
            </w:hyperlink>
          </w:p>
        </w:tc>
        <w:tc>
          <w:tcPr>
            <w:tcW w:w="2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900" w:type="dxa"/>
            <w:vAlign w:val="bottom"/>
            <w:gridSpan w:val="36"/>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BofA Securities, Inc., JPMorgan Chase Bank, N.A.,</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and U.S. Bank National Association, as joint lead</w:t>
              </w:r>
            </w:hyperlink>
          </w:p>
        </w:tc>
        <w:tc>
          <w:tcPr>
            <w:tcW w:w="160" w:type="dxa"/>
            <w:vAlign w:val="bottom"/>
            <w:tcBorders>
              <w:top w:val="single" w:sz="8" w:color="0000EE"/>
            </w:tcBorders>
            <w:gridSpan w:val="6"/>
          </w:tcPr>
          <w:p>
            <w:pPr>
              <w:spacing w:after="0"/>
              <w:rPr>
                <w:sz w:val="17"/>
                <w:szCs w:val="17"/>
                <w:color w:val="auto"/>
              </w:rPr>
            </w:pPr>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6"/>
              </w:rPr>
              <w:t>10.40</w:t>
            </w:r>
            <w:r>
              <w:rPr>
                <w:rFonts w:ascii="Arial" w:cs="Arial" w:eastAsia="Arial" w:hAnsi="Arial"/>
                <w:sz w:val="18"/>
                <w:szCs w:val="18"/>
                <w:color w:val="auto"/>
                <w:w w:val="96"/>
              </w:rPr>
              <w:t>ǂ</w:t>
            </w:r>
            <w:r>
              <w:rPr>
                <w:rFonts w:ascii="Times New Roman" w:cs="Times New Roman" w:eastAsia="Times New Roman" w:hAnsi="Times New Roman"/>
                <w:sz w:val="18"/>
                <w:szCs w:val="18"/>
                <w:color w:val="auto"/>
                <w:w w:val="96"/>
              </w:rPr>
              <w:t>(13)</w:t>
            </w:r>
          </w:p>
        </w:tc>
        <w:tc>
          <w:tcPr>
            <w:tcW w:w="3620" w:type="dxa"/>
            <w:vAlign w:val="bottom"/>
          </w:tcPr>
          <w:p>
            <w:pPr>
              <w:spacing w:after="0"/>
              <w:rPr>
                <w:sz w:val="17"/>
                <w:szCs w:val="17"/>
                <w:color w:val="auto"/>
              </w:rPr>
            </w:pPr>
          </w:p>
        </w:tc>
        <w:tc>
          <w:tcPr>
            <w:tcW w:w="23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arrangers and joint bookrunners</w:t>
              </w:r>
            </w:hyperlink>
          </w:p>
        </w:tc>
        <w:tc>
          <w:tcPr>
            <w:tcW w:w="16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vMerge w:val="continue"/>
          </w:tcPr>
          <w:p>
            <w:pPr>
              <w:spacing w:after="0"/>
              <w:rPr>
                <w:sz w:val="17"/>
                <w:szCs w:val="17"/>
                <w:color w:val="auto"/>
              </w:rPr>
            </w:pPr>
          </w:p>
        </w:tc>
        <w:tc>
          <w:tcPr>
            <w:tcW w:w="3620" w:type="dxa"/>
            <w:vAlign w:val="bottom"/>
          </w:tcPr>
          <w:p>
            <w:pPr>
              <w:spacing w:after="0"/>
              <w:rPr>
                <w:sz w:val="17"/>
                <w:szCs w:val="17"/>
                <w:color w:val="auto"/>
              </w:rPr>
            </w:pPr>
          </w:p>
        </w:tc>
        <w:tc>
          <w:tcPr>
            <w:tcW w:w="374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Security and Pledge Agreement, dated February 19,</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6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2021, by and among AeroVironment, Inc., certain</w:t>
              </w:r>
            </w:hyperlink>
          </w:p>
        </w:tc>
        <w:tc>
          <w:tcPr>
            <w:tcW w:w="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2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obligors, and Bank of America, N.A., as the</w:t>
              </w:r>
            </w:hyperlink>
          </w:p>
        </w:tc>
        <w:tc>
          <w:tcPr>
            <w:tcW w:w="6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900" w:type="dxa"/>
            <w:vAlign w:val="bottom"/>
            <w:gridSpan w:val="36"/>
          </w:tcPr>
          <w:p>
            <w:pPr>
              <w:spacing w:after="0" w:line="196" w:lineRule="exact"/>
              <w:rPr>
                <w:rFonts w:ascii="Times New Roman" w:cs="Times New Roman" w:eastAsia="Times New Roman" w:hAnsi="Times New Roman"/>
                <w:sz w:val="18"/>
                <w:szCs w:val="18"/>
                <w:color w:val="0000EE"/>
              </w:rPr>
            </w:pPr>
            <w:hyperlink r:id="rId207">
              <w:r>
                <w:rPr>
                  <w:rFonts w:ascii="Times New Roman" w:cs="Times New Roman" w:eastAsia="Times New Roman" w:hAnsi="Times New Roman"/>
                  <w:sz w:val="18"/>
                  <w:szCs w:val="18"/>
                  <w:color w:val="0000EE"/>
                </w:rPr>
                <w:t>administrative agent</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w w:val="99"/>
              </w:rPr>
              <w:t>10.41(20)</w:t>
            </w:r>
          </w:p>
        </w:tc>
        <w:tc>
          <w:tcPr>
            <w:tcW w:w="3620" w:type="dxa"/>
            <w:vAlign w:val="bottom"/>
          </w:tcPr>
          <w:p>
            <w:pPr>
              <w:spacing w:after="0"/>
              <w:rPr>
                <w:sz w:val="17"/>
                <w:szCs w:val="17"/>
                <w:color w:val="auto"/>
              </w:rPr>
            </w:pPr>
          </w:p>
        </w:tc>
        <w:tc>
          <w:tcPr>
            <w:tcW w:w="372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First Amendment to Credit Agreement and Waiver,</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900" w:type="dxa"/>
            <w:vAlign w:val="bottom"/>
            <w:gridSpan w:val="36"/>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dated February 4, 2022, by and among</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76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AeroVironment, Inc., certain lenders, letter of credit</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900" w:type="dxa"/>
            <w:vAlign w:val="bottom"/>
            <w:gridSpan w:val="36"/>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issuers, Bank of America, N.A., as the administrative</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840" w:type="dxa"/>
            <w:vAlign w:val="bottom"/>
            <w:tcBorders>
              <w:top w:val="single" w:sz="8" w:color="0000EE"/>
            </w:tcBorders>
            <w:gridSpan w:val="34"/>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agent and the swingline lender, and BofA Securities,</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Inc., JPMorgan Chase Bank, N.A., and U.S. Bank</w:t>
              </w:r>
            </w:hyperlink>
          </w:p>
        </w:tc>
        <w:tc>
          <w:tcPr>
            <w:tcW w:w="180" w:type="dxa"/>
            <w:vAlign w:val="bottom"/>
            <w:tcBorders>
              <w:top w:val="single" w:sz="8" w:color="0000EE"/>
            </w:tcBorders>
            <w:gridSpan w:val="7"/>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5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208">
              <w:r>
                <w:rPr>
                  <w:rFonts w:ascii="Times New Roman" w:cs="Times New Roman" w:eastAsia="Times New Roman" w:hAnsi="Times New Roman"/>
                  <w:sz w:val="18"/>
                  <w:szCs w:val="18"/>
                  <w:color w:val="0000EE"/>
                  <w:w w:val="98"/>
                </w:rPr>
                <w:t>National Association</w:t>
              </w:r>
            </w:hyperlink>
          </w:p>
        </w:tc>
        <w:tc>
          <w:tcPr>
            <w:tcW w:w="238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w w:val="99"/>
              </w:rPr>
              <w:t>10.42(24)</w:t>
            </w:r>
          </w:p>
        </w:tc>
        <w:tc>
          <w:tcPr>
            <w:tcW w:w="3620" w:type="dxa"/>
            <w:vAlign w:val="bottom"/>
          </w:tcPr>
          <w:p>
            <w:pPr>
              <w:spacing w:after="0"/>
              <w:rPr>
                <w:sz w:val="17"/>
                <w:szCs w:val="17"/>
                <w:color w:val="auto"/>
              </w:rPr>
            </w:pPr>
          </w:p>
        </w:tc>
        <w:tc>
          <w:tcPr>
            <w:tcW w:w="390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Second Amendment to Credit Agreement and Waiver,</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900" w:type="dxa"/>
            <w:vAlign w:val="bottom"/>
            <w:gridSpan w:val="36"/>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dated June 6, 2023, by and among AeroVironment,</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74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Inc., certain lenders, letter of credit issuers, Bank of</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900" w:type="dxa"/>
            <w:vAlign w:val="bottom"/>
            <w:gridSpan w:val="36"/>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America, N.A., as the administrative agent and the</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64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swingline lender, and BofA Securities, Inc.,</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90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JPMorgan Chase Bank, N.A., and U.S. Bank National</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09">
              <w:r>
                <w:rPr>
                  <w:rFonts w:ascii="Times New Roman" w:cs="Times New Roman" w:eastAsia="Times New Roman" w:hAnsi="Times New Roman"/>
                  <w:sz w:val="18"/>
                  <w:szCs w:val="18"/>
                  <w:color w:val="0000EE"/>
                  <w:w w:val="98"/>
                </w:rPr>
                <w:t>Association</w:t>
              </w:r>
            </w:hyperlink>
          </w:p>
        </w:tc>
        <w:tc>
          <w:tcPr>
            <w:tcW w:w="304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w w:val="99"/>
              </w:rPr>
              <w:t>10.43(27)</w:t>
            </w:r>
          </w:p>
        </w:tc>
        <w:tc>
          <w:tcPr>
            <w:tcW w:w="3620" w:type="dxa"/>
            <w:vAlign w:val="bottom"/>
          </w:tcPr>
          <w:p>
            <w:pPr>
              <w:spacing w:after="0"/>
              <w:rPr>
                <w:sz w:val="17"/>
                <w:szCs w:val="17"/>
                <w:color w:val="auto"/>
              </w:rPr>
            </w:pPr>
          </w:p>
        </w:tc>
        <w:tc>
          <w:tcPr>
            <w:tcW w:w="3900" w:type="dxa"/>
            <w:vAlign w:val="bottom"/>
            <w:gridSpan w:val="36"/>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Joinder Agreement, dated October 30, 2023, between</w:t>
              </w:r>
            </w:hyperlink>
          </w:p>
        </w:tc>
        <w:tc>
          <w:tcPr>
            <w:tcW w:w="0" w:type="dxa"/>
            <w:vAlign w:val="bottom"/>
          </w:tcPr>
          <w:p>
            <w:pPr>
              <w:spacing w:after="0"/>
              <w:rPr>
                <w:sz w:val="1"/>
                <w:szCs w:val="1"/>
                <w:color w:val="auto"/>
              </w:rPr>
            </w:pPr>
          </w:p>
        </w:tc>
      </w:tr>
      <w:tr>
        <w:trPr>
          <w:trHeight w:val="196"/>
        </w:trPr>
        <w:tc>
          <w:tcPr>
            <w:tcW w:w="130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color w:val="auto"/>
                <w:w w:val="95"/>
              </w:rPr>
              <w:t>10.44</w:t>
            </w:r>
            <w:r>
              <w:rPr>
                <w:rFonts w:ascii="Arial" w:cs="Arial" w:eastAsia="Arial" w:hAnsi="Arial"/>
                <w:sz w:val="18"/>
                <w:szCs w:val="18"/>
                <w:color w:val="auto"/>
                <w:w w:val="95"/>
              </w:rPr>
              <w:t>ǂ</w:t>
            </w:r>
            <w:r>
              <w:rPr>
                <w:rFonts w:ascii="Times New Roman" w:cs="Times New Roman" w:eastAsia="Times New Roman" w:hAnsi="Times New Roman"/>
                <w:sz w:val="18"/>
                <w:szCs w:val="18"/>
                <w:color w:val="auto"/>
                <w:w w:val="95"/>
              </w:rPr>
              <w:t>*(21)</w:t>
            </w:r>
          </w:p>
        </w:tc>
        <w:tc>
          <w:tcPr>
            <w:tcW w:w="3620" w:type="dxa"/>
            <w:vAlign w:val="bottom"/>
          </w:tcPr>
          <w:p>
            <w:pPr>
              <w:spacing w:after="0"/>
              <w:rPr>
                <w:sz w:val="17"/>
                <w:szCs w:val="17"/>
                <w:color w:val="auto"/>
              </w:rPr>
            </w:pPr>
          </w:p>
        </w:tc>
        <w:tc>
          <w:tcPr>
            <w:tcW w:w="3840" w:type="dxa"/>
            <w:vAlign w:val="bottom"/>
            <w:tcBorders>
              <w:top w:val="single" w:sz="8" w:color="0000EE"/>
            </w:tcBorders>
            <w:gridSpan w:val="34"/>
          </w:tcPr>
          <w:p>
            <w:pPr>
              <w:spacing w:after="0" w:line="196" w:lineRule="exact"/>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AeroVironment, Inc. and Bank of America, N.A.</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vMerge w:val="continue"/>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vMerge w:val="continue"/>
          </w:tcPr>
          <w:p>
            <w:pPr>
              <w:spacing w:after="0"/>
              <w:rPr>
                <w:sz w:val="17"/>
                <w:szCs w:val="17"/>
                <w:color w:val="auto"/>
              </w:rPr>
            </w:pPr>
          </w:p>
        </w:tc>
        <w:tc>
          <w:tcPr>
            <w:tcW w:w="3620" w:type="dxa"/>
            <w:vAlign w:val="bottom"/>
          </w:tcPr>
          <w:p>
            <w:pPr>
              <w:spacing w:after="0"/>
              <w:rPr>
                <w:sz w:val="17"/>
                <w:szCs w:val="17"/>
                <w:color w:val="auto"/>
              </w:rPr>
            </w:pPr>
          </w:p>
        </w:tc>
        <w:tc>
          <w:tcPr>
            <w:tcW w:w="3900" w:type="dxa"/>
            <w:vAlign w:val="bottom"/>
            <w:gridSpan w:val="36"/>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Share Purchase Agreement, dated December 3, 2020,</w:t>
              </w:r>
            </w:hyperlink>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211">
              <w:r>
                <w:rPr>
                  <w:rFonts w:ascii="Times New Roman" w:cs="Times New Roman" w:eastAsia="Times New Roman" w:hAnsi="Times New Roman"/>
                  <w:sz w:val="18"/>
                  <w:szCs w:val="18"/>
                  <w:color w:val="0000EE"/>
                  <w:w w:val="98"/>
                </w:rPr>
                <w:t>by and between AeroVironment, Inc., Unmanned</w:t>
              </w:r>
            </w:hyperlink>
          </w:p>
        </w:tc>
        <w:tc>
          <w:tcPr>
            <w:tcW w:w="280" w:type="dxa"/>
            <w:vAlign w:val="bottom"/>
            <w:tcBorders>
              <w:top w:val="single" w:sz="8" w:color="0000EE"/>
            </w:tcBorders>
            <w:gridSpan w:val="11"/>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900" w:type="dxa"/>
            <w:vAlign w:val="bottom"/>
            <w:gridSpan w:val="36"/>
          </w:tcPr>
          <w:p>
            <w:pPr>
              <w:spacing w:after="0" w:line="196"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Systems Investments GmbH, and each of the unit</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6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holders of Unmanned Systems Investments GmbH</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jc w:val="right"/>
              <w:ind w:right="490"/>
              <w:spacing w:after="0" w:line="196" w:lineRule="exact"/>
              <w:rPr>
                <w:sz w:val="20"/>
                <w:szCs w:val="20"/>
                <w:color w:val="auto"/>
              </w:rPr>
            </w:pPr>
            <w:r>
              <w:rPr>
                <w:rFonts w:ascii="Times New Roman" w:cs="Times New Roman" w:eastAsia="Times New Roman" w:hAnsi="Times New Roman"/>
                <w:sz w:val="18"/>
                <w:szCs w:val="18"/>
                <w:color w:val="auto"/>
                <w:w w:val="99"/>
              </w:rPr>
              <w:t>10.45(25)</w:t>
            </w:r>
          </w:p>
        </w:tc>
        <w:tc>
          <w:tcPr>
            <w:tcW w:w="42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AeroVironment, Inc. 2023 Employee Stock Purchase Plan</w:t>
              </w:r>
            </w:hyperlink>
          </w:p>
        </w:tc>
        <w:tc>
          <w:tcPr>
            <w:tcW w:w="332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w w:val="99"/>
              </w:rPr>
              <w:t>19</w:t>
            </w:r>
          </w:p>
        </w:tc>
        <w:tc>
          <w:tcPr>
            <w:tcW w:w="3620" w:type="dxa"/>
            <w:vAlign w:val="bottom"/>
          </w:tcPr>
          <w:p>
            <w:pPr>
              <w:spacing w:after="0"/>
              <w:rPr>
                <w:sz w:val="17"/>
                <w:szCs w:val="17"/>
                <w:color w:val="auto"/>
              </w:rPr>
            </w:pPr>
          </w:p>
        </w:tc>
        <w:tc>
          <w:tcPr>
            <w:tcW w:w="16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Insider Trading Policy</w:t>
            </w:r>
          </w:p>
        </w:tc>
        <w:tc>
          <w:tcPr>
            <w:tcW w:w="228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w w:val="95"/>
              </w:rPr>
              <w:t>21.1</w:t>
            </w:r>
          </w:p>
        </w:tc>
        <w:tc>
          <w:tcPr>
            <w:tcW w:w="3620" w:type="dxa"/>
            <w:vAlign w:val="bottom"/>
          </w:tcPr>
          <w:p>
            <w:pPr>
              <w:spacing w:after="0"/>
              <w:rPr>
                <w:sz w:val="17"/>
                <w:szCs w:val="17"/>
                <w:color w:val="auto"/>
              </w:rPr>
            </w:pPr>
          </w:p>
        </w:tc>
        <w:tc>
          <w:tcPr>
            <w:tcW w:w="26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Subsidiaries of AeroVironment, Inc.</w:t>
            </w:r>
          </w:p>
        </w:tc>
        <w:tc>
          <w:tcPr>
            <w:tcW w:w="12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w w:val="95"/>
              </w:rPr>
              <w:t>23.1</w:t>
            </w:r>
          </w:p>
        </w:tc>
        <w:tc>
          <w:tcPr>
            <w:tcW w:w="3620" w:type="dxa"/>
            <w:vAlign w:val="bottom"/>
          </w:tcPr>
          <w:p>
            <w:pPr>
              <w:spacing w:after="0"/>
              <w:rPr>
                <w:sz w:val="17"/>
                <w:szCs w:val="17"/>
                <w:color w:val="auto"/>
              </w:rPr>
            </w:pPr>
          </w:p>
        </w:tc>
        <w:tc>
          <w:tcPr>
            <w:tcW w:w="39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Consent of Deloitte &amp; Touche LLP, independent</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registered public accounting firm</w:t>
            </w:r>
          </w:p>
        </w:tc>
        <w:tc>
          <w:tcPr>
            <w:tcW w:w="1080" w:type="dxa"/>
            <w:vAlign w:val="bottom"/>
            <w:tcBorders>
              <w:top w:val="single" w:sz="8" w:color="0000EE"/>
            </w:tcBorders>
            <w:gridSpan w:val="8"/>
          </w:tcPr>
          <w:p>
            <w:pPr>
              <w:spacing w:after="0"/>
              <w:rPr>
                <w:sz w:val="17"/>
                <w:szCs w:val="17"/>
                <w:color w:val="auto"/>
              </w:rPr>
            </w:pPr>
          </w:p>
        </w:tc>
        <w:tc>
          <w:tcPr>
            <w:tcW w:w="4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w w:val="95"/>
              </w:rPr>
              <w:t>24.1</w:t>
            </w:r>
          </w:p>
        </w:tc>
        <w:tc>
          <w:tcPr>
            <w:tcW w:w="3620" w:type="dxa"/>
            <w:vAlign w:val="bottom"/>
          </w:tcPr>
          <w:p>
            <w:pPr>
              <w:spacing w:after="0"/>
              <w:rPr>
                <w:sz w:val="17"/>
                <w:szCs w:val="17"/>
                <w:color w:val="auto"/>
              </w:rPr>
            </w:pPr>
          </w:p>
        </w:tc>
        <w:tc>
          <w:tcPr>
            <w:tcW w:w="39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(incorporated by reference to the</w:t>
            </w: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signature page of this Annual Report)</w:t>
            </w:r>
          </w:p>
        </w:tc>
        <w:tc>
          <w:tcPr>
            <w:tcW w:w="960" w:type="dxa"/>
            <w:vAlign w:val="bottom"/>
            <w:tcBorders>
              <w:top w:val="single" w:sz="8" w:color="0000EE"/>
            </w:tcBorders>
            <w:gridSpan w:val="16"/>
          </w:tcPr>
          <w:p>
            <w:pPr>
              <w:spacing w:after="0"/>
              <w:rPr>
                <w:sz w:val="17"/>
                <w:szCs w:val="17"/>
                <w:color w:val="auto"/>
              </w:rPr>
            </w:pPr>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w w:val="95"/>
              </w:rPr>
              <w:t>31.1</w:t>
            </w:r>
          </w:p>
        </w:tc>
        <w:tc>
          <w:tcPr>
            <w:tcW w:w="3620" w:type="dxa"/>
            <w:vAlign w:val="bottom"/>
          </w:tcPr>
          <w:p>
            <w:pPr>
              <w:spacing w:after="0"/>
              <w:rPr>
                <w:sz w:val="17"/>
                <w:szCs w:val="17"/>
                <w:color w:val="auto"/>
              </w:rPr>
            </w:pPr>
          </w:p>
        </w:tc>
        <w:tc>
          <w:tcPr>
            <w:tcW w:w="386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Rule 13a-14(a) or Rule 15d-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2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14(a) of the Securities Exchange Act of 1934</w:t>
            </w:r>
          </w:p>
        </w:tc>
        <w:tc>
          <w:tcPr>
            <w:tcW w:w="6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w w:val="95"/>
              </w:rPr>
              <w:t>31.2</w:t>
            </w:r>
          </w:p>
        </w:tc>
        <w:tc>
          <w:tcPr>
            <w:tcW w:w="3620" w:type="dxa"/>
            <w:vAlign w:val="bottom"/>
          </w:tcPr>
          <w:p>
            <w:pPr>
              <w:spacing w:after="0"/>
              <w:rPr>
                <w:sz w:val="17"/>
                <w:szCs w:val="17"/>
                <w:color w:val="auto"/>
              </w:rPr>
            </w:pPr>
          </w:p>
        </w:tc>
        <w:tc>
          <w:tcPr>
            <w:tcW w:w="386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Rule 13a-14(a) or Rule 15d-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2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14(a) of the Securities Exchange Act of 1934</w:t>
            </w:r>
          </w:p>
        </w:tc>
        <w:tc>
          <w:tcPr>
            <w:tcW w:w="6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jc w:val="center"/>
              <w:ind w:right="230"/>
              <w:spacing w:after="0" w:line="196" w:lineRule="exact"/>
              <w:rPr>
                <w:sz w:val="20"/>
                <w:szCs w:val="20"/>
                <w:color w:val="auto"/>
              </w:rPr>
            </w:pPr>
            <w:r>
              <w:rPr>
                <w:rFonts w:ascii="Times New Roman" w:cs="Times New Roman" w:eastAsia="Times New Roman" w:hAnsi="Times New Roman"/>
                <w:sz w:val="18"/>
                <w:szCs w:val="18"/>
                <w:color w:val="auto"/>
                <w:w w:val="95"/>
              </w:rPr>
              <w:t>32.1</w:t>
            </w:r>
          </w:p>
        </w:tc>
        <w:tc>
          <w:tcPr>
            <w:tcW w:w="3620" w:type="dxa"/>
            <w:vAlign w:val="bottom"/>
          </w:tcPr>
          <w:p>
            <w:pPr>
              <w:spacing w:after="0"/>
              <w:rPr>
                <w:sz w:val="17"/>
                <w:szCs w:val="17"/>
                <w:color w:val="auto"/>
              </w:rPr>
            </w:pPr>
          </w:p>
        </w:tc>
        <w:tc>
          <w:tcPr>
            <w:tcW w:w="376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Pursuant to 18 U.S.C. Section 1350, as</w:t>
            </w: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5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906 of the Sarbanes-</w:t>
            </w:r>
          </w:p>
        </w:tc>
        <w:tc>
          <w:tcPr>
            <w:tcW w:w="3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390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1420" w:hanging="1029"/>
        <w:spacing w:after="0"/>
        <w:tabs>
          <w:tab w:leader="none" w:pos="14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Nasdaq Rule 5608 Equity Incentive Compensation Recovery Policy</w:t>
      </w:r>
    </w:p>
    <w:p>
      <w:pPr>
        <w:spacing w:after="0" w:line="27" w:lineRule="exact"/>
        <w:rPr>
          <w:sz w:val="20"/>
          <w:szCs w:val="20"/>
          <w:color w:val="auto"/>
        </w:rPr>
      </w:pPr>
    </w:p>
    <w:p>
      <w:pPr>
        <w:ind w:left="300"/>
        <w:spacing w:after="0"/>
        <w:tabs>
          <w:tab w:leader="none" w:pos="502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Inline XBRL Instance Document</w:t>
      </w:r>
    </w:p>
    <w:p>
      <w:pPr>
        <w:sectPr>
          <w:pgSz w:w="11900" w:h="16895" w:orient="portrait"/>
          <w:cols w:equalWidth="0" w:num="1">
            <w:col w:w="9019"/>
          </w:cols>
          <w:pgMar w:left="1440" w:top="513" w:right="1440" w:bottom="0" w:gutter="0" w:footer="0" w:header="0"/>
        </w:sectPr>
      </w:pPr>
    </w:p>
    <w:bookmarkStart w:id="137" w:name="page138"/>
    <w:bookmarkEnd w:id="137"/>
    <w:tbl>
      <w:tblPr>
        <w:tblLayout w:type="fixed"/>
        <w:tblInd w:w="280" w:type="dxa"/>
        <w:tblCellMar>
          <w:top w:w="0" w:type="dxa"/>
          <w:left w:w="0" w:type="dxa"/>
          <w:bottom w:w="0" w:type="dxa"/>
          <w:right w:w="0" w:type="dxa"/>
        </w:tblCellMar>
      </w:tblPr>
      <w:tr>
        <w:trPr>
          <w:trHeight w:val="216"/>
        </w:trPr>
        <w:tc>
          <w:tcPr>
            <w:tcW w:w="2720" w:type="dxa"/>
            <w:vAlign w:val="bottom"/>
          </w:tcPr>
          <w:p>
            <w:pPr>
              <w:jc w:val="center"/>
              <w:ind w:right="1970"/>
              <w:spacing w:after="0"/>
              <w:rPr>
                <w:sz w:val="20"/>
                <w:szCs w:val="20"/>
                <w:color w:val="auto"/>
              </w:rPr>
            </w:pPr>
            <w:r>
              <w:rPr>
                <w:rFonts w:ascii="Times New Roman" w:cs="Times New Roman" w:eastAsia="Times New Roman" w:hAnsi="Times New Roman"/>
                <w:sz w:val="18"/>
                <w:szCs w:val="18"/>
                <w:color w:val="auto"/>
                <w:w w:val="99"/>
              </w:rPr>
              <w:t>101.SCH</w:t>
            </w:r>
          </w:p>
        </w:tc>
        <w:tc>
          <w:tcPr>
            <w:tcW w:w="58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2720" w:type="dxa"/>
            <w:vAlign w:val="bottom"/>
          </w:tcPr>
          <w:p>
            <w:pPr>
              <w:spacing w:after="0"/>
              <w:rPr>
                <w:sz w:val="18"/>
                <w:szCs w:val="18"/>
                <w:color w:val="auto"/>
              </w:rPr>
            </w:pPr>
          </w:p>
        </w:tc>
        <w:tc>
          <w:tcPr>
            <w:tcW w:w="58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Document</w:t>
            </w:r>
          </w:p>
        </w:tc>
      </w:tr>
      <w:tr>
        <w:trPr>
          <w:trHeight w:val="216"/>
        </w:trPr>
        <w:tc>
          <w:tcPr>
            <w:tcW w:w="2720" w:type="dxa"/>
            <w:vAlign w:val="bottom"/>
          </w:tcPr>
          <w:p>
            <w:pPr>
              <w:jc w:val="center"/>
              <w:ind w:right="1970"/>
              <w:spacing w:after="0"/>
              <w:rPr>
                <w:sz w:val="20"/>
                <w:szCs w:val="20"/>
                <w:color w:val="auto"/>
              </w:rPr>
            </w:pPr>
            <w:r>
              <w:rPr>
                <w:rFonts w:ascii="Times New Roman" w:cs="Times New Roman" w:eastAsia="Times New Roman" w:hAnsi="Times New Roman"/>
                <w:sz w:val="18"/>
                <w:szCs w:val="18"/>
                <w:color w:val="auto"/>
                <w:w w:val="97"/>
              </w:rPr>
              <w:t>101.CAL</w:t>
            </w:r>
          </w:p>
        </w:tc>
        <w:tc>
          <w:tcPr>
            <w:tcW w:w="58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Inline XBRL Taxonomy Calculation Linkbase</w:t>
            </w:r>
          </w:p>
        </w:tc>
      </w:tr>
      <w:tr>
        <w:trPr>
          <w:trHeight w:val="216"/>
        </w:trPr>
        <w:tc>
          <w:tcPr>
            <w:tcW w:w="2720" w:type="dxa"/>
            <w:vAlign w:val="bottom"/>
          </w:tcPr>
          <w:p>
            <w:pPr>
              <w:spacing w:after="0"/>
              <w:rPr>
                <w:sz w:val="18"/>
                <w:szCs w:val="18"/>
                <w:color w:val="auto"/>
              </w:rPr>
            </w:pPr>
          </w:p>
        </w:tc>
        <w:tc>
          <w:tcPr>
            <w:tcW w:w="58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Document</w:t>
            </w:r>
          </w:p>
        </w:tc>
      </w:tr>
      <w:tr>
        <w:trPr>
          <w:trHeight w:val="216"/>
        </w:trPr>
        <w:tc>
          <w:tcPr>
            <w:tcW w:w="2720" w:type="dxa"/>
            <w:vAlign w:val="bottom"/>
          </w:tcPr>
          <w:p>
            <w:pPr>
              <w:jc w:val="center"/>
              <w:ind w:right="1970"/>
              <w:spacing w:after="0"/>
              <w:rPr>
                <w:sz w:val="20"/>
                <w:szCs w:val="20"/>
                <w:color w:val="auto"/>
              </w:rPr>
            </w:pPr>
            <w:r>
              <w:rPr>
                <w:rFonts w:ascii="Times New Roman" w:cs="Times New Roman" w:eastAsia="Times New Roman" w:hAnsi="Times New Roman"/>
                <w:sz w:val="18"/>
                <w:szCs w:val="18"/>
                <w:color w:val="auto"/>
              </w:rPr>
              <w:t>101.DEF</w:t>
            </w:r>
          </w:p>
        </w:tc>
        <w:tc>
          <w:tcPr>
            <w:tcW w:w="58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216"/>
        </w:trPr>
        <w:tc>
          <w:tcPr>
            <w:tcW w:w="2720" w:type="dxa"/>
            <w:vAlign w:val="bottom"/>
          </w:tcPr>
          <w:p>
            <w:pPr>
              <w:spacing w:after="0"/>
              <w:rPr>
                <w:sz w:val="18"/>
                <w:szCs w:val="18"/>
                <w:color w:val="auto"/>
              </w:rPr>
            </w:pPr>
          </w:p>
        </w:tc>
        <w:tc>
          <w:tcPr>
            <w:tcW w:w="58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216"/>
        </w:trPr>
        <w:tc>
          <w:tcPr>
            <w:tcW w:w="2720" w:type="dxa"/>
            <w:vAlign w:val="bottom"/>
          </w:tcPr>
          <w:p>
            <w:pPr>
              <w:jc w:val="center"/>
              <w:ind w:right="1970"/>
              <w:spacing w:after="0"/>
              <w:rPr>
                <w:sz w:val="20"/>
                <w:szCs w:val="20"/>
                <w:color w:val="auto"/>
              </w:rPr>
            </w:pPr>
            <w:r>
              <w:rPr>
                <w:rFonts w:ascii="Times New Roman" w:cs="Times New Roman" w:eastAsia="Times New Roman" w:hAnsi="Times New Roman"/>
                <w:sz w:val="18"/>
                <w:szCs w:val="18"/>
                <w:color w:val="auto"/>
                <w:w w:val="97"/>
              </w:rPr>
              <w:t>101.LAB</w:t>
            </w:r>
          </w:p>
        </w:tc>
        <w:tc>
          <w:tcPr>
            <w:tcW w:w="58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216"/>
        </w:trPr>
        <w:tc>
          <w:tcPr>
            <w:tcW w:w="2720" w:type="dxa"/>
            <w:vAlign w:val="bottom"/>
          </w:tcPr>
          <w:p>
            <w:pPr>
              <w:jc w:val="center"/>
              <w:ind w:right="1970"/>
              <w:spacing w:after="0"/>
              <w:rPr>
                <w:sz w:val="20"/>
                <w:szCs w:val="20"/>
                <w:color w:val="auto"/>
              </w:rPr>
            </w:pPr>
            <w:r>
              <w:rPr>
                <w:rFonts w:ascii="Times New Roman" w:cs="Times New Roman" w:eastAsia="Times New Roman" w:hAnsi="Times New Roman"/>
                <w:sz w:val="18"/>
                <w:szCs w:val="18"/>
                <w:color w:val="auto"/>
              </w:rPr>
              <w:t>101.PRE</w:t>
            </w:r>
          </w:p>
        </w:tc>
        <w:tc>
          <w:tcPr>
            <w:tcW w:w="58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Inline XBRL Taxonomy Presentation Linkbase</w:t>
            </w:r>
          </w:p>
        </w:tc>
      </w:tr>
      <w:tr>
        <w:trPr>
          <w:trHeight w:val="216"/>
        </w:trPr>
        <w:tc>
          <w:tcPr>
            <w:tcW w:w="2720" w:type="dxa"/>
            <w:vAlign w:val="bottom"/>
          </w:tcPr>
          <w:p>
            <w:pPr>
              <w:spacing w:after="0"/>
              <w:rPr>
                <w:sz w:val="18"/>
                <w:szCs w:val="18"/>
                <w:color w:val="auto"/>
              </w:rPr>
            </w:pPr>
          </w:p>
        </w:tc>
        <w:tc>
          <w:tcPr>
            <w:tcW w:w="58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Document</w:t>
            </w:r>
          </w:p>
        </w:tc>
      </w:tr>
      <w:tr>
        <w:trPr>
          <w:trHeight w:val="216"/>
        </w:trPr>
        <w:tc>
          <w:tcPr>
            <w:tcW w:w="2720" w:type="dxa"/>
            <w:vAlign w:val="bottom"/>
          </w:tcPr>
          <w:p>
            <w:pPr>
              <w:jc w:val="center"/>
              <w:ind w:right="1970"/>
              <w:spacing w:after="0"/>
              <w:rPr>
                <w:sz w:val="20"/>
                <w:szCs w:val="20"/>
                <w:color w:val="auto"/>
              </w:rPr>
            </w:pPr>
            <w:r>
              <w:rPr>
                <w:rFonts w:ascii="Times New Roman" w:cs="Times New Roman" w:eastAsia="Times New Roman" w:hAnsi="Times New Roman"/>
                <w:sz w:val="18"/>
                <w:szCs w:val="18"/>
                <w:color w:val="auto"/>
                <w:w w:val="96"/>
              </w:rPr>
              <w:t>104</w:t>
            </w:r>
          </w:p>
        </w:tc>
        <w:tc>
          <w:tcPr>
            <w:tcW w:w="5800" w:type="dxa"/>
            <w:vAlign w:val="bottom"/>
          </w:tcPr>
          <w:p>
            <w:pPr>
              <w:ind w:left="2040"/>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w:t>
            </w:r>
          </w:p>
        </w:tc>
      </w:tr>
      <w:tr>
        <w:trPr>
          <w:trHeight w:val="234"/>
        </w:trPr>
        <w:tc>
          <w:tcPr>
            <w:tcW w:w="2720" w:type="dxa"/>
            <w:vAlign w:val="bottom"/>
          </w:tcPr>
          <w:p>
            <w:pPr>
              <w:spacing w:after="0"/>
              <w:rPr>
                <w:sz w:val="20"/>
                <w:szCs w:val="20"/>
                <w:color w:val="auto"/>
              </w:rPr>
            </w:pPr>
          </w:p>
        </w:tc>
        <w:tc>
          <w:tcPr>
            <w:tcW w:w="58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94" w:lineRule="exact"/>
        <w:rPr>
          <w:sz w:val="20"/>
          <w:szCs w:val="20"/>
          <w:color w:val="auto"/>
        </w:rPr>
      </w:pPr>
    </w:p>
    <w:p>
      <w:pPr>
        <w:ind w:left="700" w:right="179" w:hanging="656"/>
        <w:spacing w:after="0" w:line="282" w:lineRule="auto"/>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March 9, 2007 (File No. 001-33261).</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8" w:name="page139"/>
    <w:bookmarkEnd w:id="13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419" w:hanging="656"/>
        <w:spacing w:after="0" w:line="282" w:lineRule="auto"/>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Current Report on Form 8-K filed March 3, 2022 (File No. 001-33261).</w:t>
      </w:r>
    </w:p>
    <w:p>
      <w:pPr>
        <w:spacing w:after="0" w:line="161" w:lineRule="exact"/>
        <w:rPr>
          <w:rFonts w:ascii="Times New Roman" w:cs="Times New Roman" w:eastAsia="Times New Roman" w:hAnsi="Times New Roman"/>
          <w:sz w:val="18"/>
          <w:szCs w:val="18"/>
          <w:color w:val="auto"/>
        </w:rPr>
      </w:pPr>
    </w:p>
    <w:p>
      <w:pPr>
        <w:ind w:left="700" w:right="559" w:hanging="656"/>
        <w:spacing w:after="0" w:line="282" w:lineRule="auto"/>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Registration Statement on Form S-1 (File No. 333-137658).</w:t>
      </w:r>
    </w:p>
    <w:p>
      <w:pPr>
        <w:spacing w:after="0" w:line="161" w:lineRule="exact"/>
        <w:rPr>
          <w:rFonts w:ascii="Times New Roman" w:cs="Times New Roman" w:eastAsia="Times New Roman" w:hAnsi="Times New Roman"/>
          <w:sz w:val="18"/>
          <w:szCs w:val="18"/>
          <w:color w:val="auto"/>
        </w:rPr>
      </w:pPr>
    </w:p>
    <w:p>
      <w:pPr>
        <w:ind w:left="700" w:right="419" w:hanging="656"/>
        <w:spacing w:after="0" w:line="282" w:lineRule="auto"/>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24, 2020 (File No. 001-33261).</w:t>
      </w:r>
    </w:p>
    <w:p>
      <w:pPr>
        <w:spacing w:after="0" w:line="161" w:lineRule="exact"/>
        <w:rPr>
          <w:rFonts w:ascii="Times New Roman" w:cs="Times New Roman" w:eastAsia="Times New Roman" w:hAnsi="Times New Roman"/>
          <w:sz w:val="18"/>
          <w:szCs w:val="18"/>
          <w:color w:val="auto"/>
        </w:rPr>
      </w:pPr>
    </w:p>
    <w:p>
      <w:pPr>
        <w:ind w:left="700" w:right="179" w:hanging="656"/>
        <w:spacing w:after="0" w:line="282" w:lineRule="auto"/>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 K filed on June 29, 2016 (File No. 001 33261).</w:t>
      </w:r>
    </w:p>
    <w:p>
      <w:pPr>
        <w:spacing w:after="0" w:line="161" w:lineRule="exact"/>
        <w:rPr>
          <w:rFonts w:ascii="Times New Roman" w:cs="Times New Roman" w:eastAsia="Times New Roman" w:hAnsi="Times New Roman"/>
          <w:sz w:val="18"/>
          <w:szCs w:val="18"/>
          <w:color w:val="auto"/>
        </w:rPr>
      </w:pPr>
    </w:p>
    <w:p>
      <w:pPr>
        <w:ind w:left="700" w:right="179" w:hanging="656"/>
        <w:spacing w:after="0" w:line="282" w:lineRule="auto"/>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exhibits to the Company’s Current Report on Form 8-K filed on October 5, 2011 (File No. 001-33261).</w:t>
      </w:r>
    </w:p>
    <w:p>
      <w:pPr>
        <w:spacing w:after="0" w:line="161" w:lineRule="exact"/>
        <w:rPr>
          <w:rFonts w:ascii="Times New Roman" w:cs="Times New Roman" w:eastAsia="Times New Roman" w:hAnsi="Times New Roman"/>
          <w:sz w:val="18"/>
          <w:szCs w:val="18"/>
          <w:color w:val="auto"/>
        </w:rPr>
      </w:pPr>
    </w:p>
    <w:p>
      <w:pPr>
        <w:ind w:left="700" w:right="399" w:hanging="656"/>
        <w:spacing w:after="0" w:line="282" w:lineRule="auto"/>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28, 2017 (File No. 001-33261).</w:t>
      </w:r>
    </w:p>
    <w:p>
      <w:pPr>
        <w:spacing w:after="0" w:line="161" w:lineRule="exact"/>
        <w:rPr>
          <w:rFonts w:ascii="Times New Roman" w:cs="Times New Roman" w:eastAsia="Times New Roman" w:hAnsi="Times New Roman"/>
          <w:sz w:val="18"/>
          <w:szCs w:val="18"/>
          <w:color w:val="auto"/>
        </w:rPr>
      </w:pPr>
    </w:p>
    <w:p>
      <w:pPr>
        <w:ind w:left="700" w:right="79" w:hanging="656"/>
        <w:spacing w:after="0" w:line="282" w:lineRule="auto"/>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Current Report on Form 8-K filed July 28, 2010 (File No. 001-33261).</w:t>
      </w:r>
    </w:p>
    <w:p>
      <w:pPr>
        <w:spacing w:after="0" w:line="161" w:lineRule="exact"/>
        <w:rPr>
          <w:rFonts w:ascii="Times New Roman" w:cs="Times New Roman" w:eastAsia="Times New Roman" w:hAnsi="Times New Roman"/>
          <w:sz w:val="18"/>
          <w:szCs w:val="18"/>
          <w:color w:val="auto"/>
        </w:rPr>
      </w:pPr>
    </w:p>
    <w:p>
      <w:pPr>
        <w:ind w:left="700" w:right="399" w:hanging="656"/>
        <w:spacing w:after="0" w:line="282" w:lineRule="auto"/>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26, 2019 (File No. 001-33261).</w:t>
      </w:r>
    </w:p>
    <w:p>
      <w:pPr>
        <w:spacing w:after="0" w:line="161" w:lineRule="exact"/>
        <w:rPr>
          <w:rFonts w:ascii="Times New Roman" w:cs="Times New Roman" w:eastAsia="Times New Roman" w:hAnsi="Times New Roman"/>
          <w:sz w:val="18"/>
          <w:szCs w:val="18"/>
          <w:color w:val="auto"/>
        </w:rPr>
      </w:pPr>
    </w:p>
    <w:p>
      <w:pPr>
        <w:ind w:left="700" w:right="579" w:hanging="656"/>
        <w:spacing w:after="0" w:line="282" w:lineRule="auto"/>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Registration Statement on Form S-8 filed October 13, 2021 (File No. 333-260227).</w:t>
      </w:r>
    </w:p>
    <w:p>
      <w:pPr>
        <w:spacing w:after="0" w:line="161" w:lineRule="exact"/>
        <w:rPr>
          <w:rFonts w:ascii="Times New Roman" w:cs="Times New Roman" w:eastAsia="Times New Roman" w:hAnsi="Times New Roman"/>
          <w:sz w:val="18"/>
          <w:szCs w:val="18"/>
          <w:color w:val="auto"/>
        </w:rPr>
      </w:pPr>
    </w:p>
    <w:p>
      <w:pPr>
        <w:ind w:left="700" w:right="399" w:hanging="656"/>
        <w:spacing w:after="0" w:line="282" w:lineRule="auto"/>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26, 2008 (File No. 001-33261).</w:t>
      </w:r>
    </w:p>
    <w:p>
      <w:pPr>
        <w:spacing w:after="0" w:line="161" w:lineRule="exact"/>
        <w:rPr>
          <w:rFonts w:ascii="Times New Roman" w:cs="Times New Roman" w:eastAsia="Times New Roman" w:hAnsi="Times New Roman"/>
          <w:sz w:val="18"/>
          <w:szCs w:val="18"/>
          <w:color w:val="auto"/>
        </w:rPr>
      </w:pPr>
    </w:p>
    <w:p>
      <w:pPr>
        <w:ind w:left="700" w:right="179" w:hanging="656"/>
        <w:spacing w:after="0" w:line="282" w:lineRule="auto"/>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March 5, 2014 (File No. 001-33261).</w:t>
      </w:r>
    </w:p>
    <w:p>
      <w:pPr>
        <w:spacing w:after="0" w:line="161" w:lineRule="exact"/>
        <w:rPr>
          <w:rFonts w:ascii="Times New Roman" w:cs="Times New Roman" w:eastAsia="Times New Roman" w:hAnsi="Times New Roman"/>
          <w:sz w:val="18"/>
          <w:szCs w:val="18"/>
          <w:color w:val="auto"/>
        </w:rPr>
      </w:pPr>
    </w:p>
    <w:p>
      <w:pPr>
        <w:ind w:left="700" w:right="399" w:hanging="656"/>
        <w:spacing w:after="0" w:line="282" w:lineRule="auto"/>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29, 2021 (File No. 001-33261).</w:t>
      </w:r>
    </w:p>
    <w:p>
      <w:pPr>
        <w:spacing w:after="0" w:line="161" w:lineRule="exact"/>
        <w:rPr>
          <w:rFonts w:ascii="Times New Roman" w:cs="Times New Roman" w:eastAsia="Times New Roman" w:hAnsi="Times New Roman"/>
          <w:sz w:val="18"/>
          <w:szCs w:val="18"/>
          <w:color w:val="auto"/>
        </w:rPr>
      </w:pPr>
    </w:p>
    <w:p>
      <w:pPr>
        <w:ind w:left="700" w:right="879" w:hanging="656"/>
        <w:spacing w:after="0" w:line="282" w:lineRule="auto"/>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September 6, 2018 (File No. 001-33261).</w:t>
      </w:r>
    </w:p>
    <w:p>
      <w:pPr>
        <w:spacing w:after="0" w:line="161" w:lineRule="exact"/>
        <w:rPr>
          <w:rFonts w:ascii="Times New Roman" w:cs="Times New Roman" w:eastAsia="Times New Roman" w:hAnsi="Times New Roman"/>
          <w:sz w:val="18"/>
          <w:szCs w:val="18"/>
          <w:color w:val="auto"/>
        </w:rPr>
      </w:pPr>
    </w:p>
    <w:p>
      <w:pPr>
        <w:ind w:left="700" w:right="79" w:hanging="656"/>
        <w:spacing w:after="0" w:line="282" w:lineRule="auto"/>
        <w:tabs>
          <w:tab w:leader="none" w:pos="7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November 30, 2018 (File No. 001 33261).</w:t>
      </w:r>
    </w:p>
    <w:p>
      <w:pPr>
        <w:spacing w:after="0" w:line="161" w:lineRule="exact"/>
        <w:rPr>
          <w:rFonts w:ascii="Times New Roman" w:cs="Times New Roman" w:eastAsia="Times New Roman" w:hAnsi="Times New Roman"/>
          <w:sz w:val="18"/>
          <w:szCs w:val="18"/>
          <w:color w:val="auto"/>
        </w:rPr>
      </w:pPr>
    </w:p>
    <w:p>
      <w:pPr>
        <w:ind w:left="700" w:right="17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March 9, 2016 (File No. 001-33261).</w:t>
      </w:r>
    </w:p>
    <w:p>
      <w:pPr>
        <w:spacing w:after="0" w:line="161" w:lineRule="exact"/>
        <w:rPr>
          <w:rFonts w:ascii="Times New Roman" w:cs="Times New Roman" w:eastAsia="Times New Roman" w:hAnsi="Times New Roman"/>
          <w:sz w:val="18"/>
          <w:szCs w:val="18"/>
          <w:color w:val="auto"/>
        </w:rPr>
      </w:pPr>
    </w:p>
    <w:p>
      <w:pPr>
        <w:ind w:left="700" w:right="17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the Asset Purchase Agreement were made for the purposes of allocating contractual risk between the parties and not as a means of establishing facts and are qualified by information in disclosure schedules that the parties exchanged in connection with the signing of the Asset Purchase Agreement. Moreover, the representations and warranties were made only as of the date of execution of the Asset Purchase Agreement and information concerning the subject matter of the representations and warranties may change after the date of the Asset Purchase Agreement. Only parties to the Asset Purchase Agreement have a right to enforce the agreement. Accordingly, security holders should not rely on the representations and warranties in the Asset Purchase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9" w:name="page140"/>
    <w:bookmarkEnd w:id="13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139" w:hanging="656"/>
        <w:spacing w:after="0" w:line="282" w:lineRule="auto"/>
        <w:tabs>
          <w:tab w:leader="none" w:pos="7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(or similar attachments) have been omitted from this filing pursuant to Item 601 of Regulation S-K. The Company will furnish copies of any schedules to the Securities and Exchange Commission upon request.</w:t>
      </w:r>
    </w:p>
    <w:p>
      <w:pPr>
        <w:spacing w:after="0" w:line="161" w:lineRule="exact"/>
        <w:rPr>
          <w:rFonts w:ascii="Times New Roman" w:cs="Times New Roman" w:eastAsia="Times New Roman" w:hAnsi="Times New Roman"/>
          <w:sz w:val="18"/>
          <w:szCs w:val="18"/>
          <w:color w:val="auto"/>
        </w:rPr>
      </w:pPr>
    </w:p>
    <w:p>
      <w:pPr>
        <w:ind w:left="700" w:right="179" w:hanging="656"/>
        <w:spacing w:after="0" w:line="282" w:lineRule="auto"/>
        <w:tabs>
          <w:tab w:leader="none" w:pos="7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March 7, 2018 (File No. 001-33261).</w:t>
      </w:r>
    </w:p>
    <w:p>
      <w:pPr>
        <w:spacing w:after="0" w:line="161" w:lineRule="exact"/>
        <w:rPr>
          <w:rFonts w:ascii="Times New Roman" w:cs="Times New Roman" w:eastAsia="Times New Roman" w:hAnsi="Times New Roman"/>
          <w:sz w:val="18"/>
          <w:szCs w:val="18"/>
          <w:color w:val="auto"/>
        </w:rPr>
      </w:pPr>
    </w:p>
    <w:p>
      <w:pPr>
        <w:ind w:left="700" w:right="299" w:hanging="656"/>
        <w:spacing w:after="0" w:line="282" w:lineRule="auto"/>
        <w:tabs>
          <w:tab w:leader="none" w:pos="7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Current Report on Form 8-K/A filed October 22, 2019 (File No. 001-33261).</w:t>
      </w:r>
    </w:p>
    <w:p>
      <w:pPr>
        <w:spacing w:after="0" w:line="161" w:lineRule="exact"/>
        <w:rPr>
          <w:rFonts w:ascii="Times New Roman" w:cs="Times New Roman" w:eastAsia="Times New Roman" w:hAnsi="Times New Roman"/>
          <w:sz w:val="18"/>
          <w:szCs w:val="18"/>
          <w:color w:val="auto"/>
        </w:rPr>
      </w:pPr>
    </w:p>
    <w:p>
      <w:pPr>
        <w:ind w:left="700" w:right="419" w:hanging="656"/>
        <w:spacing w:after="0" w:line="282" w:lineRule="auto"/>
        <w:tabs>
          <w:tab w:leader="none" w:pos="7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29, 2021 (File No. 001-33261).</w:t>
      </w:r>
    </w:p>
    <w:p>
      <w:pPr>
        <w:spacing w:after="0" w:line="161" w:lineRule="exact"/>
        <w:rPr>
          <w:rFonts w:ascii="Times New Roman" w:cs="Times New Roman" w:eastAsia="Times New Roman" w:hAnsi="Times New Roman"/>
          <w:sz w:val="18"/>
          <w:szCs w:val="18"/>
          <w:color w:val="auto"/>
        </w:rPr>
      </w:pPr>
    </w:p>
    <w:p>
      <w:pPr>
        <w:ind w:left="700" w:right="17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the Stock Purchase Agreement were made for the purposes of allocating contractual risk between the parties and not as a means of establishing facts and are qualified by information in disclosure schedules that the parties exchanged in connection with the signing of the Stock Purchase Agreement. Moreover, the representations and warranties were made only as of the date of execution of the Stock Purchase Agreement and information concerning the subject matter of the representations and warranties may change after the date of the Stock Purchase Agreement. Only parties to the Stock Purchase Agreement have a right to enforce the agreement. Accordingly, security holders should not rely on the representations and warranties in the Stock Purchase Agreement.</w:t>
      </w:r>
    </w:p>
    <w:p>
      <w:pPr>
        <w:spacing w:after="0" w:line="191" w:lineRule="exact"/>
        <w:rPr>
          <w:rFonts w:ascii="Times New Roman" w:cs="Times New Roman" w:eastAsia="Times New Roman" w:hAnsi="Times New Roman"/>
          <w:sz w:val="18"/>
          <w:szCs w:val="18"/>
          <w:color w:val="auto"/>
        </w:rPr>
      </w:pPr>
    </w:p>
    <w:p>
      <w:pPr>
        <w:ind w:left="700" w:right="1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(or similar attachments) have been omitted from this filing pursuant to Item 601 of Regulation S-K. The Company will furnish copies of any schedules to the Securities and Exchange Commission upon request.</w:t>
      </w:r>
    </w:p>
    <w:p>
      <w:pPr>
        <w:spacing w:after="0" w:line="161" w:lineRule="exact"/>
        <w:rPr>
          <w:rFonts w:ascii="Times New Roman" w:cs="Times New Roman" w:eastAsia="Times New Roman" w:hAnsi="Times New Roman"/>
          <w:sz w:val="18"/>
          <w:szCs w:val="18"/>
          <w:color w:val="auto"/>
        </w:rPr>
      </w:pPr>
    </w:p>
    <w:p>
      <w:pPr>
        <w:ind w:left="700" w:right="199" w:hanging="656"/>
        <w:spacing w:after="0" w:line="282" w:lineRule="auto"/>
        <w:tabs>
          <w:tab w:leader="none" w:pos="7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March 4, 2022 (File No. 001-33261).</w:t>
      </w:r>
    </w:p>
    <w:p>
      <w:pPr>
        <w:spacing w:after="0" w:line="161" w:lineRule="exact"/>
        <w:rPr>
          <w:rFonts w:ascii="Times New Roman" w:cs="Times New Roman" w:eastAsia="Times New Roman" w:hAnsi="Times New Roman"/>
          <w:sz w:val="18"/>
          <w:szCs w:val="18"/>
          <w:color w:val="auto"/>
        </w:rPr>
      </w:pPr>
    </w:p>
    <w:p>
      <w:pPr>
        <w:ind w:left="700" w:right="419" w:hanging="656"/>
        <w:spacing w:after="0" w:line="282" w:lineRule="auto"/>
        <w:tabs>
          <w:tab w:leader="none" w:pos="7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29, 2021 (File No. 001-33261).</w:t>
      </w:r>
    </w:p>
    <w:p>
      <w:pPr>
        <w:spacing w:after="0" w:line="161" w:lineRule="exact"/>
        <w:rPr>
          <w:rFonts w:ascii="Times New Roman" w:cs="Times New Roman" w:eastAsia="Times New Roman" w:hAnsi="Times New Roman"/>
          <w:sz w:val="18"/>
          <w:szCs w:val="18"/>
          <w:color w:val="auto"/>
        </w:rPr>
      </w:pPr>
    </w:p>
    <w:p>
      <w:pPr>
        <w:ind w:left="700" w:right="17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contained in the Share Purchase Agreement were made for the purposes of allocating contractual risk between the parties and not as a means of establishing facts and are qualified by information in disclosure schedules that the parties exchanged in connection with the signing of the Share Purchase Agreement. Moreover, the representations and warranties were made only as of the date of execution of the Share Purchase Agreement and information concerning the subject matter of the representations and warranties may change after the date of the Stock Purchase Agreement. Only parties to the Share Purchase Agreement have a right to enforce the agreement. Accordingly, security holders should not rely on the representations and warranties in the Share Purchase Agreement.</w:t>
      </w:r>
    </w:p>
    <w:p>
      <w:pPr>
        <w:spacing w:after="0" w:line="191" w:lineRule="exact"/>
        <w:rPr>
          <w:rFonts w:ascii="Times New Roman" w:cs="Times New Roman" w:eastAsia="Times New Roman" w:hAnsi="Times New Roman"/>
          <w:sz w:val="18"/>
          <w:szCs w:val="18"/>
          <w:color w:val="auto"/>
        </w:rPr>
      </w:pPr>
    </w:p>
    <w:p>
      <w:pPr>
        <w:ind w:left="700" w:right="1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schedules (or similar attachments) have been omitted from this filing pursuant to Item 601 of Regulation S-K. The Company will furnish copies of any schedules to the Securities and Exchange Commission upon request.</w:t>
      </w:r>
    </w:p>
    <w:p>
      <w:pPr>
        <w:spacing w:after="0" w:line="161" w:lineRule="exact"/>
        <w:rPr>
          <w:rFonts w:ascii="Times New Roman" w:cs="Times New Roman" w:eastAsia="Times New Roman" w:hAnsi="Times New Roman"/>
          <w:sz w:val="18"/>
          <w:szCs w:val="18"/>
          <w:color w:val="auto"/>
        </w:rPr>
      </w:pPr>
    </w:p>
    <w:p>
      <w:pPr>
        <w:ind w:left="700" w:right="119" w:hanging="656"/>
        <w:spacing w:after="0" w:line="282" w:lineRule="auto"/>
        <w:tabs>
          <w:tab w:leader="none" w:pos="7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December 7, 2022 (File No. 001-33261).</w:t>
      </w:r>
    </w:p>
    <w:p>
      <w:pPr>
        <w:spacing w:after="0" w:line="161" w:lineRule="exact"/>
        <w:rPr>
          <w:rFonts w:ascii="Times New Roman" w:cs="Times New Roman" w:eastAsia="Times New Roman" w:hAnsi="Times New Roman"/>
          <w:sz w:val="18"/>
          <w:szCs w:val="18"/>
          <w:color w:val="auto"/>
        </w:rPr>
      </w:pPr>
    </w:p>
    <w:p>
      <w:pPr>
        <w:ind w:left="700" w:right="419" w:hanging="656"/>
        <w:spacing w:after="0" w:line="282" w:lineRule="auto"/>
        <w:tabs>
          <w:tab w:leader="none" w:pos="7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28, 2022 (File No. 001-33261).</w:t>
      </w:r>
    </w:p>
    <w:p>
      <w:pPr>
        <w:spacing w:after="0" w:line="161" w:lineRule="exact"/>
        <w:rPr>
          <w:rFonts w:ascii="Times New Roman" w:cs="Times New Roman" w:eastAsia="Times New Roman" w:hAnsi="Times New Roman"/>
          <w:sz w:val="18"/>
          <w:szCs w:val="18"/>
          <w:color w:val="auto"/>
        </w:rPr>
      </w:pPr>
    </w:p>
    <w:p>
      <w:pPr>
        <w:ind w:left="700" w:right="419" w:hanging="656"/>
        <w:spacing w:after="0" w:line="282" w:lineRule="auto"/>
        <w:tabs>
          <w:tab w:leader="none" w:pos="7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Annual Report on Form 10-K filed June 27, 2023 (File No. 001-33261).</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0" w:name="page141"/>
    <w:bookmarkEnd w:id="14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239" w:hanging="656"/>
        <w:spacing w:after="0" w:line="282" w:lineRule="auto"/>
        <w:tabs>
          <w:tab w:leader="none" w:pos="7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Appendix A to the Company’s Definitive Proxy Statement on Schedule 14A filed August 17, 2023 (File No. 001-33261).</w:t>
      </w:r>
    </w:p>
    <w:p>
      <w:pPr>
        <w:spacing w:after="0" w:line="161" w:lineRule="exact"/>
        <w:rPr>
          <w:rFonts w:ascii="Times New Roman" w:cs="Times New Roman" w:eastAsia="Times New Roman" w:hAnsi="Times New Roman"/>
          <w:sz w:val="18"/>
          <w:szCs w:val="18"/>
          <w:color w:val="auto"/>
        </w:rPr>
      </w:pPr>
    </w:p>
    <w:p>
      <w:pPr>
        <w:ind w:left="700" w:right="299" w:hanging="656"/>
        <w:spacing w:after="0" w:line="282" w:lineRule="auto"/>
        <w:tabs>
          <w:tab w:leader="none" w:pos="7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Current Report on Form 8-K filed August 22, 2023 (File No. 001-33261).</w:t>
      </w:r>
    </w:p>
    <w:p>
      <w:pPr>
        <w:spacing w:after="0" w:line="161" w:lineRule="exact"/>
        <w:rPr>
          <w:rFonts w:ascii="Times New Roman" w:cs="Times New Roman" w:eastAsia="Times New Roman" w:hAnsi="Times New Roman"/>
          <w:sz w:val="18"/>
          <w:szCs w:val="18"/>
          <w:color w:val="auto"/>
        </w:rPr>
      </w:pPr>
    </w:p>
    <w:p>
      <w:pPr>
        <w:ind w:left="700" w:right="119" w:hanging="656"/>
        <w:spacing w:after="0" w:line="282" w:lineRule="auto"/>
        <w:tabs>
          <w:tab w:leader="none" w:pos="7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herein to the exhibits to the Company's Quarterly Report on Form 10-Q filed December 5, 2023 (File No. 001-33261).</w:t>
      </w:r>
    </w:p>
    <w:p>
      <w:pPr>
        <w:spacing w:after="0" w:line="162" w:lineRule="exact"/>
        <w:rPr>
          <w:sz w:val="20"/>
          <w:szCs w:val="20"/>
          <w:color w:val="auto"/>
        </w:rPr>
      </w:pPr>
    </w:p>
    <w:p>
      <w:pPr>
        <w:ind w:left="700" w:right="179" w:hanging="656"/>
        <w:spacing w:after="0" w:line="311" w:lineRule="auto"/>
        <w:tabs>
          <w:tab w:leader="none" w:pos="700" w:val="left"/>
        </w:tabs>
        <w:numPr>
          <w:ilvl w:val="0"/>
          <w:numId w:val="79"/>
        </w:numPr>
        <w:rPr>
          <w:rFonts w:ascii="Arial" w:cs="Arial" w:eastAsia="Arial" w:hAnsi="Arial"/>
          <w:sz w:val="17"/>
          <w:szCs w:val="17"/>
          <w:color w:val="auto"/>
        </w:rPr>
      </w:pPr>
      <w:r>
        <w:rPr>
          <w:rFonts w:ascii="Times New Roman" w:cs="Times New Roman" w:eastAsia="Times New Roman" w:hAnsi="Times New Roman"/>
          <w:sz w:val="17"/>
          <w:szCs w:val="17"/>
          <w:color w:val="auto"/>
        </w:rPr>
        <w:t>Pursuant to Items 601(b)(2) and/or 601(b)(10) of Regulation S-K, certain immaterial provisions of the agreement that would likely cause competitive harm to the Company if publicly disclosed have been redacted or omitted.</w:t>
      </w:r>
    </w:p>
    <w:p>
      <w:pPr>
        <w:spacing w:after="0" w:line="140" w:lineRule="exact"/>
        <w:rPr>
          <w:sz w:val="20"/>
          <w:szCs w:val="20"/>
          <w:color w:val="auto"/>
        </w:rPr>
      </w:pPr>
    </w:p>
    <w:p>
      <w:pPr>
        <w:ind w:left="700" w:hanging="656"/>
        <w:spacing w:after="0"/>
        <w:tabs>
          <w:tab w:leader="none" w:pos="7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25" w:lineRule="exact"/>
        <w:rPr>
          <w:sz w:val="20"/>
          <w:szCs w:val="20"/>
          <w:color w:val="auto"/>
        </w:rPr>
      </w:pPr>
    </w:p>
    <w:p>
      <w:pPr>
        <w:jc w:val="both"/>
        <w:ind w:left="700" w:right="299" w:hanging="656"/>
        <w:spacing w:after="0" w:line="266" w:lineRule="auto"/>
        <w:tabs>
          <w:tab w:leader="none" w:pos="7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(or similar attachments) to this Exhibit have been omitted in accordance with Items 601(a)(5) and/or 601(b)(2) of Regulation S-K. The Registrant agrees to furnish supplementary a copy of all omitted schedules to the Securities and Exchange Commission on a confidential basis upon request.</w:t>
      </w:r>
    </w:p>
    <w:p>
      <w:pPr>
        <w:spacing w:after="0" w:line="176" w:lineRule="exact"/>
        <w:rPr>
          <w:sz w:val="20"/>
          <w:szCs w:val="20"/>
          <w:color w:val="auto"/>
        </w:rPr>
      </w:pPr>
    </w:p>
    <w:p>
      <w:pPr>
        <w:ind w:left="700" w:right="479" w:hanging="656"/>
        <w:spacing w:after="0" w:line="282" w:lineRule="auto"/>
        <w:tabs>
          <w:tab w:leader="none" w:pos="7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and Separate Financial Statements of Subsidiaries Not Consolidated and Fifty Percent or Less Owned Persons</w:t>
      </w:r>
    </w:p>
    <w:p>
      <w:pPr>
        <w:spacing w:after="0" w:line="161"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16.Form 10-K Summary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1" w:name="page142"/>
    <w:bookmarkEnd w:id="14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left="40" w:right="37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646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AEROVIRONMENT, INC.</w:t>
            </w:r>
          </w:p>
        </w:tc>
      </w:tr>
      <w:tr>
        <w:trPr>
          <w:trHeight w:val="432"/>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Date: June 26, 2024</w:t>
            </w:r>
          </w:p>
        </w:tc>
        <w:tc>
          <w:tcPr>
            <w:tcW w:w="2020" w:type="dxa"/>
            <w:vAlign w:val="bottom"/>
          </w:tcPr>
          <w:p>
            <w:pPr>
              <w:spacing w:after="0"/>
              <w:rPr>
                <w:sz w:val="24"/>
                <w:szCs w:val="24"/>
                <w:color w:val="auto"/>
              </w:rPr>
            </w:pPr>
          </w:p>
        </w:tc>
        <w:tc>
          <w:tcPr>
            <w:tcW w:w="4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2"/>
                <w:szCs w:val="12"/>
                <w:color w:val="auto"/>
              </w:rPr>
              <w:t>ahid</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awabi</w:t>
            </w:r>
          </w:p>
        </w:tc>
      </w:tr>
      <w:tr>
        <w:trPr>
          <w:trHeight w:val="191"/>
        </w:trPr>
        <w:tc>
          <w:tcPr>
            <w:tcW w:w="24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By:Wahid Nawabi</w:t>
            </w:r>
          </w:p>
        </w:tc>
      </w:tr>
      <w:tr>
        <w:trPr>
          <w:trHeight w:val="216"/>
        </w:trPr>
        <w:tc>
          <w:tcPr>
            <w:tcW w:w="2460" w:type="dxa"/>
            <w:vAlign w:val="bottom"/>
          </w:tcPr>
          <w:p>
            <w:pPr>
              <w:spacing w:after="0"/>
              <w:rPr>
                <w:sz w:val="18"/>
                <w:szCs w:val="18"/>
                <w:color w:val="auto"/>
              </w:rPr>
            </w:pPr>
          </w:p>
        </w:tc>
        <w:tc>
          <w:tcPr>
            <w:tcW w:w="646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Its: Chief Executive Officer and President</w:t>
            </w:r>
          </w:p>
        </w:tc>
      </w:tr>
      <w:tr>
        <w:trPr>
          <w:trHeight w:val="234"/>
        </w:trPr>
        <w:tc>
          <w:tcPr>
            <w:tcW w:w="2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51"/>
        </w:trPr>
        <w:tc>
          <w:tcPr>
            <w:tcW w:w="2460" w:type="dxa"/>
            <w:vAlign w:val="bottom"/>
          </w:tcPr>
          <w:p>
            <w:pPr>
              <w:spacing w:after="0"/>
              <w:rPr>
                <w:sz w:val="24"/>
                <w:szCs w:val="24"/>
                <w:color w:val="auto"/>
              </w:rPr>
            </w:pPr>
          </w:p>
        </w:tc>
        <w:tc>
          <w:tcPr>
            <w:tcW w:w="64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POWER OF ATTORNEY</w:t>
            </w:r>
          </w:p>
        </w:tc>
      </w:tr>
    </w:tbl>
    <w:p>
      <w:pPr>
        <w:spacing w:after="0" w:line="117" w:lineRule="exact"/>
        <w:rPr>
          <w:sz w:val="20"/>
          <w:szCs w:val="20"/>
          <w:color w:val="auto"/>
        </w:rPr>
      </w:pPr>
    </w:p>
    <w:p>
      <w:pPr>
        <w:ind w:left="40" w:right="99" w:firstLine="64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of the persons whose signature appears below hereby constitutes and appoints Wahid Nawabi and Kevin P. McDonnell, each of them acting individually, as his attorney-in-fact,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attorneys- in-fact, and each of them, full power and authority to do and perform each and every act and thing requisite and necessary to be done in and about the premises as fully to all intents and purposes as he might or could do in person, hereby ratifying and confirming our signatures as they may be signed by our said attorney-in-fact and any and all amendments to this Annual Report on Form 10-K.</w:t>
      </w:r>
    </w:p>
    <w:p>
      <w:pPr>
        <w:spacing w:after="0" w:line="111" w:lineRule="exact"/>
        <w:rPr>
          <w:sz w:val="20"/>
          <w:szCs w:val="20"/>
          <w:color w:val="auto"/>
        </w:rPr>
      </w:pPr>
    </w:p>
    <w:p>
      <w:pPr>
        <w:ind w:left="4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320" w:type="dxa"/>
            <w:vAlign w:val="bottom"/>
          </w:tcPr>
          <w:p>
            <w:pPr>
              <w:spacing w:after="0"/>
              <w:rPr>
                <w:sz w:val="18"/>
                <w:szCs w:val="18"/>
                <w:color w:val="auto"/>
              </w:rPr>
            </w:pPr>
          </w:p>
        </w:tc>
        <w:tc>
          <w:tcPr>
            <w:tcW w:w="348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32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395"/>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W</w:t>
            </w:r>
            <w:r>
              <w:rPr>
                <w:rFonts w:ascii="Times New Roman" w:cs="Times New Roman" w:eastAsia="Times New Roman" w:hAnsi="Times New Roman"/>
                <w:sz w:val="10"/>
                <w:szCs w:val="10"/>
                <w:color w:val="auto"/>
              </w:rPr>
              <w:t>ahid</w:t>
            </w:r>
            <w:r>
              <w:rPr>
                <w:rFonts w:ascii="Times New Roman" w:cs="Times New Roman" w:eastAsia="Times New Roman" w:hAnsi="Times New Roman"/>
                <w:sz w:val="16"/>
                <w:szCs w:val="16"/>
                <w:color w:val="auto"/>
              </w:rPr>
              <w:t xml:space="preserve"> N</w:t>
            </w:r>
            <w:r>
              <w:rPr>
                <w:rFonts w:ascii="Times New Roman" w:cs="Times New Roman" w:eastAsia="Times New Roman" w:hAnsi="Times New Roman"/>
                <w:sz w:val="10"/>
                <w:szCs w:val="10"/>
                <w:color w:val="auto"/>
              </w:rPr>
              <w:t>awabi</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President, Chief</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26, 2024</w:t>
            </w:r>
          </w:p>
        </w:tc>
      </w:tr>
      <w:tr>
        <w:trPr>
          <w:trHeight w:val="188"/>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Wahid Nawabi</w:t>
            </w:r>
          </w:p>
        </w:tc>
        <w:tc>
          <w:tcPr>
            <w:tcW w:w="3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Executive Officer and Chairman</w:t>
            </w:r>
          </w:p>
        </w:tc>
        <w:tc>
          <w:tcPr>
            <w:tcW w:w="1740" w:type="dxa"/>
            <w:vAlign w:val="bottom"/>
          </w:tcPr>
          <w:p>
            <w:pPr>
              <w:spacing w:after="0"/>
              <w:rPr>
                <w:sz w:val="16"/>
                <w:szCs w:val="16"/>
                <w:color w:val="auto"/>
              </w:rPr>
            </w:pPr>
          </w:p>
        </w:tc>
      </w:tr>
      <w:tr>
        <w:trPr>
          <w:trHeight w:val="210"/>
        </w:trPr>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1740" w:type="dxa"/>
            <w:vAlign w:val="bottom"/>
          </w:tcPr>
          <w:p>
            <w:pPr>
              <w:spacing w:after="0"/>
              <w:rPr>
                <w:sz w:val="18"/>
                <w:szCs w:val="18"/>
                <w:color w:val="auto"/>
              </w:rPr>
            </w:pPr>
          </w:p>
        </w:tc>
      </w:tr>
      <w:tr>
        <w:trPr>
          <w:trHeight w:val="324"/>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K</w:t>
            </w:r>
            <w:r>
              <w:rPr>
                <w:rFonts w:ascii="Times New Roman" w:cs="Times New Roman" w:eastAsia="Times New Roman" w:hAnsi="Times New Roman"/>
                <w:sz w:val="10"/>
                <w:szCs w:val="10"/>
                <w:color w:val="auto"/>
              </w:rPr>
              <w:t>evin</w:t>
            </w:r>
            <w:r>
              <w:rPr>
                <w:rFonts w:ascii="Times New Roman" w:cs="Times New Roman" w:eastAsia="Times New Roman" w:hAnsi="Times New Roman"/>
                <w:sz w:val="16"/>
                <w:szCs w:val="16"/>
                <w:color w:val="auto"/>
              </w:rPr>
              <w:t xml:space="preserve"> P. M</w:t>
            </w:r>
            <w:r>
              <w:rPr>
                <w:rFonts w:ascii="Times New Roman" w:cs="Times New Roman" w:eastAsia="Times New Roman" w:hAnsi="Times New Roman"/>
                <w:sz w:val="10"/>
                <w:szCs w:val="10"/>
                <w:color w:val="auto"/>
              </w:rPr>
              <w:t>c</w:t>
            </w:r>
            <w:r>
              <w:rPr>
                <w:rFonts w:ascii="Times New Roman" w:cs="Times New Roman" w:eastAsia="Times New Roman" w:hAnsi="Times New Roman"/>
                <w:sz w:val="16"/>
                <w:szCs w:val="16"/>
                <w:color w:val="auto"/>
              </w:rPr>
              <w:t>D</w:t>
            </w:r>
            <w:r>
              <w:rPr>
                <w:rFonts w:ascii="Times New Roman" w:cs="Times New Roman" w:eastAsia="Times New Roman" w:hAnsi="Times New Roman"/>
                <w:sz w:val="10"/>
                <w:szCs w:val="10"/>
                <w:color w:val="auto"/>
              </w:rPr>
              <w:t>onnell</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Senior Vice President and</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26, 2024</w:t>
            </w:r>
          </w:p>
        </w:tc>
      </w:tr>
      <w:tr>
        <w:trPr>
          <w:trHeight w:val="188"/>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Kevin P. McDonnell</w:t>
            </w:r>
          </w:p>
        </w:tc>
        <w:tc>
          <w:tcPr>
            <w:tcW w:w="3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 (Principal</w:t>
            </w:r>
          </w:p>
        </w:tc>
        <w:tc>
          <w:tcPr>
            <w:tcW w:w="1740" w:type="dxa"/>
            <w:vAlign w:val="bottom"/>
          </w:tcPr>
          <w:p>
            <w:pPr>
              <w:spacing w:after="0"/>
              <w:rPr>
                <w:sz w:val="16"/>
                <w:szCs w:val="16"/>
                <w:color w:val="auto"/>
              </w:rPr>
            </w:pPr>
          </w:p>
        </w:tc>
      </w:tr>
      <w:tr>
        <w:trPr>
          <w:trHeight w:val="210"/>
        </w:trPr>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Officer)</w:t>
            </w:r>
          </w:p>
        </w:tc>
        <w:tc>
          <w:tcPr>
            <w:tcW w:w="1740" w:type="dxa"/>
            <w:vAlign w:val="bottom"/>
          </w:tcPr>
          <w:p>
            <w:pPr>
              <w:spacing w:after="0"/>
              <w:rPr>
                <w:sz w:val="18"/>
                <w:szCs w:val="18"/>
                <w:color w:val="auto"/>
              </w:rPr>
            </w:pPr>
          </w:p>
        </w:tc>
      </w:tr>
      <w:tr>
        <w:trPr>
          <w:trHeight w:val="324"/>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B</w:t>
            </w:r>
            <w:r>
              <w:rPr>
                <w:rFonts w:ascii="Times New Roman" w:cs="Times New Roman" w:eastAsia="Times New Roman" w:hAnsi="Times New Roman"/>
                <w:sz w:val="10"/>
                <w:szCs w:val="10"/>
                <w:color w:val="auto"/>
              </w:rPr>
              <w:t>rian</w:t>
            </w:r>
            <w:r>
              <w:rPr>
                <w:rFonts w:ascii="Times New Roman" w:cs="Times New Roman" w:eastAsia="Times New Roman" w:hAnsi="Times New Roman"/>
                <w:sz w:val="16"/>
                <w:szCs w:val="16"/>
                <w:color w:val="auto"/>
              </w:rPr>
              <w:t xml:space="preserve"> C. S</w:t>
            </w:r>
            <w:r>
              <w:rPr>
                <w:rFonts w:ascii="Times New Roman" w:cs="Times New Roman" w:eastAsia="Times New Roman" w:hAnsi="Times New Roman"/>
                <w:sz w:val="10"/>
                <w:szCs w:val="10"/>
                <w:color w:val="auto"/>
              </w:rPr>
              <w:t>hackley</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Vice President and</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26, 2024</w:t>
            </w:r>
          </w:p>
        </w:tc>
      </w:tr>
      <w:tr>
        <w:trPr>
          <w:trHeight w:val="188"/>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Brian C. Shackley</w:t>
            </w:r>
          </w:p>
        </w:tc>
        <w:tc>
          <w:tcPr>
            <w:tcW w:w="3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Accounting Officer (Principal</w:t>
            </w:r>
          </w:p>
        </w:tc>
        <w:tc>
          <w:tcPr>
            <w:tcW w:w="1740" w:type="dxa"/>
            <w:vAlign w:val="bottom"/>
          </w:tcPr>
          <w:p>
            <w:pPr>
              <w:spacing w:after="0"/>
              <w:rPr>
                <w:sz w:val="16"/>
                <w:szCs w:val="16"/>
                <w:color w:val="auto"/>
              </w:rPr>
            </w:pPr>
          </w:p>
        </w:tc>
      </w:tr>
      <w:tr>
        <w:trPr>
          <w:trHeight w:val="210"/>
        </w:trPr>
        <w:tc>
          <w:tcPr>
            <w:tcW w:w="3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Accounting Officer)</w:t>
            </w:r>
          </w:p>
        </w:tc>
        <w:tc>
          <w:tcPr>
            <w:tcW w:w="1740" w:type="dxa"/>
            <w:vAlign w:val="bottom"/>
          </w:tcPr>
          <w:p>
            <w:pPr>
              <w:spacing w:after="0"/>
              <w:rPr>
                <w:sz w:val="18"/>
                <w:szCs w:val="18"/>
                <w:color w:val="auto"/>
              </w:rPr>
            </w:pPr>
          </w:p>
        </w:tc>
      </w:tr>
      <w:tr>
        <w:trPr>
          <w:trHeight w:val="327"/>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E</w:t>
            </w:r>
            <w:r>
              <w:rPr>
                <w:rFonts w:ascii="Times New Roman" w:cs="Times New Roman" w:eastAsia="Times New Roman" w:hAnsi="Times New Roman"/>
                <w:sz w:val="10"/>
                <w:szCs w:val="10"/>
                <w:color w:val="auto"/>
              </w:rPr>
              <w:t>dward</w:t>
            </w:r>
            <w:r>
              <w:rPr>
                <w:rFonts w:ascii="Times New Roman" w:cs="Times New Roman" w:eastAsia="Times New Roman" w:hAnsi="Times New Roman"/>
                <w:sz w:val="16"/>
                <w:szCs w:val="16"/>
                <w:color w:val="auto"/>
              </w:rPr>
              <w:t xml:space="preserve"> R. M</w:t>
            </w:r>
            <w:r>
              <w:rPr>
                <w:rFonts w:ascii="Times New Roman" w:cs="Times New Roman" w:eastAsia="Times New Roman" w:hAnsi="Times New Roman"/>
                <w:sz w:val="10"/>
                <w:szCs w:val="10"/>
                <w:color w:val="auto"/>
              </w:rPr>
              <w:t>uller</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26, 2024</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Edward R. Muller</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13"/>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C</w:t>
            </w:r>
            <w:r>
              <w:rPr>
                <w:rFonts w:ascii="Times New Roman" w:cs="Times New Roman" w:eastAsia="Times New Roman" w:hAnsi="Times New Roman"/>
                <w:sz w:val="10"/>
                <w:szCs w:val="10"/>
                <w:color w:val="auto"/>
              </w:rPr>
              <w:t>indy</w:t>
            </w:r>
            <w:r>
              <w:rPr>
                <w:rFonts w:ascii="Times New Roman" w:cs="Times New Roman" w:eastAsia="Times New Roman" w:hAnsi="Times New Roman"/>
                <w:sz w:val="16"/>
                <w:szCs w:val="16"/>
                <w:color w:val="auto"/>
              </w:rPr>
              <w:t xml:space="preserve"> L</w:t>
            </w:r>
            <w:r>
              <w:rPr>
                <w:rFonts w:ascii="Times New Roman" w:cs="Times New Roman" w:eastAsia="Times New Roman" w:hAnsi="Times New Roman"/>
                <w:sz w:val="10"/>
                <w:szCs w:val="10"/>
                <w:color w:val="auto"/>
              </w:rPr>
              <w:t>ewis</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26, 2024</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Cindy Lewis</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13"/>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w:t>
            </w:r>
            <w:r>
              <w:rPr>
                <w:rFonts w:ascii="Times New Roman" w:cs="Times New Roman" w:eastAsia="Times New Roman" w:hAnsi="Times New Roman"/>
                <w:sz w:val="10"/>
                <w:szCs w:val="10"/>
                <w:color w:val="auto"/>
              </w:rPr>
              <w:t>tephen</w:t>
            </w:r>
            <w:r>
              <w:rPr>
                <w:rFonts w:ascii="Times New Roman" w:cs="Times New Roman" w:eastAsia="Times New Roman" w:hAnsi="Times New Roman"/>
                <w:sz w:val="16"/>
                <w:szCs w:val="16"/>
                <w:color w:val="auto"/>
              </w:rPr>
              <w:t xml:space="preserve"> F. P</w:t>
            </w:r>
            <w:r>
              <w:rPr>
                <w:rFonts w:ascii="Times New Roman" w:cs="Times New Roman" w:eastAsia="Times New Roman" w:hAnsi="Times New Roman"/>
                <w:sz w:val="10"/>
                <w:szCs w:val="10"/>
                <w:color w:val="auto"/>
              </w:rPr>
              <w:t>age</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26, 2024</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Stephen F. Page</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13"/>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w:t>
            </w:r>
            <w:r>
              <w:rPr>
                <w:rFonts w:ascii="Times New Roman" w:cs="Times New Roman" w:eastAsia="Times New Roman" w:hAnsi="Times New Roman"/>
                <w:sz w:val="10"/>
                <w:szCs w:val="10"/>
                <w:color w:val="auto"/>
              </w:rPr>
              <w:t>ary</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0"/>
                <w:szCs w:val="10"/>
                <w:color w:val="auto"/>
              </w:rPr>
              <w:t>eth</w:t>
            </w:r>
            <w:r>
              <w:rPr>
                <w:rFonts w:ascii="Times New Roman" w:cs="Times New Roman" w:eastAsia="Times New Roman" w:hAnsi="Times New Roman"/>
                <w:sz w:val="16"/>
                <w:szCs w:val="16"/>
                <w:color w:val="auto"/>
              </w:rPr>
              <w:t xml:space="preserve"> L</w:t>
            </w:r>
            <w:r>
              <w:rPr>
                <w:rFonts w:ascii="Times New Roman" w:cs="Times New Roman" w:eastAsia="Times New Roman" w:hAnsi="Times New Roman"/>
                <w:sz w:val="10"/>
                <w:szCs w:val="10"/>
                <w:color w:val="auto"/>
              </w:rPr>
              <w:t>ong</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26, 2024</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Mary Beth Long</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13"/>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w:t>
            </w:r>
            <w:r>
              <w:rPr>
                <w:rFonts w:ascii="Times New Roman" w:cs="Times New Roman" w:eastAsia="Times New Roman" w:hAnsi="Times New Roman"/>
                <w:sz w:val="10"/>
                <w:szCs w:val="10"/>
                <w:color w:val="auto"/>
              </w:rPr>
              <w:t>oseph</w:t>
            </w:r>
            <w:r>
              <w:rPr>
                <w:rFonts w:ascii="Times New Roman" w:cs="Times New Roman" w:eastAsia="Times New Roman" w:hAnsi="Times New Roman"/>
                <w:sz w:val="16"/>
                <w:szCs w:val="16"/>
                <w:color w:val="auto"/>
              </w:rPr>
              <w:t xml:space="preserve"> L. V</w:t>
            </w:r>
            <w:r>
              <w:rPr>
                <w:rFonts w:ascii="Times New Roman" w:cs="Times New Roman" w:eastAsia="Times New Roman" w:hAnsi="Times New Roman"/>
                <w:sz w:val="10"/>
                <w:szCs w:val="10"/>
                <w:color w:val="auto"/>
              </w:rPr>
              <w:t>otel</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26, 2024</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Joseph L. Votel</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13"/>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C</w:t>
            </w:r>
            <w:r>
              <w:rPr>
                <w:rFonts w:ascii="Times New Roman" w:cs="Times New Roman" w:eastAsia="Times New Roman" w:hAnsi="Times New Roman"/>
                <w:sz w:val="10"/>
                <w:szCs w:val="10"/>
                <w:color w:val="auto"/>
              </w:rPr>
              <w:t>harles</w:t>
            </w:r>
            <w:r>
              <w:rPr>
                <w:rFonts w:ascii="Times New Roman" w:cs="Times New Roman" w:eastAsia="Times New Roman" w:hAnsi="Times New Roman"/>
                <w:sz w:val="16"/>
                <w:szCs w:val="16"/>
                <w:color w:val="auto"/>
              </w:rPr>
              <w:t xml:space="preserve"> T</w:t>
            </w:r>
            <w:r>
              <w:rPr>
                <w:rFonts w:ascii="Times New Roman" w:cs="Times New Roman" w:eastAsia="Times New Roman" w:hAnsi="Times New Roman"/>
                <w:sz w:val="10"/>
                <w:szCs w:val="10"/>
                <w:color w:val="auto"/>
              </w:rPr>
              <w:t>homas</w:t>
            </w:r>
            <w:r>
              <w:rPr>
                <w:rFonts w:ascii="Times New Roman" w:cs="Times New Roman" w:eastAsia="Times New Roman" w:hAnsi="Times New Roman"/>
                <w:sz w:val="16"/>
                <w:szCs w:val="16"/>
                <w:color w:val="auto"/>
              </w:rPr>
              <w:t xml:space="preserve"> B</w:t>
            </w:r>
            <w:r>
              <w:rPr>
                <w:rFonts w:ascii="Times New Roman" w:cs="Times New Roman" w:eastAsia="Times New Roman" w:hAnsi="Times New Roman"/>
                <w:sz w:val="10"/>
                <w:szCs w:val="10"/>
                <w:color w:val="auto"/>
              </w:rPr>
              <w:t>urbage</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26, 2024</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Charles Thomas Burbage</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13"/>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P</w:t>
            </w:r>
            <w:r>
              <w:rPr>
                <w:rFonts w:ascii="Times New Roman" w:cs="Times New Roman" w:eastAsia="Times New Roman" w:hAnsi="Times New Roman"/>
                <w:sz w:val="10"/>
                <w:szCs w:val="10"/>
                <w:color w:val="auto"/>
              </w:rPr>
              <w:t>hilip</w:t>
            </w:r>
            <w:r>
              <w:rPr>
                <w:rFonts w:ascii="Times New Roman" w:cs="Times New Roman" w:eastAsia="Times New Roman" w:hAnsi="Times New Roman"/>
                <w:sz w:val="16"/>
                <w:szCs w:val="16"/>
                <w:color w:val="auto"/>
              </w:rPr>
              <w:t xml:space="preserve"> S. D</w:t>
            </w:r>
            <w:r>
              <w:rPr>
                <w:rFonts w:ascii="Times New Roman" w:cs="Times New Roman" w:eastAsia="Times New Roman" w:hAnsi="Times New Roman"/>
                <w:sz w:val="10"/>
                <w:szCs w:val="10"/>
                <w:color w:val="auto"/>
              </w:rPr>
              <w:t>avidson</w:t>
            </w:r>
          </w:p>
        </w:tc>
        <w:tc>
          <w:tcPr>
            <w:tcW w:w="3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26, 2024</w:t>
            </w:r>
          </w:p>
        </w:tc>
      </w:tr>
      <w:tr>
        <w:trPr>
          <w:trHeight w:val="207"/>
        </w:trPr>
        <w:tc>
          <w:tcPr>
            <w:tcW w:w="3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Philip S. Davidson</w:t>
            </w:r>
          </w:p>
        </w:tc>
        <w:tc>
          <w:tcPr>
            <w:tcW w:w="3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2" w:name="page143"/>
    <w:bookmarkEnd w:id="142"/>
    <w:p>
      <w:pPr>
        <w:jc w:val="right"/>
        <w:spacing w:after="0"/>
        <w:rPr>
          <w:sz w:val="20"/>
          <w:szCs w:val="20"/>
          <w:color w:val="auto"/>
        </w:rPr>
      </w:pPr>
      <w:r>
        <w:rPr>
          <w:rFonts w:ascii="Times New Roman" w:cs="Times New Roman" w:eastAsia="Times New Roman" w:hAnsi="Times New Roman"/>
          <w:sz w:val="16"/>
          <w:szCs w:val="16"/>
          <w:b w:val="1"/>
          <w:bCs w:val="1"/>
          <w:color w:val="1C355E"/>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-99695</wp:posOffset>
            </wp:positionV>
            <wp:extent cx="5760720" cy="9086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9">
                      <a:extLst>
                        <a:ext uri="{28A0092B-C50C-407E-A947-70E740481C1C}"/>
                      </a:extLst>
                    </a:blip>
                    <a:srcRect/>
                    <a:stretch>
                      <a:fillRect/>
                    </a:stretch>
                  </pic:blipFill>
                  <pic:spPr bwMode="auto">
                    <a:xfrm>
                      <a:off x="0" y="0"/>
                      <a:ext cx="5760720" cy="90868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1C355E"/>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AEROVIRONMENT, INC.</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29" w:lineRule="exact"/>
        <w:rPr>
          <w:sz w:val="20"/>
          <w:szCs w:val="20"/>
          <w:color w:val="auto"/>
        </w:rPr>
      </w:pPr>
    </w:p>
    <w:p>
      <w:pPr>
        <w:ind w:left="860" w:hanging="651"/>
        <w:spacing w:after="0"/>
        <w:tabs>
          <w:tab w:leader="none" w:pos="86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INTRODUCTION</w:t>
      </w:r>
    </w:p>
    <w:p>
      <w:pPr>
        <w:spacing w:after="0" w:line="220" w:lineRule="exact"/>
        <w:rPr>
          <w:sz w:val="20"/>
          <w:szCs w:val="20"/>
          <w:color w:val="auto"/>
        </w:rPr>
      </w:pPr>
    </w:p>
    <w:p>
      <w:pPr>
        <w:ind w:left="200" w:right="400" w:firstLine="648"/>
        <w:spacing w:after="0" w:line="256" w:lineRule="auto"/>
        <w:rPr>
          <w:sz w:val="20"/>
          <w:szCs w:val="20"/>
          <w:color w:val="auto"/>
        </w:rPr>
      </w:pPr>
      <w:r>
        <w:rPr>
          <w:rFonts w:ascii="Times New Roman" w:cs="Times New Roman" w:eastAsia="Times New Roman" w:hAnsi="Times New Roman"/>
          <w:sz w:val="19"/>
          <w:szCs w:val="19"/>
          <w:color w:val="auto"/>
        </w:rPr>
        <w:t>Insider trading violates securities laws and threatens the reputation and integrity of AeroVironment, Inc. and its subsidiaries and all persons affiliated with them. Collectively, AeroVironment, Inc. and its subsidiaries are referred to herein as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This Insider Trading Policy (this “</w:t>
      </w:r>
      <w:r>
        <w:rPr>
          <w:rFonts w:ascii="Times New Roman" w:cs="Times New Roman" w:eastAsia="Times New Roman" w:hAnsi="Times New Roman"/>
          <w:sz w:val="19"/>
          <w:szCs w:val="19"/>
          <w:b w:val="1"/>
          <w:bCs w:val="1"/>
          <w:i w:val="1"/>
          <w:iCs w:val="1"/>
          <w:color w:val="auto"/>
        </w:rPr>
        <w:t>Policy</w:t>
      </w:r>
      <w:r>
        <w:rPr>
          <w:rFonts w:ascii="Times New Roman" w:cs="Times New Roman" w:eastAsia="Times New Roman" w:hAnsi="Times New Roman"/>
          <w:sz w:val="19"/>
          <w:szCs w:val="19"/>
          <w:color w:val="auto"/>
        </w:rPr>
        <w:t>”) provides guidelines with respect to transactions in the securities of the Company and the handling of material non-public information about the Company and the companies with which the Company conducts business. AeroVironment’s board of directors has adopted this policy to promote compliance with laws that prohibit insider trading. Insider trading laws prohibit buying or selling a company’s securities while in possession of material non-public information (also sometimes referred to as “inside information”) relating to that company. Insider trading is a crime and the penalties for violating insider trading laws include imprisonment, disgorgement of profits, civil fines of up to three times the profit gained or loss avoided, and criminal fines of up to $5,000,000 for individuals and $25,000,000 for entities. Insider trading is also prohibited by this Policy and could result in serious Company-imposed sanctions and disciplinary action, including dismissal.</w:t>
      </w:r>
    </w:p>
    <w:p>
      <w:pPr>
        <w:spacing w:after="0" w:line="183" w:lineRule="exact"/>
        <w:rPr>
          <w:sz w:val="20"/>
          <w:szCs w:val="20"/>
          <w:color w:val="auto"/>
        </w:rPr>
      </w:pPr>
    </w:p>
    <w:p>
      <w:pPr>
        <w:ind w:left="860" w:hanging="651"/>
        <w:spacing w:after="0"/>
        <w:tabs>
          <w:tab w:leader="none" w:pos="86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SCOPE</w:t>
      </w:r>
    </w:p>
    <w:p>
      <w:pPr>
        <w:spacing w:after="0" w:line="216" w:lineRule="exact"/>
        <w:rPr>
          <w:sz w:val="20"/>
          <w:szCs w:val="20"/>
          <w:color w:val="auto"/>
        </w:rPr>
      </w:pPr>
    </w:p>
    <w:p>
      <w:pPr>
        <w:ind w:left="1500" w:hanging="643"/>
        <w:spacing w:after="0"/>
        <w:tabs>
          <w:tab w:leader="none" w:pos="150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Transactions Subject to this Policy</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200" w:right="260" w:firstLine="648"/>
        <w:spacing w:after="0" w:line="249" w:lineRule="auto"/>
        <w:rPr>
          <w:sz w:val="20"/>
          <w:szCs w:val="20"/>
          <w:color w:val="auto"/>
        </w:rPr>
      </w:pPr>
      <w:r>
        <w:rPr>
          <w:rFonts w:ascii="Times New Roman" w:cs="Times New Roman" w:eastAsia="Times New Roman" w:hAnsi="Times New Roman"/>
          <w:sz w:val="20"/>
          <w:szCs w:val="20"/>
          <w:color w:val="auto"/>
        </w:rPr>
        <w:t>All transactions in the Company’s securities, including common stock, options for common stock and any other securities the Company may issue from time to time, including preferred stock, warrants and any convertible debentures, as well as to derivative securities relating to the Company’s stock, whether or not issued by the Company, such as exchange-traded options.</w:t>
      </w:r>
    </w:p>
    <w:p>
      <w:pPr>
        <w:spacing w:after="0" w:line="176" w:lineRule="exact"/>
        <w:rPr>
          <w:sz w:val="20"/>
          <w:szCs w:val="20"/>
          <w:color w:val="auto"/>
        </w:rPr>
      </w:pPr>
    </w:p>
    <w:p>
      <w:pPr>
        <w:ind w:left="1500" w:hanging="643"/>
        <w:spacing w:after="0"/>
        <w:tabs>
          <w:tab w:leader="none" w:pos="150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Persons Subject to this Policy</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200" w:right="280" w:firstLine="648"/>
        <w:spacing w:after="0" w:line="255" w:lineRule="auto"/>
        <w:rPr>
          <w:sz w:val="20"/>
          <w:szCs w:val="20"/>
          <w:color w:val="auto"/>
        </w:rPr>
      </w:pPr>
      <w:r>
        <w:rPr>
          <w:rFonts w:ascii="Times New Roman" w:cs="Times New Roman" w:eastAsia="Times New Roman" w:hAnsi="Times New Roman"/>
          <w:sz w:val="19"/>
          <w:szCs w:val="19"/>
          <w:color w:val="auto"/>
        </w:rPr>
        <w:t>This Policy covers all officers, employees, members of the board of directors of AeroVironment, Inc. and each of its subsidiaries (collectively, members of the boards of directors of such entities are referred to herein as “</w:t>
      </w:r>
      <w:r>
        <w:rPr>
          <w:rFonts w:ascii="Times New Roman" w:cs="Times New Roman" w:eastAsia="Times New Roman" w:hAnsi="Times New Roman"/>
          <w:sz w:val="19"/>
          <w:szCs w:val="19"/>
          <w:b w:val="1"/>
          <w:bCs w:val="1"/>
          <w:i w:val="1"/>
          <w:iCs w:val="1"/>
          <w:color w:val="auto"/>
        </w:rPr>
        <w:t>Directors</w:t>
      </w:r>
      <w:r>
        <w:rPr>
          <w:rFonts w:ascii="Times New Roman" w:cs="Times New Roman" w:eastAsia="Times New Roman" w:hAnsi="Times New Roman"/>
          <w:sz w:val="19"/>
          <w:szCs w:val="19"/>
          <w:color w:val="auto"/>
        </w:rPr>
        <w:t>”), and Designated Consultants (as defined below) of the Company, as well as family members and other persons residing with such persons, any family members subject to such persons’ control or whose transactions are directed by such persons, and entities controlled by such persons (collectively, “</w:t>
      </w:r>
      <w:r>
        <w:rPr>
          <w:rFonts w:ascii="Times New Roman" w:cs="Times New Roman" w:eastAsia="Times New Roman" w:hAnsi="Times New Roman"/>
          <w:sz w:val="19"/>
          <w:szCs w:val="19"/>
          <w:b w:val="1"/>
          <w:bCs w:val="1"/>
          <w:i w:val="1"/>
          <w:iCs w:val="1"/>
          <w:color w:val="auto"/>
        </w:rPr>
        <w:t>Covered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Persons</w:t>
      </w:r>
      <w:r>
        <w:rPr>
          <w:rFonts w:ascii="Times New Roman" w:cs="Times New Roman" w:eastAsia="Times New Roman" w:hAnsi="Times New Roman"/>
          <w:sz w:val="19"/>
          <w:szCs w:val="19"/>
          <w:color w:val="auto"/>
        </w:rPr>
        <w:t>”). The Compliance Officer may determine that certain consultants to the Company should be covered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under this Policy if they possess or could reasonably be expected to possess material non-public information (such consultants, the “</w:t>
      </w:r>
      <w:r>
        <w:rPr>
          <w:rFonts w:ascii="Times New Roman" w:cs="Times New Roman" w:eastAsia="Times New Roman" w:hAnsi="Times New Roman"/>
          <w:sz w:val="19"/>
          <w:szCs w:val="19"/>
          <w:b w:val="1"/>
          <w:bCs w:val="1"/>
          <w:i w:val="1"/>
          <w:iCs w:val="1"/>
          <w:color w:val="auto"/>
        </w:rPr>
        <w:t>Designated Consultants</w:t>
      </w:r>
      <w:r>
        <w:rPr>
          <w:rFonts w:ascii="Times New Roman" w:cs="Times New Roman" w:eastAsia="Times New Roman" w:hAnsi="Times New Roman"/>
          <w:sz w:val="19"/>
          <w:szCs w:val="19"/>
          <w:color w:val="auto"/>
        </w:rPr>
        <w:t>”). This Policy extends to all activities within and outside an individual’s duties at the Company. Each officer, employee, Director, and Designated Consultant of the Company is responsible for making sure that they comply with this Policy, and that any applicable family member, household member or entity that is controlled by them complies with this Policy. You should make all applicable family members, household members or entities controlled by you aware of the need to confer with you before they trade in securities of the Company. This Policy is to be delivered to all new officers, employees, and Directors of the Company, upon the commencement of their</w:t>
      </w:r>
    </w:p>
    <w:p>
      <w:pPr>
        <w:spacing w:after="0" w:line="60" w:lineRule="exact"/>
        <w:rPr>
          <w:sz w:val="20"/>
          <w:szCs w:val="20"/>
          <w:color w:val="auto"/>
        </w:rPr>
      </w:pPr>
    </w:p>
    <w:p>
      <w:pPr>
        <w:ind w:left="300" w:right="500"/>
        <w:spacing w:after="0" w:line="223" w:lineRule="auto"/>
        <w:rPr>
          <w:sz w:val="20"/>
          <w:szCs w:val="20"/>
          <w:color w:val="auto"/>
        </w:rPr>
      </w:pPr>
      <w:r>
        <w:rPr>
          <w:rFonts w:ascii="Times New Roman" w:cs="Times New Roman" w:eastAsia="Times New Roman" w:hAnsi="Times New Roman"/>
          <w:sz w:val="13"/>
          <w:szCs w:val="13"/>
          <w:b w:val="1"/>
          <w:bCs w:val="1"/>
          <w:color w:val="auto"/>
        </w:rPr>
        <w:t>AeroVironment, Inc. Proprietary Information</w:t>
      </w:r>
      <w:r>
        <w:rPr>
          <w:rFonts w:ascii="Times New Roman" w:cs="Times New Roman" w:eastAsia="Times New Roman" w:hAnsi="Times New Roman"/>
          <w:sz w:val="13"/>
          <w:szCs w:val="13"/>
          <w:color w:val="auto"/>
        </w:rPr>
        <w:t>. This material includes privileged or proprietary data that shall not be disclosed to any third party at any time, nor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it be duplicated or used by the recipient, in whole or in part, for any purpose other than to disseminate information provided by AeroVironment, Inc. Furthermore, this material contains trade secrets and/or commercial or financial information that is proprietary and is exempt from disclosure under the Freedom of Information Act and protected from disclosure by the Trade Secrets Act. See 5 USC 552(b)(4); 18 USC 1905.</w:t>
      </w:r>
    </w:p>
    <w:tbl>
      <w:tblPr>
        <w:tblLayout w:type="fixed"/>
        <w:tblInd w:w="220" w:type="dxa"/>
        <w:tblCellMar>
          <w:top w:w="0" w:type="dxa"/>
          <w:left w:w="0" w:type="dxa"/>
          <w:bottom w:w="0" w:type="dxa"/>
          <w:right w:w="0" w:type="dxa"/>
        </w:tblCellMar>
      </w:tblPr>
      <w:tr>
        <w:trPr>
          <w:trHeight w:val="119"/>
        </w:trPr>
        <w:tc>
          <w:tcPr>
            <w:tcW w:w="2100" w:type="dxa"/>
            <w:vAlign w:val="bottom"/>
          </w:tcPr>
          <w:p>
            <w:pPr>
              <w:spacing w:after="0"/>
              <w:rPr>
                <w:sz w:val="10"/>
                <w:szCs w:val="10"/>
                <w:color w:val="auto"/>
              </w:rPr>
            </w:pPr>
          </w:p>
        </w:tc>
        <w:tc>
          <w:tcPr>
            <w:tcW w:w="4140" w:type="dxa"/>
            <w:vAlign w:val="bottom"/>
          </w:tcPr>
          <w:p>
            <w:pPr>
              <w:jc w:val="center"/>
              <w:ind w:left="157"/>
              <w:spacing w:after="0" w:line="119" w:lineRule="exact"/>
              <w:rPr>
                <w:sz w:val="20"/>
                <w:szCs w:val="20"/>
                <w:color w:val="auto"/>
              </w:rPr>
            </w:pPr>
            <w:r>
              <w:rPr>
                <w:rFonts w:ascii="Times New Roman" w:cs="Times New Roman" w:eastAsia="Times New Roman" w:hAnsi="Times New Roman"/>
                <w:sz w:val="13"/>
                <w:szCs w:val="13"/>
                <w:b w:val="1"/>
                <w:bCs w:val="1"/>
                <w:color w:val="auto"/>
                <w:w w:val="98"/>
              </w:rPr>
              <w:t xml:space="preserve">Page </w:t>
            </w:r>
            <w:r>
              <w:rPr>
                <w:rFonts w:ascii="Times New Roman" w:cs="Times New Roman" w:eastAsia="Times New Roman" w:hAnsi="Times New Roman"/>
                <w:sz w:val="13"/>
                <w:szCs w:val="13"/>
                <w:color w:val="auto"/>
                <w:w w:val="98"/>
              </w:rPr>
              <w:t>1</w:t>
            </w: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CONFIDENTIAL</w:t>
            </w:r>
          </w:p>
        </w:tc>
        <w:tc>
          <w:tcPr>
            <w:tcW w:w="4140" w:type="dxa"/>
            <w:vAlign w:val="bottom"/>
          </w:tcPr>
          <w:p>
            <w:pPr>
              <w:jc w:val="center"/>
              <w:ind w:lef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Every user is responsible for verifying this</w:t>
            </w:r>
          </w:p>
        </w:tc>
        <w:tc>
          <w:tcPr>
            <w:tcW w:w="2340" w:type="dxa"/>
            <w:vAlign w:val="bottom"/>
            <w:vMerge w:val="restart"/>
          </w:tcPr>
          <w:p>
            <w:pPr>
              <w:ind w:left="820"/>
              <w:spacing w:after="0"/>
              <w:rPr>
                <w:sz w:val="20"/>
                <w:szCs w:val="20"/>
                <w:color w:val="auto"/>
              </w:rPr>
            </w:pPr>
            <w:r>
              <w:rPr>
                <w:rFonts w:ascii="Times New Roman" w:cs="Times New Roman" w:eastAsia="Times New Roman" w:hAnsi="Times New Roman"/>
                <w:sz w:val="13"/>
                <w:szCs w:val="13"/>
                <w:color w:val="auto"/>
              </w:rPr>
              <w:t>©2021 AeroVironment, Inc.</w:t>
            </w:r>
          </w:p>
        </w:tc>
        <w:tc>
          <w:tcPr>
            <w:tcW w:w="0" w:type="dxa"/>
            <w:vAlign w:val="bottom"/>
          </w:tcPr>
          <w:p>
            <w:pPr>
              <w:spacing w:after="0"/>
              <w:rPr>
                <w:sz w:val="1"/>
                <w:szCs w:val="1"/>
                <w:color w:val="auto"/>
              </w:rPr>
            </w:pPr>
          </w:p>
        </w:tc>
      </w:tr>
      <w:tr>
        <w:trPr>
          <w:trHeight w:val="99"/>
        </w:trPr>
        <w:tc>
          <w:tcPr>
            <w:tcW w:w="2100" w:type="dxa"/>
            <w:vAlign w:val="bottom"/>
            <w:vMerge w:val="continue"/>
          </w:tcPr>
          <w:p>
            <w:pPr>
              <w:spacing w:after="0"/>
              <w:rPr>
                <w:sz w:val="8"/>
                <w:szCs w:val="8"/>
                <w:color w:val="auto"/>
              </w:rPr>
            </w:pPr>
          </w:p>
        </w:tc>
        <w:tc>
          <w:tcPr>
            <w:tcW w:w="4140" w:type="dxa"/>
            <w:vAlign w:val="bottom"/>
            <w:vMerge w:val="restart"/>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6"/>
              </w:rPr>
              <w:t>document is current prior to use.</w:t>
            </w: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00" w:type="dxa"/>
            <w:vAlign w:val="bottom"/>
          </w:tcPr>
          <w:p>
            <w:pPr>
              <w:spacing w:after="0"/>
              <w:rPr>
                <w:sz w:val="5"/>
                <w:szCs w:val="5"/>
                <w:color w:val="auto"/>
              </w:rPr>
            </w:pPr>
          </w:p>
        </w:tc>
        <w:tc>
          <w:tcPr>
            <w:tcW w:w="4140" w:type="dxa"/>
            <w:vAlign w:val="bottom"/>
            <w:vMerge w:val="continue"/>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3"/>
        </w:trPr>
        <w:tc>
          <w:tcPr>
            <w:tcW w:w="2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114" w:right="141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6"/>
          <w:szCs w:val="16"/>
          <w:b w:val="1"/>
          <w:bCs w:val="1"/>
          <w:color w:val="1C355E"/>
        </w:rPr>
        <w:t>BMSD-41 rev.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5760720" cy="9086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0">
                      <a:extLst>
                        <a:ext uri="{28A0092B-C50C-407E-A947-70E740481C1C}"/>
                      </a:extLst>
                    </a:blip>
                    <a:srcRect/>
                    <a:stretch>
                      <a:fillRect/>
                    </a:stretch>
                  </pic:blipFill>
                  <pic:spPr bwMode="auto">
                    <a:xfrm>
                      <a:off x="0" y="0"/>
                      <a:ext cx="5760720" cy="908685"/>
                    </a:xfrm>
                    <a:prstGeom prst="rect">
                      <a:avLst/>
                    </a:prstGeom>
                    <a:noFill/>
                  </pic:spPr>
                </pic:pic>
              </a:graphicData>
            </a:graphic>
          </wp:anchor>
        </w:drawing>
      </w:r>
    </w:p>
    <w:p>
      <w:pPr>
        <w:spacing w:after="0" w:line="9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1C355E"/>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0" w:right="700"/>
        <w:spacing w:after="0" w:line="269" w:lineRule="auto"/>
        <w:rPr>
          <w:sz w:val="20"/>
          <w:szCs w:val="20"/>
          <w:color w:val="auto"/>
        </w:rPr>
      </w:pPr>
      <w:r>
        <w:rPr>
          <w:rFonts w:ascii="Times New Roman" w:cs="Times New Roman" w:eastAsia="Times New Roman" w:hAnsi="Times New Roman"/>
          <w:sz w:val="20"/>
          <w:szCs w:val="20"/>
          <w:color w:val="auto"/>
        </w:rPr>
        <w:t>relationships with the Company, and to Designated Consultants upon their designation as a Designated Consultant by the Compliance Officer.</w:t>
      </w:r>
    </w:p>
    <w:p>
      <w:pPr>
        <w:spacing w:after="0" w:line="159" w:lineRule="exact"/>
        <w:rPr>
          <w:sz w:val="20"/>
          <w:szCs w:val="20"/>
          <w:color w:val="auto"/>
        </w:rPr>
      </w:pPr>
    </w:p>
    <w:p>
      <w:pPr>
        <w:ind w:left="200" w:right="320" w:firstLine="648"/>
        <w:spacing w:after="0" w:line="243" w:lineRule="auto"/>
        <w:rPr>
          <w:sz w:val="20"/>
          <w:szCs w:val="20"/>
          <w:color w:val="auto"/>
        </w:rPr>
      </w:pPr>
      <w:r>
        <w:rPr>
          <w:rFonts w:ascii="Times New Roman" w:cs="Times New Roman" w:eastAsia="Times New Roman" w:hAnsi="Times New Roman"/>
          <w:sz w:val="20"/>
          <w:szCs w:val="20"/>
          <w:color w:val="auto"/>
        </w:rPr>
        <w:t>The policies and prohibitions contained in this Policy will continue to apply to the officer, Director, employee or Designated Consultant after the termination of their employment or service with the Company for so long as they are in possession of material non-public information about the Company. If an individual is in possession of material non-public information about the Company or any company with which the Company conducts business when their service terminates, that individual may not trade in any securities of the company to which such information relates until such information becomes public or is no longer material. See Section IV below for more information on what constitutes “material non-public information.”</w:t>
      </w:r>
    </w:p>
    <w:p>
      <w:pPr>
        <w:spacing w:after="0" w:line="189" w:lineRule="exact"/>
        <w:rPr>
          <w:sz w:val="20"/>
          <w:szCs w:val="20"/>
          <w:color w:val="auto"/>
        </w:rPr>
      </w:pPr>
    </w:p>
    <w:p>
      <w:pPr>
        <w:ind w:left="200" w:right="300" w:firstLine="648"/>
        <w:spacing w:after="0" w:line="260" w:lineRule="auto"/>
        <w:rPr>
          <w:sz w:val="20"/>
          <w:szCs w:val="20"/>
          <w:color w:val="auto"/>
        </w:rPr>
      </w:pPr>
      <w:r>
        <w:rPr>
          <w:rFonts w:ascii="Times New Roman" w:cs="Times New Roman" w:eastAsia="Times New Roman" w:hAnsi="Times New Roman"/>
          <w:sz w:val="19"/>
          <w:szCs w:val="19"/>
          <w:color w:val="auto"/>
        </w:rPr>
        <w:t>Persons subject to this Policy have ethical and legal obligations to maintain the confidentiality of material non-public information about the Company and not to engage in transactions in the Company’s securities while in possession of material non-public information. In all cases, the responsibility for determining whether a person is in possession of material non-public information rests with that individual, any action or inaction on the part of the Company, the Compliance Officer or any other employee or Director does not in any way constitute legal advice or insulate an individual from liability under applicable securities laws.</w:t>
      </w:r>
    </w:p>
    <w:p>
      <w:pPr>
        <w:spacing w:after="0" w:line="169" w:lineRule="exact"/>
        <w:rPr>
          <w:sz w:val="20"/>
          <w:szCs w:val="20"/>
          <w:color w:val="auto"/>
        </w:rPr>
      </w:pPr>
    </w:p>
    <w:p>
      <w:pPr>
        <w:ind w:left="860" w:hanging="651"/>
        <w:spacing w:after="0"/>
        <w:tabs>
          <w:tab w:leader="none" w:pos="860"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OFFICER</w:t>
      </w:r>
    </w:p>
    <w:p>
      <w:pPr>
        <w:spacing w:after="0" w:line="220" w:lineRule="exact"/>
        <w:rPr>
          <w:sz w:val="20"/>
          <w:szCs w:val="20"/>
          <w:color w:val="auto"/>
        </w:rPr>
      </w:pPr>
    </w:p>
    <w:p>
      <w:pPr>
        <w:ind w:left="200" w:right="340" w:firstLine="648"/>
        <w:spacing w:after="0" w:line="245" w:lineRule="auto"/>
        <w:rPr>
          <w:sz w:val="20"/>
          <w:szCs w:val="20"/>
          <w:color w:val="auto"/>
        </w:rPr>
      </w:pPr>
      <w:r>
        <w:rPr>
          <w:rFonts w:ascii="Times New Roman" w:cs="Times New Roman" w:eastAsia="Times New Roman" w:hAnsi="Times New Roman"/>
          <w:sz w:val="20"/>
          <w:szCs w:val="20"/>
          <w:color w:val="auto"/>
        </w:rPr>
        <w:t>AeroVironment’s General Counsel (or an employee designated by the General Counsel) shall serve as the Compliance Officer under this Policy (the “</w:t>
      </w:r>
      <w:r>
        <w:rPr>
          <w:rFonts w:ascii="Times New Roman" w:cs="Times New Roman" w:eastAsia="Times New Roman" w:hAnsi="Times New Roman"/>
          <w:sz w:val="20"/>
          <w:szCs w:val="20"/>
          <w:b w:val="1"/>
          <w:bCs w:val="1"/>
          <w:i w:val="1"/>
          <w:iCs w:val="1"/>
          <w:color w:val="auto"/>
        </w:rPr>
        <w:t>Compliance Officer</w:t>
      </w:r>
      <w:r>
        <w:rPr>
          <w:rFonts w:ascii="Times New Roman" w:cs="Times New Roman" w:eastAsia="Times New Roman" w:hAnsi="Times New Roman"/>
          <w:sz w:val="20"/>
          <w:szCs w:val="20"/>
          <w:color w:val="auto"/>
        </w:rPr>
        <w:t>”). The Compliance Officer shall be responsible for administering this Policy and monitoring and enforcing compliance with this Policy. All determinations and interpretations by the Compliance Officer shall be final and not subject to further review. Questions regarding this Policy or the application of the Policy to any proposed transaction should be directed to the Compliance Officer.</w:t>
      </w:r>
    </w:p>
    <w:p>
      <w:pPr>
        <w:spacing w:after="0" w:line="180"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20"/>
          <w:szCs w:val="20"/>
          <w:b w:val="1"/>
          <w:bCs w:val="1"/>
          <w:color w:val="auto"/>
        </w:rPr>
        <w:t>DEFINITIONS</w:t>
      </w:r>
    </w:p>
    <w:p>
      <w:pPr>
        <w:spacing w:after="0" w:line="216" w:lineRule="exact"/>
        <w:rPr>
          <w:sz w:val="20"/>
          <w:szCs w:val="20"/>
          <w:color w:val="auto"/>
        </w:rPr>
      </w:pPr>
    </w:p>
    <w:p>
      <w:pPr>
        <w:ind w:left="200" w:right="920" w:firstLine="648"/>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Securities</w:t>
      </w:r>
      <w:r>
        <w:rPr>
          <w:rFonts w:ascii="Times New Roman" w:cs="Times New Roman" w:eastAsia="Times New Roman" w:hAnsi="Times New Roman"/>
          <w:sz w:val="20"/>
          <w:szCs w:val="20"/>
          <w:color w:val="auto"/>
        </w:rPr>
        <w:t>. “Securities” include not only stocks, bonds, notes and debentures, but also options,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warrants and similar instruments.</w:t>
      </w:r>
    </w:p>
    <w:p>
      <w:pPr>
        <w:spacing w:after="0" w:line="152" w:lineRule="exact"/>
        <w:rPr>
          <w:sz w:val="20"/>
          <w:szCs w:val="20"/>
          <w:color w:val="auto"/>
        </w:rPr>
      </w:pPr>
    </w:p>
    <w:p>
      <w:pPr>
        <w:ind w:left="200" w:right="260" w:firstLine="648"/>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Purchase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i w:val="1"/>
          <w:iCs w:val="1"/>
          <w:color w:val="auto"/>
        </w:rPr>
        <w:t xml:space="preserve"> sale. </w:t>
      </w:r>
      <w:r>
        <w:rPr>
          <w:rFonts w:ascii="Times New Roman" w:cs="Times New Roman" w:eastAsia="Times New Roman" w:hAnsi="Times New Roman"/>
          <w:sz w:val="20"/>
          <w:szCs w:val="20"/>
          <w:color w:val="auto"/>
        </w:rPr>
        <w:t>“Purchase” and “sale” are defined broadly under the federal securities laws.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conversions, the grant and exercise of stock options and acquisitions and exercises of warrants or puts, calls or other options related to a security.</w:t>
      </w:r>
    </w:p>
    <w:p>
      <w:pPr>
        <w:spacing w:after="0" w:line="179" w:lineRule="exact"/>
        <w:rPr>
          <w:sz w:val="20"/>
          <w:szCs w:val="20"/>
          <w:color w:val="auto"/>
        </w:rPr>
      </w:pPr>
    </w:p>
    <w:p>
      <w:pPr>
        <w:ind w:left="200" w:right="280" w:firstLine="648"/>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Insiders</w:t>
      </w:r>
      <w:r>
        <w:rPr>
          <w:rFonts w:ascii="Times New Roman" w:cs="Times New Roman" w:eastAsia="Times New Roman" w:hAnsi="Times New Roman"/>
          <w:sz w:val="20"/>
          <w:szCs w:val="20"/>
          <w:color w:val="auto"/>
        </w:rPr>
        <w:t>. “Insiders” include officers, directors, and employees of a company and anyone else who has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material non-public information about a company. Consultants who possess or could reasonably be expected to possess material non-public information can also be considered insiders. Insiders have independent fiduciary duties to their company and its stockholders not to trade on material non-public information relating to the company’s securities. All officers, Directors, employees, and Designated</w:t>
      </w:r>
    </w:p>
    <w:p>
      <w:pPr>
        <w:spacing w:after="0" w:line="65" w:lineRule="exact"/>
        <w:rPr>
          <w:sz w:val="20"/>
          <w:szCs w:val="20"/>
          <w:color w:val="auto"/>
        </w:rPr>
      </w:pPr>
    </w:p>
    <w:p>
      <w:pPr>
        <w:ind w:left="300" w:right="500"/>
        <w:spacing w:after="0" w:line="223" w:lineRule="auto"/>
        <w:rPr>
          <w:sz w:val="20"/>
          <w:szCs w:val="20"/>
          <w:color w:val="auto"/>
        </w:rPr>
      </w:pPr>
      <w:r>
        <w:rPr>
          <w:rFonts w:ascii="Times New Roman" w:cs="Times New Roman" w:eastAsia="Times New Roman" w:hAnsi="Times New Roman"/>
          <w:sz w:val="13"/>
          <w:szCs w:val="13"/>
          <w:b w:val="1"/>
          <w:bCs w:val="1"/>
          <w:color w:val="auto"/>
        </w:rPr>
        <w:t>AeroVironment, Inc. Proprietary Information</w:t>
      </w:r>
      <w:r>
        <w:rPr>
          <w:rFonts w:ascii="Times New Roman" w:cs="Times New Roman" w:eastAsia="Times New Roman" w:hAnsi="Times New Roman"/>
          <w:sz w:val="13"/>
          <w:szCs w:val="13"/>
          <w:color w:val="auto"/>
        </w:rPr>
        <w:t>. This material includes privileged or proprietary data that shall not be disclosed to any third party at any time, nor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it be duplicated or used by the recipient, in whole or in part, for any purpose other than to disseminate information provided by AeroVironment, Inc. Furthermore, this material contains trade secrets and/or commercial or financial information that is proprietary and is exempt from disclosure under the Freedom of Information Act and protected from disclosure by the Trade Secrets Act. See 5 USC 552(b)(4); 18 USC 1905.</w:t>
      </w:r>
    </w:p>
    <w:tbl>
      <w:tblPr>
        <w:tblLayout w:type="fixed"/>
        <w:tblInd w:w="220" w:type="dxa"/>
        <w:tblCellMar>
          <w:top w:w="0" w:type="dxa"/>
          <w:left w:w="0" w:type="dxa"/>
          <w:bottom w:w="0" w:type="dxa"/>
          <w:right w:w="0" w:type="dxa"/>
        </w:tblCellMar>
      </w:tblPr>
      <w:tr>
        <w:trPr>
          <w:trHeight w:val="119"/>
        </w:trPr>
        <w:tc>
          <w:tcPr>
            <w:tcW w:w="2100" w:type="dxa"/>
            <w:vAlign w:val="bottom"/>
          </w:tcPr>
          <w:p>
            <w:pPr>
              <w:spacing w:after="0"/>
              <w:rPr>
                <w:sz w:val="10"/>
                <w:szCs w:val="10"/>
                <w:color w:val="auto"/>
              </w:rPr>
            </w:pPr>
          </w:p>
        </w:tc>
        <w:tc>
          <w:tcPr>
            <w:tcW w:w="4140" w:type="dxa"/>
            <w:vAlign w:val="bottom"/>
          </w:tcPr>
          <w:p>
            <w:pPr>
              <w:jc w:val="center"/>
              <w:ind w:left="157"/>
              <w:spacing w:after="0" w:line="119" w:lineRule="exact"/>
              <w:rPr>
                <w:sz w:val="20"/>
                <w:szCs w:val="20"/>
                <w:color w:val="auto"/>
              </w:rPr>
            </w:pPr>
            <w:r>
              <w:rPr>
                <w:rFonts w:ascii="Times New Roman" w:cs="Times New Roman" w:eastAsia="Times New Roman" w:hAnsi="Times New Roman"/>
                <w:sz w:val="13"/>
                <w:szCs w:val="13"/>
                <w:b w:val="1"/>
                <w:bCs w:val="1"/>
                <w:color w:val="auto"/>
                <w:w w:val="95"/>
              </w:rPr>
              <w:t xml:space="preserve">Page </w:t>
            </w:r>
            <w:r>
              <w:rPr>
                <w:rFonts w:ascii="Times New Roman" w:cs="Times New Roman" w:eastAsia="Times New Roman" w:hAnsi="Times New Roman"/>
                <w:sz w:val="13"/>
                <w:szCs w:val="13"/>
                <w:color w:val="auto"/>
                <w:w w:val="95"/>
              </w:rPr>
              <w:t>2</w:t>
            </w:r>
            <w:r>
              <w:rPr>
                <w:rFonts w:ascii="Times New Roman" w:cs="Times New Roman" w:eastAsia="Times New Roman" w:hAnsi="Times New Roman"/>
                <w:sz w:val="13"/>
                <w:szCs w:val="13"/>
                <w:b w:val="1"/>
                <w:bCs w:val="1"/>
                <w:color w:val="auto"/>
                <w:w w:val="95"/>
              </w:rPr>
              <w:t xml:space="preserve"> of 12</w:t>
            </w: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CONFIDENTIAL</w:t>
            </w:r>
          </w:p>
        </w:tc>
        <w:tc>
          <w:tcPr>
            <w:tcW w:w="4140" w:type="dxa"/>
            <w:vAlign w:val="bottom"/>
          </w:tcPr>
          <w:p>
            <w:pPr>
              <w:jc w:val="center"/>
              <w:ind w:lef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Every user is responsible for verifying this</w:t>
            </w:r>
          </w:p>
        </w:tc>
        <w:tc>
          <w:tcPr>
            <w:tcW w:w="2340" w:type="dxa"/>
            <w:vAlign w:val="bottom"/>
            <w:vMerge w:val="restart"/>
          </w:tcPr>
          <w:p>
            <w:pPr>
              <w:ind w:left="820"/>
              <w:spacing w:after="0"/>
              <w:rPr>
                <w:sz w:val="20"/>
                <w:szCs w:val="20"/>
                <w:color w:val="auto"/>
              </w:rPr>
            </w:pPr>
            <w:r>
              <w:rPr>
                <w:rFonts w:ascii="Times New Roman" w:cs="Times New Roman" w:eastAsia="Times New Roman" w:hAnsi="Times New Roman"/>
                <w:sz w:val="13"/>
                <w:szCs w:val="13"/>
                <w:color w:val="auto"/>
              </w:rPr>
              <w:t>©2021 AeroVironment, Inc.</w:t>
            </w:r>
          </w:p>
        </w:tc>
        <w:tc>
          <w:tcPr>
            <w:tcW w:w="0" w:type="dxa"/>
            <w:vAlign w:val="bottom"/>
          </w:tcPr>
          <w:p>
            <w:pPr>
              <w:spacing w:after="0"/>
              <w:rPr>
                <w:sz w:val="1"/>
                <w:szCs w:val="1"/>
                <w:color w:val="auto"/>
              </w:rPr>
            </w:pPr>
          </w:p>
        </w:tc>
      </w:tr>
      <w:tr>
        <w:trPr>
          <w:trHeight w:val="99"/>
        </w:trPr>
        <w:tc>
          <w:tcPr>
            <w:tcW w:w="2100" w:type="dxa"/>
            <w:vAlign w:val="bottom"/>
            <w:vMerge w:val="continue"/>
          </w:tcPr>
          <w:p>
            <w:pPr>
              <w:spacing w:after="0"/>
              <w:rPr>
                <w:sz w:val="8"/>
                <w:szCs w:val="8"/>
                <w:color w:val="auto"/>
              </w:rPr>
            </w:pPr>
          </w:p>
        </w:tc>
        <w:tc>
          <w:tcPr>
            <w:tcW w:w="4140" w:type="dxa"/>
            <w:vAlign w:val="bottom"/>
            <w:vMerge w:val="restart"/>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6"/>
              </w:rPr>
              <w:t>document is current prior to use.</w:t>
            </w: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00" w:type="dxa"/>
            <w:vAlign w:val="bottom"/>
          </w:tcPr>
          <w:p>
            <w:pPr>
              <w:spacing w:after="0"/>
              <w:rPr>
                <w:sz w:val="5"/>
                <w:szCs w:val="5"/>
                <w:color w:val="auto"/>
              </w:rPr>
            </w:pPr>
          </w:p>
        </w:tc>
        <w:tc>
          <w:tcPr>
            <w:tcW w:w="4140" w:type="dxa"/>
            <w:vAlign w:val="bottom"/>
            <w:vMerge w:val="continue"/>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3"/>
        </w:trPr>
        <w:tc>
          <w:tcPr>
            <w:tcW w:w="2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515" w:right="141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6"/>
          <w:szCs w:val="16"/>
          <w:b w:val="1"/>
          <w:bCs w:val="1"/>
          <w:color w:val="1C355E"/>
        </w:rPr>
        <w:t>BMSD-41 rev.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5760720" cy="9086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1">
                      <a:extLst>
                        <a:ext uri="{28A0092B-C50C-407E-A947-70E740481C1C}"/>
                      </a:extLst>
                    </a:blip>
                    <a:srcRect/>
                    <a:stretch>
                      <a:fillRect/>
                    </a:stretch>
                  </pic:blipFill>
                  <pic:spPr bwMode="auto">
                    <a:xfrm>
                      <a:off x="0" y="0"/>
                      <a:ext cx="5760720" cy="908685"/>
                    </a:xfrm>
                    <a:prstGeom prst="rect">
                      <a:avLst/>
                    </a:prstGeom>
                    <a:noFill/>
                  </pic:spPr>
                </pic:pic>
              </a:graphicData>
            </a:graphic>
          </wp:anchor>
        </w:drawing>
      </w:r>
    </w:p>
    <w:p>
      <w:pPr>
        <w:spacing w:after="0" w:line="9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1C355E"/>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0" w:right="280"/>
        <w:spacing w:after="0" w:line="246" w:lineRule="auto"/>
        <w:rPr>
          <w:sz w:val="20"/>
          <w:szCs w:val="20"/>
          <w:color w:val="auto"/>
        </w:rPr>
      </w:pPr>
      <w:r>
        <w:rPr>
          <w:rFonts w:ascii="Times New Roman" w:cs="Times New Roman" w:eastAsia="Times New Roman" w:hAnsi="Times New Roman"/>
          <w:sz w:val="20"/>
          <w:szCs w:val="20"/>
          <w:color w:val="auto"/>
        </w:rPr>
        <w:t>Consultants of the Company should consider themselves insiders with respect to material non-public information about the Company’s business, activities and securities. A person can be considered an insider for a limited period time with respect to certain material non-public information even though they are not an officer or Director. For example, an assistant who knows that an acquisition is about to occur may be regarded as an insider with respect to that information until news of such acquisition becomes public.</w:t>
      </w:r>
    </w:p>
    <w:p>
      <w:pPr>
        <w:spacing w:after="0" w:line="181" w:lineRule="exact"/>
        <w:rPr>
          <w:sz w:val="20"/>
          <w:szCs w:val="20"/>
          <w:color w:val="auto"/>
        </w:rPr>
      </w:pPr>
    </w:p>
    <w:p>
      <w:pPr>
        <w:ind w:left="200" w:right="640" w:firstLine="648"/>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Insider trading. </w:t>
      </w:r>
      <w:r>
        <w:rPr>
          <w:rFonts w:ascii="Times New Roman" w:cs="Times New Roman" w:eastAsia="Times New Roman" w:hAnsi="Times New Roman"/>
          <w:sz w:val="20"/>
          <w:szCs w:val="20"/>
          <w:color w:val="auto"/>
        </w:rPr>
        <w:t>“Insider trading” refers to the purchase or sale of a security while in possession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“material non-public information” relating to the issuer of that security.</w:t>
      </w:r>
    </w:p>
    <w:p>
      <w:pPr>
        <w:spacing w:after="0" w:line="15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It is generally understood that insider trading includes the following:</w:t>
      </w:r>
    </w:p>
    <w:p>
      <w:pPr>
        <w:spacing w:after="0" w:line="216" w:lineRule="exact"/>
        <w:rPr>
          <w:sz w:val="20"/>
          <w:szCs w:val="20"/>
          <w:color w:val="auto"/>
        </w:rPr>
      </w:pPr>
    </w:p>
    <w:p>
      <w:pPr>
        <w:ind w:left="1180" w:hanging="323"/>
        <w:spacing w:after="0"/>
        <w:tabs>
          <w:tab w:leader="none" w:pos="11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by insiders while in possession of material non-public information;</w:t>
      </w:r>
    </w:p>
    <w:p>
      <w:pPr>
        <w:spacing w:after="0" w:line="215" w:lineRule="exact"/>
        <w:rPr>
          <w:rFonts w:ascii="Times New Roman" w:cs="Times New Roman" w:eastAsia="Times New Roman" w:hAnsi="Times New Roman"/>
          <w:sz w:val="20"/>
          <w:szCs w:val="20"/>
          <w:color w:val="auto"/>
        </w:rPr>
      </w:pPr>
    </w:p>
    <w:p>
      <w:pPr>
        <w:ind w:left="1180" w:right="680" w:hanging="323"/>
        <w:spacing w:after="0" w:line="254" w:lineRule="auto"/>
        <w:tabs>
          <w:tab w:leader="none" w:pos="11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by persons other than insiders while in possession of material non-public information where the information either was given in breach of an insider’s fiduciary duty to keep it confidential or was misappropriated; or</w:t>
      </w:r>
    </w:p>
    <w:p>
      <w:pPr>
        <w:spacing w:after="0" w:line="174" w:lineRule="exact"/>
        <w:rPr>
          <w:rFonts w:ascii="Times New Roman" w:cs="Times New Roman" w:eastAsia="Times New Roman" w:hAnsi="Times New Roman"/>
          <w:sz w:val="20"/>
          <w:szCs w:val="20"/>
          <w:color w:val="auto"/>
        </w:rPr>
      </w:pPr>
    </w:p>
    <w:p>
      <w:pPr>
        <w:ind w:left="1180" w:right="420" w:hanging="323"/>
        <w:spacing w:after="0" w:line="269" w:lineRule="auto"/>
        <w:tabs>
          <w:tab w:leader="none" w:pos="118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Communicating or “tipping” material non-public information to others, including recommending the purchase or sale of a security while in possession of such information.</w:t>
      </w:r>
    </w:p>
    <w:p>
      <w:pPr>
        <w:spacing w:after="0" w:line="15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i w:val="1"/>
          <w:iCs w:val="1"/>
          <w:color w:val="auto"/>
        </w:rPr>
        <w:t>Tipping</w:t>
      </w:r>
    </w:p>
    <w:p>
      <w:pPr>
        <w:spacing w:after="0" w:line="220" w:lineRule="exact"/>
        <w:rPr>
          <w:sz w:val="20"/>
          <w:szCs w:val="20"/>
          <w:color w:val="auto"/>
        </w:rPr>
      </w:pPr>
    </w:p>
    <w:p>
      <w:pPr>
        <w:jc w:val="both"/>
        <w:ind w:left="200" w:right="500" w:firstLine="648"/>
        <w:spacing w:after="0" w:line="266" w:lineRule="auto"/>
        <w:rPr>
          <w:sz w:val="20"/>
          <w:szCs w:val="20"/>
          <w:color w:val="auto"/>
        </w:rPr>
      </w:pPr>
      <w:r>
        <w:rPr>
          <w:rFonts w:ascii="Times New Roman" w:cs="Times New Roman" w:eastAsia="Times New Roman" w:hAnsi="Times New Roman"/>
          <w:sz w:val="19"/>
          <w:szCs w:val="19"/>
          <w:color w:val="auto"/>
        </w:rPr>
        <w:t>Insiders may be liable for communicating or tipping material non-public information to a third party (“</w:t>
      </w:r>
      <w:r>
        <w:rPr>
          <w:rFonts w:ascii="Times New Roman" w:cs="Times New Roman" w:eastAsia="Times New Roman" w:hAnsi="Times New Roman"/>
          <w:sz w:val="19"/>
          <w:szCs w:val="19"/>
          <w:b w:val="1"/>
          <w:bCs w:val="1"/>
          <w:i w:val="1"/>
          <w:iCs w:val="1"/>
          <w:color w:val="auto"/>
        </w:rPr>
        <w:t>tippee</w:t>
      </w:r>
      <w:r>
        <w:rPr>
          <w:rFonts w:ascii="Times New Roman" w:cs="Times New Roman" w:eastAsia="Times New Roman" w:hAnsi="Times New Roman"/>
          <w:sz w:val="19"/>
          <w:szCs w:val="19"/>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which has been misappropriated.</w:t>
      </w:r>
    </w:p>
    <w:p>
      <w:pPr>
        <w:spacing w:after="0" w:line="165" w:lineRule="exact"/>
        <w:rPr>
          <w:sz w:val="20"/>
          <w:szCs w:val="20"/>
          <w:color w:val="auto"/>
        </w:rPr>
      </w:pPr>
    </w:p>
    <w:p>
      <w:pPr>
        <w:ind w:left="200" w:right="260" w:firstLine="648"/>
        <w:spacing w:after="0" w:line="263" w:lineRule="auto"/>
        <w:rPr>
          <w:sz w:val="20"/>
          <w:szCs w:val="20"/>
          <w:color w:val="auto"/>
        </w:rPr>
      </w:pPr>
      <w:r>
        <w:rPr>
          <w:rFonts w:ascii="Times New Roman" w:cs="Times New Roman" w:eastAsia="Times New Roman" w:hAnsi="Times New Roman"/>
          <w:sz w:val="19"/>
          <w:szCs w:val="19"/>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i w:val="1"/>
          <w:iCs w:val="1"/>
          <w:color w:val="auto"/>
        </w:rPr>
        <w:t>Material Non-Public Information.</w:t>
      </w:r>
    </w:p>
    <w:p>
      <w:pPr>
        <w:spacing w:after="0" w:line="220" w:lineRule="exact"/>
        <w:rPr>
          <w:sz w:val="20"/>
          <w:szCs w:val="20"/>
          <w:color w:val="auto"/>
        </w:rPr>
      </w:pPr>
    </w:p>
    <w:p>
      <w:pPr>
        <w:ind w:left="200" w:right="260" w:firstLine="648"/>
        <w:spacing w:after="0" w:line="243" w:lineRule="auto"/>
        <w:rPr>
          <w:sz w:val="20"/>
          <w:szCs w:val="20"/>
          <w:color w:val="auto"/>
        </w:rPr>
      </w:pPr>
      <w:r>
        <w:rPr>
          <w:rFonts w:ascii="Times New Roman" w:cs="Times New Roman" w:eastAsia="Times New Roman" w:hAnsi="Times New Roman"/>
          <w:sz w:val="20"/>
          <w:szCs w:val="20"/>
          <w:u w:val="single" w:color="auto"/>
          <w:color w:val="auto"/>
        </w:rPr>
        <w:t>Material Information</w:t>
      </w:r>
      <w:r>
        <w:rPr>
          <w:rFonts w:ascii="Times New Roman" w:cs="Times New Roman" w:eastAsia="Times New Roman" w:hAnsi="Times New Roman"/>
          <w:sz w:val="20"/>
          <w:szCs w:val="20"/>
          <w:color w:val="auto"/>
        </w:rPr>
        <w:t>. Information is considered “material” if there is a substantial likelihood that a reasonable investor would consider it important in making a decision to buy, sell or hold a security or where the information is likely to have a significant effect on the market price of the security. Material information can be positive or negative and can relate to virtually any aspect of a company’s business or to any type of security, debt or equity. There is no bright-line standard for assessing materiality of information; rather, materiality is based on an assessment of all facts and circumstances, and is often evaluated by enforcement authorities with the benefit of hindsight. Moreover, material information does not have to be related to a company’s business. For example, the contents of a forthcoming newspaper column that is expected to affect the market price of a security can be material.</w:t>
      </w:r>
    </w:p>
    <w:p>
      <w:pPr>
        <w:spacing w:after="0" w:line="283" w:lineRule="exact"/>
        <w:rPr>
          <w:sz w:val="20"/>
          <w:szCs w:val="20"/>
          <w:color w:val="auto"/>
        </w:rPr>
      </w:pPr>
    </w:p>
    <w:p>
      <w:pPr>
        <w:ind w:left="300" w:right="500"/>
        <w:spacing w:after="0" w:line="223" w:lineRule="auto"/>
        <w:rPr>
          <w:sz w:val="20"/>
          <w:szCs w:val="20"/>
          <w:color w:val="auto"/>
        </w:rPr>
      </w:pPr>
      <w:r>
        <w:rPr>
          <w:rFonts w:ascii="Times New Roman" w:cs="Times New Roman" w:eastAsia="Times New Roman" w:hAnsi="Times New Roman"/>
          <w:sz w:val="13"/>
          <w:szCs w:val="13"/>
          <w:b w:val="1"/>
          <w:bCs w:val="1"/>
          <w:color w:val="auto"/>
        </w:rPr>
        <w:t>AeroVironment, Inc. Proprietary Information</w:t>
      </w:r>
      <w:r>
        <w:rPr>
          <w:rFonts w:ascii="Times New Roman" w:cs="Times New Roman" w:eastAsia="Times New Roman" w:hAnsi="Times New Roman"/>
          <w:sz w:val="13"/>
          <w:szCs w:val="13"/>
          <w:color w:val="auto"/>
        </w:rPr>
        <w:t>. This material includes privileged or proprietary data that shall not be disclosed to any third party at any time, nor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it be duplicated or used by the recipient, in whole or in part, for any purpose other than to disseminate information provided by AeroVironment, Inc. Furthermore, this material contains trade secrets and/or commercial or financial information that is proprietary and is exempt from disclosure under the Freedom of Information Act and protected from disclosure by the Trade Secrets Act. See 5 USC 552(b)(4); 18 USC 1905.</w:t>
      </w:r>
    </w:p>
    <w:tbl>
      <w:tblPr>
        <w:tblLayout w:type="fixed"/>
        <w:tblInd w:w="220" w:type="dxa"/>
        <w:tblCellMar>
          <w:top w:w="0" w:type="dxa"/>
          <w:left w:w="0" w:type="dxa"/>
          <w:bottom w:w="0" w:type="dxa"/>
          <w:right w:w="0" w:type="dxa"/>
        </w:tblCellMar>
      </w:tblPr>
      <w:tr>
        <w:trPr>
          <w:trHeight w:val="119"/>
        </w:trPr>
        <w:tc>
          <w:tcPr>
            <w:tcW w:w="2100" w:type="dxa"/>
            <w:vAlign w:val="bottom"/>
          </w:tcPr>
          <w:p>
            <w:pPr>
              <w:spacing w:after="0"/>
              <w:rPr>
                <w:sz w:val="10"/>
                <w:szCs w:val="10"/>
                <w:color w:val="auto"/>
              </w:rPr>
            </w:pPr>
          </w:p>
        </w:tc>
        <w:tc>
          <w:tcPr>
            <w:tcW w:w="4140" w:type="dxa"/>
            <w:vAlign w:val="bottom"/>
          </w:tcPr>
          <w:p>
            <w:pPr>
              <w:jc w:val="center"/>
              <w:ind w:left="157"/>
              <w:spacing w:after="0" w:line="119" w:lineRule="exact"/>
              <w:rPr>
                <w:sz w:val="20"/>
                <w:szCs w:val="20"/>
                <w:color w:val="auto"/>
              </w:rPr>
            </w:pPr>
            <w:r>
              <w:rPr>
                <w:rFonts w:ascii="Times New Roman" w:cs="Times New Roman" w:eastAsia="Times New Roman" w:hAnsi="Times New Roman"/>
                <w:sz w:val="13"/>
                <w:szCs w:val="13"/>
                <w:b w:val="1"/>
                <w:bCs w:val="1"/>
                <w:color w:val="auto"/>
                <w:w w:val="95"/>
              </w:rPr>
              <w:t xml:space="preserve">Page </w:t>
            </w:r>
            <w:r>
              <w:rPr>
                <w:rFonts w:ascii="Times New Roman" w:cs="Times New Roman" w:eastAsia="Times New Roman" w:hAnsi="Times New Roman"/>
                <w:sz w:val="13"/>
                <w:szCs w:val="13"/>
                <w:color w:val="auto"/>
                <w:w w:val="95"/>
              </w:rPr>
              <w:t>3</w:t>
            </w:r>
            <w:r>
              <w:rPr>
                <w:rFonts w:ascii="Times New Roman" w:cs="Times New Roman" w:eastAsia="Times New Roman" w:hAnsi="Times New Roman"/>
                <w:sz w:val="13"/>
                <w:szCs w:val="13"/>
                <w:b w:val="1"/>
                <w:bCs w:val="1"/>
                <w:color w:val="auto"/>
                <w:w w:val="95"/>
              </w:rPr>
              <w:t xml:space="preserve"> of 12</w:t>
            </w: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CONFIDENTIAL</w:t>
            </w:r>
          </w:p>
        </w:tc>
        <w:tc>
          <w:tcPr>
            <w:tcW w:w="4140" w:type="dxa"/>
            <w:vAlign w:val="bottom"/>
          </w:tcPr>
          <w:p>
            <w:pPr>
              <w:jc w:val="center"/>
              <w:ind w:lef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Every user is responsible for verifying this</w:t>
            </w:r>
          </w:p>
        </w:tc>
        <w:tc>
          <w:tcPr>
            <w:tcW w:w="2340" w:type="dxa"/>
            <w:vAlign w:val="bottom"/>
            <w:vMerge w:val="restart"/>
          </w:tcPr>
          <w:p>
            <w:pPr>
              <w:ind w:left="820"/>
              <w:spacing w:after="0"/>
              <w:rPr>
                <w:sz w:val="20"/>
                <w:szCs w:val="20"/>
                <w:color w:val="auto"/>
              </w:rPr>
            </w:pPr>
            <w:r>
              <w:rPr>
                <w:rFonts w:ascii="Times New Roman" w:cs="Times New Roman" w:eastAsia="Times New Roman" w:hAnsi="Times New Roman"/>
                <w:sz w:val="13"/>
                <w:szCs w:val="13"/>
                <w:color w:val="auto"/>
              </w:rPr>
              <w:t>©2021 AeroVironment, Inc.</w:t>
            </w:r>
          </w:p>
        </w:tc>
        <w:tc>
          <w:tcPr>
            <w:tcW w:w="0" w:type="dxa"/>
            <w:vAlign w:val="bottom"/>
          </w:tcPr>
          <w:p>
            <w:pPr>
              <w:spacing w:after="0"/>
              <w:rPr>
                <w:sz w:val="1"/>
                <w:szCs w:val="1"/>
                <w:color w:val="auto"/>
              </w:rPr>
            </w:pPr>
          </w:p>
        </w:tc>
      </w:tr>
      <w:tr>
        <w:trPr>
          <w:trHeight w:val="99"/>
        </w:trPr>
        <w:tc>
          <w:tcPr>
            <w:tcW w:w="2100" w:type="dxa"/>
            <w:vAlign w:val="bottom"/>
            <w:vMerge w:val="continue"/>
          </w:tcPr>
          <w:p>
            <w:pPr>
              <w:spacing w:after="0"/>
              <w:rPr>
                <w:sz w:val="8"/>
                <w:szCs w:val="8"/>
                <w:color w:val="auto"/>
              </w:rPr>
            </w:pPr>
          </w:p>
        </w:tc>
        <w:tc>
          <w:tcPr>
            <w:tcW w:w="4140" w:type="dxa"/>
            <w:vAlign w:val="bottom"/>
            <w:vMerge w:val="restart"/>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6"/>
              </w:rPr>
              <w:t>document is current prior to use.</w:t>
            </w: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00" w:type="dxa"/>
            <w:vAlign w:val="bottom"/>
          </w:tcPr>
          <w:p>
            <w:pPr>
              <w:spacing w:after="0"/>
              <w:rPr>
                <w:sz w:val="5"/>
                <w:szCs w:val="5"/>
                <w:color w:val="auto"/>
              </w:rPr>
            </w:pPr>
          </w:p>
        </w:tc>
        <w:tc>
          <w:tcPr>
            <w:tcW w:w="4140" w:type="dxa"/>
            <w:vAlign w:val="bottom"/>
            <w:vMerge w:val="continue"/>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3"/>
        </w:trPr>
        <w:tc>
          <w:tcPr>
            <w:tcW w:w="2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515" w:right="141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6"/>
          <w:szCs w:val="16"/>
          <w:b w:val="1"/>
          <w:bCs w:val="1"/>
          <w:color w:val="1C355E"/>
        </w:rPr>
        <w:t>BMSD-41 rev.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5760720" cy="9086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2">
                      <a:extLst>
                        <a:ext uri="{28A0092B-C50C-407E-A947-70E740481C1C}"/>
                      </a:extLst>
                    </a:blip>
                    <a:srcRect/>
                    <a:stretch>
                      <a:fillRect/>
                    </a:stretch>
                  </pic:blipFill>
                  <pic:spPr bwMode="auto">
                    <a:xfrm>
                      <a:off x="0" y="0"/>
                      <a:ext cx="5760720" cy="908685"/>
                    </a:xfrm>
                    <a:prstGeom prst="rect">
                      <a:avLst/>
                    </a:prstGeom>
                    <a:noFill/>
                  </pic:spPr>
                </pic:pic>
              </a:graphicData>
            </a:graphic>
          </wp:anchor>
        </w:drawing>
      </w:r>
    </w:p>
    <w:p>
      <w:pPr>
        <w:spacing w:after="0" w:line="9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1C355E"/>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Examples of material information include (but are not limited to) information concerning:</w:t>
      </w:r>
    </w:p>
    <w:p>
      <w:pPr>
        <w:spacing w:after="0" w:line="216" w:lineRule="exact"/>
        <w:rPr>
          <w:sz w:val="20"/>
          <w:szCs w:val="20"/>
          <w:color w:val="auto"/>
        </w:rPr>
      </w:pPr>
    </w:p>
    <w:p>
      <w:pPr>
        <w:ind w:left="1500" w:hanging="319"/>
        <w:spacing w:after="0"/>
        <w:tabs>
          <w:tab w:leader="none" w:pos="15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earnings;</w:t>
      </w:r>
    </w:p>
    <w:p>
      <w:pPr>
        <w:spacing w:after="0" w:line="21" w:lineRule="exact"/>
        <w:rPr>
          <w:rFonts w:ascii="Times New Roman" w:cs="Times New Roman" w:eastAsia="Times New Roman" w:hAnsi="Times New Roman"/>
          <w:sz w:val="20"/>
          <w:szCs w:val="20"/>
          <w:color w:val="auto"/>
        </w:rPr>
      </w:pPr>
    </w:p>
    <w:p>
      <w:pPr>
        <w:ind w:left="1500" w:right="700" w:hanging="319"/>
        <w:spacing w:after="0" w:line="239" w:lineRule="auto"/>
        <w:tabs>
          <w:tab w:leader="none" w:pos="15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forecasts or other earnings guidance, changes to previously announced earnings forecasts or guidance, or the decision to suspend earnings guidance;</w:t>
      </w:r>
    </w:p>
    <w:p>
      <w:pPr>
        <w:ind w:left="1500" w:hanging="319"/>
        <w:spacing w:after="0"/>
        <w:tabs>
          <w:tab w:leader="none" w:pos="15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pending or proposed merger, acquisition or tender offer;</w:t>
      </w:r>
    </w:p>
    <w:p>
      <w:pPr>
        <w:ind w:left="1500" w:hanging="319"/>
        <w:spacing w:after="0"/>
        <w:tabs>
          <w:tab w:leader="none" w:pos="15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pending or proposed acquisition or disposition of a significant asset;</w:t>
      </w:r>
    </w:p>
    <w:p>
      <w:pPr>
        <w:ind w:left="1500" w:hanging="319"/>
        <w:spacing w:after="0"/>
        <w:tabs>
          <w:tab w:leader="none" w:pos="15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Bank borrowings or other significant financing transactions;</w:t>
      </w:r>
    </w:p>
    <w:p>
      <w:pPr>
        <w:ind w:left="1500" w:hanging="319"/>
        <w:spacing w:after="0"/>
        <w:tabs>
          <w:tab w:leader="none" w:pos="15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of a new product, process or service;</w:t>
      </w:r>
    </w:p>
    <w:p>
      <w:pPr>
        <w:ind w:left="1500" w:hanging="319"/>
        <w:spacing w:after="0"/>
        <w:tabs>
          <w:tab w:leader="none" w:pos="15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pending or proposed joint venture or other strategic arrangement;</w:t>
      </w:r>
    </w:p>
    <w:p>
      <w:pPr>
        <w:ind w:left="1500" w:hanging="319"/>
        <w:spacing w:after="0"/>
        <w:tabs>
          <w:tab w:leader="none" w:pos="15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restructuring of the Company;</w:t>
      </w:r>
    </w:p>
    <w:p>
      <w:pPr>
        <w:ind w:left="1500" w:hanging="319"/>
        <w:spacing w:after="0"/>
        <w:tabs>
          <w:tab w:leader="none" w:pos="15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related party transactions;</w:t>
      </w:r>
    </w:p>
    <w:p>
      <w:pPr>
        <w:ind w:left="1500" w:right="880" w:hanging="319"/>
        <w:spacing w:after="0" w:line="239" w:lineRule="auto"/>
        <w:tabs>
          <w:tab w:leader="none" w:pos="15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dividend policy, the declaration of a stock split or an offering of additional securities;</w:t>
      </w:r>
    </w:p>
    <w:p>
      <w:pPr>
        <w:ind w:left="1500" w:hanging="319"/>
        <w:spacing w:after="0"/>
        <w:tabs>
          <w:tab w:leader="none" w:pos="15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establishment of a repurchase program for Company securities;</w:t>
      </w:r>
    </w:p>
    <w:p>
      <w:pPr>
        <w:ind w:left="1500" w:hanging="319"/>
        <w:spacing w:after="0"/>
        <w:tabs>
          <w:tab w:leader="none" w:pos="15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Company’s pricing or cost structure;</w:t>
      </w:r>
    </w:p>
    <w:p>
      <w:pPr>
        <w:ind w:left="1500" w:hanging="319"/>
        <w:spacing w:after="0"/>
        <w:tabs>
          <w:tab w:leader="none" w:pos="15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management;</w:t>
      </w:r>
    </w:p>
    <w:p>
      <w:pPr>
        <w:ind w:left="1500" w:hanging="319"/>
        <w:spacing w:after="0"/>
        <w:tabs>
          <w:tab w:leader="none" w:pos="15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auditors or notification that the auditor’s reports may no longer be relied upon;</w:t>
      </w:r>
    </w:p>
    <w:p>
      <w:pPr>
        <w:ind w:left="1500" w:hanging="319"/>
        <w:spacing w:after="0"/>
        <w:tabs>
          <w:tab w:leader="none" w:pos="15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or threatened litigation, or the resolution of such litigation;</w:t>
      </w:r>
    </w:p>
    <w:p>
      <w:pPr>
        <w:ind w:left="1500" w:hanging="319"/>
        <w:spacing w:after="0"/>
        <w:tabs>
          <w:tab w:leader="none" w:pos="15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the existence of severe liquidity problems;</w:t>
      </w:r>
    </w:p>
    <w:p>
      <w:pPr>
        <w:ind w:left="1500" w:hanging="319"/>
        <w:spacing w:after="0"/>
        <w:tabs>
          <w:tab w:leader="none" w:pos="15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gain or loss of a significant customer or supplier;</w:t>
      </w:r>
    </w:p>
    <w:p>
      <w:pPr>
        <w:ind w:left="1500" w:right="420" w:hanging="319"/>
        <w:spacing w:after="0" w:line="239" w:lineRule="auto"/>
        <w:tabs>
          <w:tab w:leader="none" w:pos="150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cybersecurity incident, such as one that leads to a material disruption in the Company’s operations or loss, potential loss, breach or unauthorized access of its property or assets, including its facilities and information technology infrastructure; and</w:t>
      </w:r>
    </w:p>
    <w:p>
      <w:pPr>
        <w:spacing w:after="0" w:line="1" w:lineRule="exact"/>
        <w:rPr>
          <w:rFonts w:ascii="Times New Roman" w:cs="Times New Roman" w:eastAsia="Times New Roman" w:hAnsi="Times New Roman"/>
          <w:sz w:val="20"/>
          <w:szCs w:val="20"/>
          <w:color w:val="auto"/>
        </w:rPr>
      </w:pPr>
    </w:p>
    <w:p>
      <w:pPr>
        <w:ind w:left="1500" w:hanging="319"/>
        <w:spacing w:after="0"/>
        <w:tabs>
          <w:tab w:leader="none" w:pos="150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imposition of a ban on trading in Company securities or the securities of another company.</w:t>
      </w:r>
    </w:p>
    <w:p>
      <w:pPr>
        <w:spacing w:after="0" w:line="219" w:lineRule="exact"/>
        <w:rPr>
          <w:sz w:val="20"/>
          <w:szCs w:val="20"/>
          <w:color w:val="auto"/>
        </w:rPr>
      </w:pPr>
    </w:p>
    <w:p>
      <w:pPr>
        <w:ind w:left="200" w:right="260" w:firstLine="648"/>
        <w:spacing w:after="0" w:line="243" w:lineRule="auto"/>
        <w:rPr>
          <w:sz w:val="20"/>
          <w:szCs w:val="20"/>
          <w:color w:val="auto"/>
        </w:rPr>
      </w:pPr>
      <w:r>
        <w:rPr>
          <w:rFonts w:ascii="Times New Roman" w:cs="Times New Roman" w:eastAsia="Times New Roman" w:hAnsi="Times New Roman"/>
          <w:sz w:val="20"/>
          <w:szCs w:val="20"/>
          <w:u w:val="single" w:color="auto"/>
          <w:color w:val="auto"/>
        </w:rPr>
        <w:t>Non-Public Information</w:t>
      </w:r>
      <w:r>
        <w:rPr>
          <w:rFonts w:ascii="Times New Roman" w:cs="Times New Roman" w:eastAsia="Times New Roman" w:hAnsi="Times New Roman"/>
          <w:sz w:val="20"/>
          <w:szCs w:val="20"/>
          <w:color w:val="auto"/>
        </w:rPr>
        <w:t>. Information is “non-public” if it is not available to the general public. In order for information to be considered public, it must be widely disseminated in a manner making it generally available to investors. Information generally would be considered widely disseminated if it has been disclosed through Dow Jones, newswire services, a broadcast on a widely-available radio or television program, publication in a widely-available newspaper, magazine or news website, or public disclosure of documents filed with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that are available on the SEC’s website. The circulation of rumors, even if accurate and reported in the media, does not constitute effective public dissemination.</w:t>
      </w:r>
    </w:p>
    <w:p>
      <w:pPr>
        <w:spacing w:after="0" w:line="189" w:lineRule="exact"/>
        <w:rPr>
          <w:sz w:val="20"/>
          <w:szCs w:val="20"/>
          <w:color w:val="auto"/>
        </w:rPr>
      </w:pPr>
    </w:p>
    <w:p>
      <w:pPr>
        <w:ind w:left="200" w:right="380" w:firstLine="648"/>
        <w:spacing w:after="0" w:line="244" w:lineRule="auto"/>
        <w:rPr>
          <w:sz w:val="20"/>
          <w:szCs w:val="20"/>
          <w:color w:val="auto"/>
        </w:rPr>
      </w:pPr>
      <w:r>
        <w:rPr>
          <w:rFonts w:ascii="Times New Roman" w:cs="Times New Roman" w:eastAsia="Times New Roman" w:hAnsi="Times New Roman"/>
          <w:sz w:val="20"/>
          <w:szCs w:val="20"/>
          <w:color w:val="auto"/>
        </w:rPr>
        <w:t>In addition, even after information is widely disseminated, a reasonable period of time must pass in order for the market to react to the information for such information to be deemed public. Generally, one should allow two (2) full business days following publication as a reasonable waiting period before such information is deemed to be public. For example, if the Company were to make an announcement on Tuesday, you should not trade in the Company’s securities until Friday. Depending on the particular circumstances, the Company may determine that a longer or shorter period should apply to the release of certain material non-public information.</w:t>
      </w:r>
    </w:p>
    <w:p>
      <w:pPr>
        <w:spacing w:after="0" w:line="283" w:lineRule="exact"/>
        <w:rPr>
          <w:sz w:val="20"/>
          <w:szCs w:val="20"/>
          <w:color w:val="auto"/>
        </w:rPr>
      </w:pPr>
    </w:p>
    <w:p>
      <w:pPr>
        <w:ind w:left="300" w:right="500"/>
        <w:spacing w:after="0" w:line="223" w:lineRule="auto"/>
        <w:rPr>
          <w:sz w:val="20"/>
          <w:szCs w:val="20"/>
          <w:color w:val="auto"/>
        </w:rPr>
      </w:pPr>
      <w:r>
        <w:rPr>
          <w:rFonts w:ascii="Times New Roman" w:cs="Times New Roman" w:eastAsia="Times New Roman" w:hAnsi="Times New Roman"/>
          <w:sz w:val="13"/>
          <w:szCs w:val="13"/>
          <w:b w:val="1"/>
          <w:bCs w:val="1"/>
          <w:color w:val="auto"/>
        </w:rPr>
        <w:t>AeroVironment, Inc. Proprietary Information</w:t>
      </w:r>
      <w:r>
        <w:rPr>
          <w:rFonts w:ascii="Times New Roman" w:cs="Times New Roman" w:eastAsia="Times New Roman" w:hAnsi="Times New Roman"/>
          <w:sz w:val="13"/>
          <w:szCs w:val="13"/>
          <w:color w:val="auto"/>
        </w:rPr>
        <w:t>. This material includes privileged or proprietary data that shall not be disclosed to any third party at any time, nor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it be duplicated or used by the recipient, in whole or in part, for any purpose other than to disseminate information provided by AeroVironment, Inc. Furthermore, this material contains trade secrets and/or commercial or financial information that is proprietary and is exempt from disclosure under the Freedom of Information Act and protected from disclosure by the Trade Secrets Act. See 5 USC 552(b)(4); 18 USC 1905.</w:t>
      </w:r>
    </w:p>
    <w:tbl>
      <w:tblPr>
        <w:tblLayout w:type="fixed"/>
        <w:tblInd w:w="220" w:type="dxa"/>
        <w:tblCellMar>
          <w:top w:w="0" w:type="dxa"/>
          <w:left w:w="0" w:type="dxa"/>
          <w:bottom w:w="0" w:type="dxa"/>
          <w:right w:w="0" w:type="dxa"/>
        </w:tblCellMar>
      </w:tblPr>
      <w:tr>
        <w:trPr>
          <w:trHeight w:val="119"/>
        </w:trPr>
        <w:tc>
          <w:tcPr>
            <w:tcW w:w="2100" w:type="dxa"/>
            <w:vAlign w:val="bottom"/>
          </w:tcPr>
          <w:p>
            <w:pPr>
              <w:spacing w:after="0"/>
              <w:rPr>
                <w:sz w:val="10"/>
                <w:szCs w:val="10"/>
                <w:color w:val="auto"/>
              </w:rPr>
            </w:pPr>
          </w:p>
        </w:tc>
        <w:tc>
          <w:tcPr>
            <w:tcW w:w="4140" w:type="dxa"/>
            <w:vAlign w:val="bottom"/>
          </w:tcPr>
          <w:p>
            <w:pPr>
              <w:jc w:val="center"/>
              <w:ind w:left="157"/>
              <w:spacing w:after="0" w:line="119" w:lineRule="exact"/>
              <w:rPr>
                <w:sz w:val="20"/>
                <w:szCs w:val="20"/>
                <w:color w:val="auto"/>
              </w:rPr>
            </w:pPr>
            <w:r>
              <w:rPr>
                <w:rFonts w:ascii="Times New Roman" w:cs="Times New Roman" w:eastAsia="Times New Roman" w:hAnsi="Times New Roman"/>
                <w:sz w:val="13"/>
                <w:szCs w:val="13"/>
                <w:b w:val="1"/>
                <w:bCs w:val="1"/>
                <w:color w:val="auto"/>
                <w:w w:val="95"/>
              </w:rPr>
              <w:t xml:space="preserve">Page </w:t>
            </w:r>
            <w:r>
              <w:rPr>
                <w:rFonts w:ascii="Times New Roman" w:cs="Times New Roman" w:eastAsia="Times New Roman" w:hAnsi="Times New Roman"/>
                <w:sz w:val="13"/>
                <w:szCs w:val="13"/>
                <w:color w:val="auto"/>
                <w:w w:val="95"/>
              </w:rPr>
              <w:t>4</w:t>
            </w:r>
            <w:r>
              <w:rPr>
                <w:rFonts w:ascii="Times New Roman" w:cs="Times New Roman" w:eastAsia="Times New Roman" w:hAnsi="Times New Roman"/>
                <w:sz w:val="13"/>
                <w:szCs w:val="13"/>
                <w:b w:val="1"/>
                <w:bCs w:val="1"/>
                <w:color w:val="auto"/>
                <w:w w:val="95"/>
              </w:rPr>
              <w:t xml:space="preserve"> of 12</w:t>
            </w: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CONFIDENTIAL</w:t>
            </w:r>
          </w:p>
        </w:tc>
        <w:tc>
          <w:tcPr>
            <w:tcW w:w="4140" w:type="dxa"/>
            <w:vAlign w:val="bottom"/>
          </w:tcPr>
          <w:p>
            <w:pPr>
              <w:jc w:val="center"/>
              <w:ind w:lef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Every user is responsible for verifying this</w:t>
            </w:r>
          </w:p>
        </w:tc>
        <w:tc>
          <w:tcPr>
            <w:tcW w:w="2340" w:type="dxa"/>
            <w:vAlign w:val="bottom"/>
            <w:vMerge w:val="restart"/>
          </w:tcPr>
          <w:p>
            <w:pPr>
              <w:ind w:left="820"/>
              <w:spacing w:after="0"/>
              <w:rPr>
                <w:sz w:val="20"/>
                <w:szCs w:val="20"/>
                <w:color w:val="auto"/>
              </w:rPr>
            </w:pPr>
            <w:r>
              <w:rPr>
                <w:rFonts w:ascii="Times New Roman" w:cs="Times New Roman" w:eastAsia="Times New Roman" w:hAnsi="Times New Roman"/>
                <w:sz w:val="13"/>
                <w:szCs w:val="13"/>
                <w:color w:val="auto"/>
              </w:rPr>
              <w:t>©2021 AeroVironment, Inc.</w:t>
            </w:r>
          </w:p>
        </w:tc>
        <w:tc>
          <w:tcPr>
            <w:tcW w:w="0" w:type="dxa"/>
            <w:vAlign w:val="bottom"/>
          </w:tcPr>
          <w:p>
            <w:pPr>
              <w:spacing w:after="0"/>
              <w:rPr>
                <w:sz w:val="1"/>
                <w:szCs w:val="1"/>
                <w:color w:val="auto"/>
              </w:rPr>
            </w:pPr>
          </w:p>
        </w:tc>
      </w:tr>
      <w:tr>
        <w:trPr>
          <w:trHeight w:val="99"/>
        </w:trPr>
        <w:tc>
          <w:tcPr>
            <w:tcW w:w="2100" w:type="dxa"/>
            <w:vAlign w:val="bottom"/>
            <w:vMerge w:val="continue"/>
          </w:tcPr>
          <w:p>
            <w:pPr>
              <w:spacing w:after="0"/>
              <w:rPr>
                <w:sz w:val="8"/>
                <w:szCs w:val="8"/>
                <w:color w:val="auto"/>
              </w:rPr>
            </w:pPr>
          </w:p>
        </w:tc>
        <w:tc>
          <w:tcPr>
            <w:tcW w:w="4140" w:type="dxa"/>
            <w:vAlign w:val="bottom"/>
            <w:vMerge w:val="restart"/>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6"/>
              </w:rPr>
              <w:t>document is current prior to use.</w:t>
            </w: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00" w:type="dxa"/>
            <w:vAlign w:val="bottom"/>
          </w:tcPr>
          <w:p>
            <w:pPr>
              <w:spacing w:after="0"/>
              <w:rPr>
                <w:sz w:val="5"/>
                <w:szCs w:val="5"/>
                <w:color w:val="auto"/>
              </w:rPr>
            </w:pPr>
          </w:p>
        </w:tc>
        <w:tc>
          <w:tcPr>
            <w:tcW w:w="4140" w:type="dxa"/>
            <w:vAlign w:val="bottom"/>
            <w:vMerge w:val="continue"/>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3"/>
        </w:trPr>
        <w:tc>
          <w:tcPr>
            <w:tcW w:w="2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515" w:right="141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6"/>
          <w:szCs w:val="16"/>
          <w:b w:val="1"/>
          <w:bCs w:val="1"/>
          <w:color w:val="1C355E"/>
        </w:rPr>
        <w:t>BMSD-41 rev.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5760720" cy="9086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3">
                      <a:extLst>
                        <a:ext uri="{28A0092B-C50C-407E-A947-70E740481C1C}"/>
                      </a:extLst>
                    </a:blip>
                    <a:srcRect/>
                    <a:stretch>
                      <a:fillRect/>
                    </a:stretch>
                  </pic:blipFill>
                  <pic:spPr bwMode="auto">
                    <a:xfrm>
                      <a:off x="0" y="0"/>
                      <a:ext cx="5760720" cy="908685"/>
                    </a:xfrm>
                    <a:prstGeom prst="rect">
                      <a:avLst/>
                    </a:prstGeom>
                    <a:noFill/>
                  </pic:spPr>
                </pic:pic>
              </a:graphicData>
            </a:graphic>
          </wp:anchor>
        </w:drawing>
      </w:r>
    </w:p>
    <w:p>
      <w:pPr>
        <w:spacing w:after="0" w:line="9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1C355E"/>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right="300" w:firstLine="648"/>
        <w:spacing w:after="0" w:line="273" w:lineRule="auto"/>
        <w:rPr>
          <w:sz w:val="20"/>
          <w:szCs w:val="20"/>
          <w:color w:val="auto"/>
        </w:rPr>
      </w:pPr>
      <w:r>
        <w:rPr>
          <w:rFonts w:ascii="Times New Roman" w:cs="Times New Roman" w:eastAsia="Times New Roman" w:hAnsi="Times New Roman"/>
          <w:sz w:val="20"/>
          <w:szCs w:val="20"/>
          <w:color w:val="auto"/>
        </w:rPr>
        <w:t xml:space="preserve">A good general rule of thumb: </w:t>
      </w:r>
      <w:r>
        <w:rPr>
          <w:rFonts w:ascii="Times New Roman" w:cs="Times New Roman" w:eastAsia="Times New Roman" w:hAnsi="Times New Roman"/>
          <w:sz w:val="20"/>
          <w:szCs w:val="20"/>
          <w:b w:val="1"/>
          <w:bCs w:val="1"/>
          <w:color w:val="auto"/>
        </w:rPr>
        <w:t>when in doubt as to whether information is material or non-public,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do not trade.</w:t>
      </w:r>
    </w:p>
    <w:p>
      <w:pPr>
        <w:spacing w:after="0" w:line="152" w:lineRule="exact"/>
        <w:rPr>
          <w:sz w:val="20"/>
          <w:szCs w:val="20"/>
          <w:color w:val="auto"/>
        </w:rPr>
      </w:pPr>
    </w:p>
    <w:p>
      <w:pPr>
        <w:ind w:left="860" w:hanging="651"/>
        <w:spacing w:after="0"/>
        <w:tabs>
          <w:tab w:leader="none" w:pos="86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STATEMENT OF POLICIES PROHIBITING INSIDER TRADING</w:t>
      </w:r>
    </w:p>
    <w:p>
      <w:pPr>
        <w:spacing w:after="0" w:line="215" w:lineRule="exact"/>
        <w:rPr>
          <w:rFonts w:ascii="Times New Roman" w:cs="Times New Roman" w:eastAsia="Times New Roman" w:hAnsi="Times New Roman"/>
          <w:sz w:val="20"/>
          <w:szCs w:val="20"/>
          <w:b w:val="1"/>
          <w:bCs w:val="1"/>
          <w:color w:val="auto"/>
        </w:rPr>
      </w:pPr>
    </w:p>
    <w:p>
      <w:pPr>
        <w:ind w:left="1500" w:hanging="643"/>
        <w:spacing w:after="0"/>
        <w:tabs>
          <w:tab w:leader="none" w:pos="1500" w:val="left"/>
        </w:tabs>
        <w:numPr>
          <w:ilvl w:val="1"/>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Prohibited Activities</w:t>
      </w:r>
      <w:r>
        <w:rPr>
          <w:rFonts w:ascii="Times New Roman" w:cs="Times New Roman" w:eastAsia="Times New Roman" w:hAnsi="Times New Roman"/>
          <w:sz w:val="20"/>
          <w:szCs w:val="20"/>
          <w:color w:val="auto"/>
        </w:rPr>
        <w:t>. Except as provided in Section V(B) below, no Covered Person may:</w:t>
      </w:r>
    </w:p>
    <w:p>
      <w:pPr>
        <w:spacing w:after="0" w:line="219" w:lineRule="exact"/>
        <w:rPr>
          <w:rFonts w:ascii="Times New Roman" w:cs="Times New Roman" w:eastAsia="Times New Roman" w:hAnsi="Times New Roman"/>
          <w:sz w:val="20"/>
          <w:szCs w:val="20"/>
          <w:b w:val="1"/>
          <w:bCs w:val="1"/>
          <w:color w:val="auto"/>
        </w:rPr>
      </w:pPr>
    </w:p>
    <w:p>
      <w:pPr>
        <w:jc w:val="both"/>
        <w:ind w:left="1820" w:right="280" w:hanging="315"/>
        <w:spacing w:after="0" w:line="274" w:lineRule="auto"/>
        <w:tabs>
          <w:tab w:leader="none" w:pos="1820" w:val="left"/>
        </w:tabs>
        <w:numPr>
          <w:ilvl w:val="2"/>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purchase or sell, directly or indirectly through family members or other persons or entities, any securities while in possession of material non-public information relating to the issuer of the security, whether the issuer of such security is the Company or any other company;</w:t>
      </w:r>
    </w:p>
    <w:p>
      <w:pPr>
        <w:spacing w:after="0" w:line="156" w:lineRule="exact"/>
        <w:rPr>
          <w:rFonts w:ascii="Times New Roman" w:cs="Times New Roman" w:eastAsia="Times New Roman" w:hAnsi="Times New Roman"/>
          <w:sz w:val="19"/>
          <w:szCs w:val="19"/>
          <w:color w:val="auto"/>
        </w:rPr>
      </w:pPr>
    </w:p>
    <w:p>
      <w:pPr>
        <w:ind w:left="1820" w:right="300" w:hanging="315"/>
        <w:spacing w:after="0" w:line="249" w:lineRule="auto"/>
        <w:tabs>
          <w:tab w:leader="none" w:pos="1820"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 (“tip”), directly or indirectly, material non-public information about any company to anyone who may trade while in possession of such information, or make recommendations or express opinions about any security while in possession of material non-public information regarding the issuer of such security;</w:t>
      </w:r>
    </w:p>
    <w:p>
      <w:pPr>
        <w:spacing w:after="0" w:line="179" w:lineRule="exact"/>
        <w:rPr>
          <w:rFonts w:ascii="Times New Roman" w:cs="Times New Roman" w:eastAsia="Times New Roman" w:hAnsi="Times New Roman"/>
          <w:sz w:val="20"/>
          <w:szCs w:val="20"/>
          <w:color w:val="auto"/>
        </w:rPr>
      </w:pPr>
    </w:p>
    <w:p>
      <w:pPr>
        <w:ind w:left="1820" w:right="360" w:hanging="315"/>
        <w:spacing w:after="0" w:line="246" w:lineRule="auto"/>
        <w:tabs>
          <w:tab w:leader="none" w:pos="1820"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 material non-public information, whether relating to the Company or any company with which the Company conducts business, to anyone outside the Company under any circumstances (absent prior approval by the Compliance Officer and execution of an appropriate confidentiality agreement), or to anyone within the Company other than on a need-to-know basis; or</w:t>
      </w:r>
    </w:p>
    <w:p>
      <w:pPr>
        <w:spacing w:after="0" w:line="184" w:lineRule="exact"/>
        <w:rPr>
          <w:rFonts w:ascii="Times New Roman" w:cs="Times New Roman" w:eastAsia="Times New Roman" w:hAnsi="Times New Roman"/>
          <w:sz w:val="20"/>
          <w:szCs w:val="20"/>
          <w:color w:val="auto"/>
        </w:rPr>
      </w:pPr>
    </w:p>
    <w:p>
      <w:pPr>
        <w:ind w:left="1820" w:hanging="315"/>
        <w:spacing w:after="0"/>
        <w:tabs>
          <w:tab w:leader="none" w:pos="1820"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 anyone engaged in any of the above activities.</w:t>
      </w:r>
    </w:p>
    <w:p>
      <w:pPr>
        <w:spacing w:after="0" w:line="211" w:lineRule="exact"/>
        <w:rPr>
          <w:rFonts w:ascii="Times New Roman" w:cs="Times New Roman" w:eastAsia="Times New Roman" w:hAnsi="Times New Roman"/>
          <w:sz w:val="20"/>
          <w:szCs w:val="20"/>
          <w:color w:val="auto"/>
        </w:rPr>
      </w:pPr>
    </w:p>
    <w:p>
      <w:pPr>
        <w:ind w:left="200" w:right="580" w:firstLine="657"/>
        <w:spacing w:after="0" w:line="273" w:lineRule="auto"/>
        <w:tabs>
          <w:tab w:leader="none" w:pos="1496" w:val="left"/>
        </w:tabs>
        <w:numPr>
          <w:ilvl w:val="1"/>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Exceptions to Prohibited Activities</w:t>
      </w:r>
      <w:r>
        <w:rPr>
          <w:rFonts w:ascii="Times New Roman" w:cs="Times New Roman" w:eastAsia="Times New Roman" w:hAnsi="Times New Roman"/>
          <w:sz w:val="20"/>
          <w:szCs w:val="20"/>
          <w:color w:val="auto"/>
        </w:rPr>
        <w:t>. The restrictions and prohibitions set forth in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 above and Section VII below do not apply to:</w:t>
      </w:r>
    </w:p>
    <w:p>
      <w:pPr>
        <w:spacing w:after="0" w:line="151" w:lineRule="exact"/>
        <w:rPr>
          <w:rFonts w:ascii="Times New Roman" w:cs="Times New Roman" w:eastAsia="Times New Roman" w:hAnsi="Times New Roman"/>
          <w:sz w:val="20"/>
          <w:szCs w:val="20"/>
          <w:b w:val="1"/>
          <w:bCs w:val="1"/>
          <w:color w:val="auto"/>
        </w:rPr>
      </w:pPr>
    </w:p>
    <w:p>
      <w:pPr>
        <w:ind w:left="1820" w:right="240" w:hanging="315"/>
        <w:spacing w:after="0" w:line="261" w:lineRule="auto"/>
        <w:tabs>
          <w:tab w:leader="none" w:pos="1820" w:val="left"/>
        </w:tabs>
        <w:numPr>
          <w:ilvl w:val="2"/>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Exercises of Stock Options for Cash</w:t>
      </w:r>
      <w:r>
        <w:rPr>
          <w:rFonts w:ascii="Times New Roman" w:cs="Times New Roman" w:eastAsia="Times New Roman" w:hAnsi="Times New Roman"/>
          <w:sz w:val="19"/>
          <w:szCs w:val="19"/>
          <w:color w:val="auto"/>
        </w:rPr>
        <w:t>. This Policy does not apply to the exercise of a stock</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option for cash, or to the exercise of a tax withholding right pursuant to which a person has elected to have the Company withhold shares subject to an option to satisfy minimum statutory tax withholding requirements. However, the sale of any shares issued upon the exercise of options or any cashless exercises of options are transactions covered by this Policy and subject to the restrictions and prohibitions contained herein.</w:t>
      </w:r>
    </w:p>
    <w:p>
      <w:pPr>
        <w:spacing w:after="0" w:line="167" w:lineRule="exact"/>
        <w:rPr>
          <w:rFonts w:ascii="Times New Roman" w:cs="Times New Roman" w:eastAsia="Times New Roman" w:hAnsi="Times New Roman"/>
          <w:sz w:val="19"/>
          <w:szCs w:val="19"/>
          <w:color w:val="auto"/>
        </w:rPr>
      </w:pPr>
    </w:p>
    <w:p>
      <w:pPr>
        <w:ind w:left="1820" w:right="360" w:hanging="315"/>
        <w:spacing w:after="0" w:line="261" w:lineRule="auto"/>
        <w:tabs>
          <w:tab w:leader="none" w:pos="1820" w:val="left"/>
        </w:tabs>
        <w:numPr>
          <w:ilvl w:val="2"/>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Vesting of Restricted Stock or Restricted Stock Unit Awards</w:t>
      </w:r>
      <w:r>
        <w:rPr>
          <w:rFonts w:ascii="Times New Roman" w:cs="Times New Roman" w:eastAsia="Times New Roman" w:hAnsi="Times New Roman"/>
          <w:sz w:val="19"/>
          <w:szCs w:val="19"/>
          <w:color w:val="auto"/>
        </w:rPr>
        <w:t>. This Policy does not apply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to the vesting of restricted stock or restricted stock unit awards, or the exercise of a tax withholding right pursuant to which a person elects (or the Company elects on such person’s behalf) to have the Company withhold shares of stock to satisfy minimum statutory tax withholding requirements upon the vesting of any restricted stock or unit award. The Policy does apply, however, to any sale of restricted stock to a third party.</w:t>
      </w:r>
    </w:p>
    <w:p>
      <w:pPr>
        <w:spacing w:after="0" w:line="167" w:lineRule="exact"/>
        <w:rPr>
          <w:rFonts w:ascii="Times New Roman" w:cs="Times New Roman" w:eastAsia="Times New Roman" w:hAnsi="Times New Roman"/>
          <w:sz w:val="19"/>
          <w:szCs w:val="19"/>
          <w:color w:val="auto"/>
        </w:rPr>
      </w:pPr>
    </w:p>
    <w:p>
      <w:pPr>
        <w:ind w:left="1820" w:right="260" w:hanging="315"/>
        <w:spacing w:after="0" w:line="268" w:lineRule="auto"/>
        <w:tabs>
          <w:tab w:leader="none" w:pos="1820" w:val="left"/>
        </w:tabs>
        <w:numPr>
          <w:ilvl w:val="2"/>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Bona Fide Gifts</w:t>
      </w:r>
      <w:r>
        <w:rPr>
          <w:rFonts w:ascii="Times New Roman" w:cs="Times New Roman" w:eastAsia="Times New Roman" w:hAnsi="Times New Roman"/>
          <w:sz w:val="19"/>
          <w:szCs w:val="19"/>
          <w:color w:val="auto"/>
        </w:rPr>
        <w:t>. Bona fide gifts of securities of the Company are exempt from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restrictions contained in this Policy, unless the person making the gift has reason to believe that the recipient intends to sell the securities when the donor is aware of material non-public information or during a Blackout Period or Special Blackout Period</w:t>
      </w:r>
    </w:p>
    <w:p>
      <w:pPr>
        <w:spacing w:after="0" w:line="259" w:lineRule="exact"/>
        <w:rPr>
          <w:sz w:val="20"/>
          <w:szCs w:val="20"/>
          <w:color w:val="auto"/>
        </w:rPr>
      </w:pPr>
    </w:p>
    <w:p>
      <w:pPr>
        <w:ind w:left="300" w:right="500"/>
        <w:spacing w:after="0" w:line="223" w:lineRule="auto"/>
        <w:rPr>
          <w:sz w:val="20"/>
          <w:szCs w:val="20"/>
          <w:color w:val="auto"/>
        </w:rPr>
      </w:pPr>
      <w:r>
        <w:rPr>
          <w:rFonts w:ascii="Times New Roman" w:cs="Times New Roman" w:eastAsia="Times New Roman" w:hAnsi="Times New Roman"/>
          <w:sz w:val="13"/>
          <w:szCs w:val="13"/>
          <w:b w:val="1"/>
          <w:bCs w:val="1"/>
          <w:color w:val="auto"/>
        </w:rPr>
        <w:t>AeroVironment, Inc. Proprietary Information</w:t>
      </w:r>
      <w:r>
        <w:rPr>
          <w:rFonts w:ascii="Times New Roman" w:cs="Times New Roman" w:eastAsia="Times New Roman" w:hAnsi="Times New Roman"/>
          <w:sz w:val="13"/>
          <w:szCs w:val="13"/>
          <w:color w:val="auto"/>
        </w:rPr>
        <w:t>. This material includes privileged or proprietary data that shall not be disclosed to any third party at any time, nor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it be duplicated or used by the recipient, in whole or in part, for any purpose other than to disseminate information provided by AeroVironment, Inc. Furthermore, this material contains trade secrets and/or commercial or financial information that is proprietary and is exempt from disclosure under the Freedom of Information Act and protected from disclosure by the Trade Secrets Act. See 5 USC 552(b)(4); 18 USC 1905.</w:t>
      </w:r>
    </w:p>
    <w:tbl>
      <w:tblPr>
        <w:tblLayout w:type="fixed"/>
        <w:tblInd w:w="220" w:type="dxa"/>
        <w:tblCellMar>
          <w:top w:w="0" w:type="dxa"/>
          <w:left w:w="0" w:type="dxa"/>
          <w:bottom w:w="0" w:type="dxa"/>
          <w:right w:w="0" w:type="dxa"/>
        </w:tblCellMar>
      </w:tblPr>
      <w:tr>
        <w:trPr>
          <w:trHeight w:val="119"/>
        </w:trPr>
        <w:tc>
          <w:tcPr>
            <w:tcW w:w="2100" w:type="dxa"/>
            <w:vAlign w:val="bottom"/>
          </w:tcPr>
          <w:p>
            <w:pPr>
              <w:spacing w:after="0"/>
              <w:rPr>
                <w:sz w:val="10"/>
                <w:szCs w:val="10"/>
                <w:color w:val="auto"/>
              </w:rPr>
            </w:pPr>
          </w:p>
        </w:tc>
        <w:tc>
          <w:tcPr>
            <w:tcW w:w="4140" w:type="dxa"/>
            <w:vAlign w:val="bottom"/>
          </w:tcPr>
          <w:p>
            <w:pPr>
              <w:jc w:val="center"/>
              <w:ind w:left="157"/>
              <w:spacing w:after="0" w:line="119" w:lineRule="exact"/>
              <w:rPr>
                <w:sz w:val="20"/>
                <w:szCs w:val="20"/>
                <w:color w:val="auto"/>
              </w:rPr>
            </w:pPr>
            <w:r>
              <w:rPr>
                <w:rFonts w:ascii="Times New Roman" w:cs="Times New Roman" w:eastAsia="Times New Roman" w:hAnsi="Times New Roman"/>
                <w:sz w:val="13"/>
                <w:szCs w:val="13"/>
                <w:b w:val="1"/>
                <w:bCs w:val="1"/>
                <w:color w:val="auto"/>
                <w:w w:val="95"/>
              </w:rPr>
              <w:t xml:space="preserve">Page </w:t>
            </w:r>
            <w:r>
              <w:rPr>
                <w:rFonts w:ascii="Times New Roman" w:cs="Times New Roman" w:eastAsia="Times New Roman" w:hAnsi="Times New Roman"/>
                <w:sz w:val="13"/>
                <w:szCs w:val="13"/>
                <w:color w:val="auto"/>
                <w:w w:val="95"/>
              </w:rPr>
              <w:t>5</w:t>
            </w:r>
            <w:r>
              <w:rPr>
                <w:rFonts w:ascii="Times New Roman" w:cs="Times New Roman" w:eastAsia="Times New Roman" w:hAnsi="Times New Roman"/>
                <w:sz w:val="13"/>
                <w:szCs w:val="13"/>
                <w:b w:val="1"/>
                <w:bCs w:val="1"/>
                <w:color w:val="auto"/>
                <w:w w:val="95"/>
              </w:rPr>
              <w:t xml:space="preserve"> of 12</w:t>
            </w: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CONFIDENTIAL</w:t>
            </w:r>
          </w:p>
        </w:tc>
        <w:tc>
          <w:tcPr>
            <w:tcW w:w="4140" w:type="dxa"/>
            <w:vAlign w:val="bottom"/>
          </w:tcPr>
          <w:p>
            <w:pPr>
              <w:jc w:val="center"/>
              <w:ind w:lef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Every user is responsible for verifying this</w:t>
            </w:r>
          </w:p>
        </w:tc>
        <w:tc>
          <w:tcPr>
            <w:tcW w:w="2340" w:type="dxa"/>
            <w:vAlign w:val="bottom"/>
            <w:vMerge w:val="restart"/>
          </w:tcPr>
          <w:p>
            <w:pPr>
              <w:ind w:left="820"/>
              <w:spacing w:after="0"/>
              <w:rPr>
                <w:sz w:val="20"/>
                <w:szCs w:val="20"/>
                <w:color w:val="auto"/>
              </w:rPr>
            </w:pPr>
            <w:r>
              <w:rPr>
                <w:rFonts w:ascii="Times New Roman" w:cs="Times New Roman" w:eastAsia="Times New Roman" w:hAnsi="Times New Roman"/>
                <w:sz w:val="13"/>
                <w:szCs w:val="13"/>
                <w:color w:val="auto"/>
              </w:rPr>
              <w:t>©2021 AeroVironment, Inc.</w:t>
            </w:r>
          </w:p>
        </w:tc>
        <w:tc>
          <w:tcPr>
            <w:tcW w:w="0" w:type="dxa"/>
            <w:vAlign w:val="bottom"/>
          </w:tcPr>
          <w:p>
            <w:pPr>
              <w:spacing w:after="0"/>
              <w:rPr>
                <w:sz w:val="1"/>
                <w:szCs w:val="1"/>
                <w:color w:val="auto"/>
              </w:rPr>
            </w:pPr>
          </w:p>
        </w:tc>
      </w:tr>
      <w:tr>
        <w:trPr>
          <w:trHeight w:val="99"/>
        </w:trPr>
        <w:tc>
          <w:tcPr>
            <w:tcW w:w="2100" w:type="dxa"/>
            <w:vAlign w:val="bottom"/>
            <w:vMerge w:val="continue"/>
          </w:tcPr>
          <w:p>
            <w:pPr>
              <w:spacing w:after="0"/>
              <w:rPr>
                <w:sz w:val="8"/>
                <w:szCs w:val="8"/>
                <w:color w:val="auto"/>
              </w:rPr>
            </w:pPr>
          </w:p>
        </w:tc>
        <w:tc>
          <w:tcPr>
            <w:tcW w:w="4140" w:type="dxa"/>
            <w:vAlign w:val="bottom"/>
            <w:vMerge w:val="restart"/>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6"/>
              </w:rPr>
              <w:t>document is current prior to use.</w:t>
            </w: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00" w:type="dxa"/>
            <w:vAlign w:val="bottom"/>
          </w:tcPr>
          <w:p>
            <w:pPr>
              <w:spacing w:after="0"/>
              <w:rPr>
                <w:sz w:val="5"/>
                <w:szCs w:val="5"/>
                <w:color w:val="auto"/>
              </w:rPr>
            </w:pPr>
          </w:p>
        </w:tc>
        <w:tc>
          <w:tcPr>
            <w:tcW w:w="4140" w:type="dxa"/>
            <w:vAlign w:val="bottom"/>
            <w:vMerge w:val="continue"/>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3"/>
        </w:trPr>
        <w:tc>
          <w:tcPr>
            <w:tcW w:w="2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515" w:right="141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6"/>
          <w:szCs w:val="16"/>
          <w:b w:val="1"/>
          <w:bCs w:val="1"/>
          <w:color w:val="1C355E"/>
        </w:rPr>
        <w:t>BMSD-41 rev.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5760720" cy="9086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4">
                      <a:extLst>
                        <a:ext uri="{28A0092B-C50C-407E-A947-70E740481C1C}"/>
                      </a:extLst>
                    </a:blip>
                    <a:srcRect/>
                    <a:stretch>
                      <a:fillRect/>
                    </a:stretch>
                  </pic:blipFill>
                  <pic:spPr bwMode="auto">
                    <a:xfrm>
                      <a:off x="0" y="0"/>
                      <a:ext cx="5760720" cy="908685"/>
                    </a:xfrm>
                    <a:prstGeom prst="rect">
                      <a:avLst/>
                    </a:prstGeom>
                    <a:noFill/>
                  </pic:spPr>
                </pic:pic>
              </a:graphicData>
            </a:graphic>
          </wp:anchor>
        </w:drawing>
      </w:r>
    </w:p>
    <w:p>
      <w:pPr>
        <w:spacing w:after="0" w:line="9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1C355E"/>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20" w:right="320"/>
        <w:spacing w:after="0" w:line="269" w:lineRule="auto"/>
        <w:rPr>
          <w:sz w:val="20"/>
          <w:szCs w:val="20"/>
          <w:color w:val="auto"/>
        </w:rPr>
      </w:pPr>
      <w:r>
        <w:rPr>
          <w:rFonts w:ascii="Times New Roman" w:cs="Times New Roman" w:eastAsia="Times New Roman" w:hAnsi="Times New Roman"/>
          <w:sz w:val="20"/>
          <w:szCs w:val="20"/>
          <w:color w:val="auto"/>
        </w:rPr>
        <w:t>applicable to the donor. Any sale of any such gifted securities is subject to this Policy and the restrictions herein.</w:t>
      </w:r>
    </w:p>
    <w:p>
      <w:pPr>
        <w:spacing w:after="0" w:line="155" w:lineRule="exact"/>
        <w:rPr>
          <w:sz w:val="20"/>
          <w:szCs w:val="20"/>
          <w:color w:val="auto"/>
        </w:rPr>
      </w:pPr>
    </w:p>
    <w:p>
      <w:pPr>
        <w:ind w:left="1820" w:right="1180" w:hanging="315"/>
        <w:spacing w:after="0" w:line="273" w:lineRule="auto"/>
        <w:tabs>
          <w:tab w:leader="none" w:pos="182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Investments in Publicly Traded Mutual Funds</w:t>
      </w:r>
      <w:r>
        <w:rPr>
          <w:rFonts w:ascii="Times New Roman" w:cs="Times New Roman" w:eastAsia="Times New Roman" w:hAnsi="Times New Roman"/>
          <w:sz w:val="20"/>
          <w:szCs w:val="20"/>
          <w:color w:val="auto"/>
        </w:rPr>
        <w:t>. This Policy does not apply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investments in publicly traded mutual funds.</w:t>
      </w:r>
    </w:p>
    <w:p>
      <w:pPr>
        <w:spacing w:after="0" w:line="151" w:lineRule="exact"/>
        <w:rPr>
          <w:rFonts w:ascii="Times New Roman" w:cs="Times New Roman" w:eastAsia="Times New Roman" w:hAnsi="Times New Roman"/>
          <w:sz w:val="20"/>
          <w:szCs w:val="20"/>
          <w:color w:val="auto"/>
        </w:rPr>
      </w:pPr>
    </w:p>
    <w:p>
      <w:pPr>
        <w:ind w:left="1820" w:right="240" w:hanging="315"/>
        <w:spacing w:after="0" w:line="256" w:lineRule="auto"/>
        <w:tabs>
          <w:tab w:leader="none" w:pos="1820"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Trades Under Approved Rule 10b5-1 Plans</w:t>
      </w:r>
      <w:r>
        <w:rPr>
          <w:rFonts w:ascii="Times New Roman" w:cs="Times New Roman" w:eastAsia="Times New Roman" w:hAnsi="Times New Roman"/>
          <w:sz w:val="19"/>
          <w:szCs w:val="19"/>
          <w:color w:val="auto"/>
        </w:rPr>
        <w:t>. Rule 10b5-1 under the Securities Exchange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Act of 1934, as amended (the “</w:t>
      </w:r>
      <w:r>
        <w:rPr>
          <w:rFonts w:ascii="Times New Roman" w:cs="Times New Roman" w:eastAsia="Times New Roman" w:hAnsi="Times New Roman"/>
          <w:sz w:val="19"/>
          <w:szCs w:val="19"/>
          <w:b w:val="1"/>
          <w:bCs w:val="1"/>
          <w:i w:val="1"/>
          <w:iCs w:val="1"/>
          <w:color w:val="auto"/>
        </w:rPr>
        <w:t>1934 Act</w:t>
      </w:r>
      <w:r>
        <w:rPr>
          <w:rFonts w:ascii="Times New Roman" w:cs="Times New Roman" w:eastAsia="Times New Roman" w:hAnsi="Times New Roman"/>
          <w:sz w:val="19"/>
          <w:szCs w:val="19"/>
          <w:color w:val="auto"/>
        </w:rPr>
        <w:t>”) provides a defense from insider trading liability under Rule 10b-5. In order to be eligible to rely on this defense, a person must enter into a Rule 10b5-1 plan for transactions in the Company’s securities that meets certain conditions specified in Rule 10b5-1 (a “</w:t>
      </w:r>
      <w:r>
        <w:rPr>
          <w:rFonts w:ascii="Times New Roman" w:cs="Times New Roman" w:eastAsia="Times New Roman" w:hAnsi="Times New Roman"/>
          <w:sz w:val="19"/>
          <w:szCs w:val="19"/>
          <w:b w:val="1"/>
          <w:bCs w:val="1"/>
          <w:i w:val="1"/>
          <w:iCs w:val="1"/>
          <w:color w:val="auto"/>
        </w:rPr>
        <w:t>Rule 10b5-1 Plan</w:t>
      </w:r>
      <w:r>
        <w:rPr>
          <w:rFonts w:ascii="Times New Roman" w:cs="Times New Roman" w:eastAsia="Times New Roman" w:hAnsi="Times New Roman"/>
          <w:sz w:val="19"/>
          <w:szCs w:val="19"/>
          <w:color w:val="auto"/>
        </w:rPr>
        <w:t>”) before making such transactions. If the plan meets the requirements of Rule 10b5-1, Company securities may be purchased or sold without regard to certain insider trading restrictions, so long as the person making the trade complies with the terms of the plan. Once the Rule 10b5-1 Plan is adopted, the person must not exercise any influence over the amount of securities to be traded, the price at which they are to be traded or the date of the trade. The Rule 10b5-1 Plan must either specify the amount, pricing and timing of transactions in advance or delegate discretion on these matters to an independent third party.</w:t>
      </w:r>
    </w:p>
    <w:p>
      <w:pPr>
        <w:spacing w:after="0" w:line="177" w:lineRule="exact"/>
        <w:rPr>
          <w:rFonts w:ascii="Times New Roman" w:cs="Times New Roman" w:eastAsia="Times New Roman" w:hAnsi="Times New Roman"/>
          <w:sz w:val="19"/>
          <w:szCs w:val="19"/>
          <w:color w:val="auto"/>
        </w:rPr>
      </w:pPr>
    </w:p>
    <w:p>
      <w:pPr>
        <w:ind w:left="1820" w:right="26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entering into or amending any Rule 10b5-1 Plan, a person covered by this Policy must obtain approval of the Compliance Officer (an “</w:t>
      </w:r>
      <w:r>
        <w:rPr>
          <w:rFonts w:ascii="Times New Roman" w:cs="Times New Roman" w:eastAsia="Times New Roman" w:hAnsi="Times New Roman"/>
          <w:sz w:val="19"/>
          <w:szCs w:val="19"/>
          <w:b w:val="1"/>
          <w:bCs w:val="1"/>
          <w:i w:val="1"/>
          <w:iCs w:val="1"/>
          <w:color w:val="auto"/>
        </w:rPr>
        <w:t>approved Rule 10b5-1 Plan</w:t>
      </w:r>
      <w:r>
        <w:rPr>
          <w:rFonts w:ascii="Times New Roman" w:cs="Times New Roman" w:eastAsia="Times New Roman" w:hAnsi="Times New Roman"/>
          <w:sz w:val="19"/>
          <w:szCs w:val="19"/>
          <w:color w:val="auto"/>
        </w:rPr>
        <w:t>”). A person may not enter into or amend a Rule 10b5-1 Plan when they are aware of material non-public information or during any Special Blackout Period applicable to such person (see Section VII below). Additionally, no Executive Officer, Director or Designated Individual (as defined below) may enter into or amend a Rule 10b5-1 Plan during a Blackout Period. The Compliance Officer has sole discretion to approve or disapprove of a Rule 10b5-1 Plan, or any amendments thereto. If you wish to enter into or amend a Rule 10b5-1 Plan, you must submit a copy of the plan or amendment to the Compliance Officer at least one week prior to the date you desire to enter into or amend the plan.</w:t>
      </w:r>
    </w:p>
    <w:p>
      <w:pPr>
        <w:spacing w:after="0" w:line="181" w:lineRule="exact"/>
        <w:rPr>
          <w:sz w:val="20"/>
          <w:szCs w:val="20"/>
          <w:color w:val="auto"/>
        </w:rPr>
      </w:pPr>
    </w:p>
    <w:p>
      <w:pPr>
        <w:ind w:left="200" w:right="240" w:firstLine="648"/>
        <w:spacing w:after="0" w:line="246" w:lineRule="auto"/>
        <w:rPr>
          <w:sz w:val="20"/>
          <w:szCs w:val="20"/>
          <w:color w:val="auto"/>
        </w:rPr>
      </w:pPr>
      <w:r>
        <w:rPr>
          <w:rFonts w:ascii="Times New Roman" w:cs="Times New Roman" w:eastAsia="Times New Roman" w:hAnsi="Times New Roman"/>
          <w:sz w:val="20"/>
          <w:szCs w:val="20"/>
          <w:color w:val="auto"/>
        </w:rPr>
        <w:t>There are no exceptions to this Policy, except as set forth herein. Transactions that may be justifiable or necessary for independent reasons, such as the need to raise money for any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181"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VI.</w:t>
      </w:r>
      <w:r>
        <w:rPr>
          <w:sz w:val="20"/>
          <w:szCs w:val="20"/>
          <w:color w:val="auto"/>
        </w:rPr>
        <w:tab/>
      </w:r>
      <w:r>
        <w:rPr>
          <w:rFonts w:ascii="Times New Roman" w:cs="Times New Roman" w:eastAsia="Times New Roman" w:hAnsi="Times New Roman"/>
          <w:sz w:val="20"/>
          <w:szCs w:val="20"/>
          <w:b w:val="1"/>
          <w:bCs w:val="1"/>
          <w:color w:val="auto"/>
        </w:rPr>
        <w:t>SPECIAL AND PROHIBITED TRANSACTIONS.</w:t>
      </w:r>
    </w:p>
    <w:p>
      <w:pPr>
        <w:spacing w:after="0" w:line="220" w:lineRule="exact"/>
        <w:rPr>
          <w:sz w:val="20"/>
          <w:szCs w:val="20"/>
          <w:color w:val="auto"/>
        </w:rPr>
      </w:pPr>
    </w:p>
    <w:p>
      <w:pPr>
        <w:ind w:left="200" w:right="280" w:firstLine="648"/>
        <w:spacing w:after="0" w:line="249" w:lineRule="auto"/>
        <w:rPr>
          <w:sz w:val="20"/>
          <w:szCs w:val="20"/>
          <w:color w:val="auto"/>
        </w:rPr>
      </w:pPr>
      <w:r>
        <w:rPr>
          <w:rFonts w:ascii="Times New Roman" w:cs="Times New Roman" w:eastAsia="Times New Roman" w:hAnsi="Times New Roman"/>
          <w:sz w:val="20"/>
          <w:szCs w:val="20"/>
          <w:color w:val="auto"/>
        </w:rPr>
        <w:t>The Company has determined that there is a heightened legal risk and/or the appearance of improper or inappropriate conduct if Covered Persons engage in certain types of transactions. It is therefore the Company’s policy that no Covered Persons shall engage in any of the following transactions, and that Covered Persons consider the Company’s preferences as described below:</w:t>
      </w:r>
    </w:p>
    <w:p>
      <w:pPr>
        <w:spacing w:after="0" w:line="277" w:lineRule="exact"/>
        <w:rPr>
          <w:sz w:val="20"/>
          <w:szCs w:val="20"/>
          <w:color w:val="auto"/>
        </w:rPr>
      </w:pPr>
    </w:p>
    <w:p>
      <w:pPr>
        <w:ind w:left="300" w:right="500"/>
        <w:spacing w:after="0" w:line="223" w:lineRule="auto"/>
        <w:rPr>
          <w:sz w:val="20"/>
          <w:szCs w:val="20"/>
          <w:color w:val="auto"/>
        </w:rPr>
      </w:pPr>
      <w:r>
        <w:rPr>
          <w:rFonts w:ascii="Times New Roman" w:cs="Times New Roman" w:eastAsia="Times New Roman" w:hAnsi="Times New Roman"/>
          <w:sz w:val="13"/>
          <w:szCs w:val="13"/>
          <w:b w:val="1"/>
          <w:bCs w:val="1"/>
          <w:color w:val="auto"/>
        </w:rPr>
        <w:t>AeroVironment, Inc. Proprietary Information</w:t>
      </w:r>
      <w:r>
        <w:rPr>
          <w:rFonts w:ascii="Times New Roman" w:cs="Times New Roman" w:eastAsia="Times New Roman" w:hAnsi="Times New Roman"/>
          <w:sz w:val="13"/>
          <w:szCs w:val="13"/>
          <w:color w:val="auto"/>
        </w:rPr>
        <w:t>. This material includes privileged or proprietary data that shall not be disclosed to any third party at any time, nor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it be duplicated or used by the recipient, in whole or in part, for any purpose other than to disseminate information provided by AeroVironment, Inc. Furthermore, this material contains trade secrets and/or commercial or financial information that is proprietary and is exempt from disclosure under the Freedom of Information Act and protected from disclosure by the Trade Secrets Act. See 5 USC 552(b)(4); 18 USC 1905.</w:t>
      </w:r>
    </w:p>
    <w:tbl>
      <w:tblPr>
        <w:tblLayout w:type="fixed"/>
        <w:tblInd w:w="220" w:type="dxa"/>
        <w:tblCellMar>
          <w:top w:w="0" w:type="dxa"/>
          <w:left w:w="0" w:type="dxa"/>
          <w:bottom w:w="0" w:type="dxa"/>
          <w:right w:w="0" w:type="dxa"/>
        </w:tblCellMar>
      </w:tblPr>
      <w:tr>
        <w:trPr>
          <w:trHeight w:val="119"/>
        </w:trPr>
        <w:tc>
          <w:tcPr>
            <w:tcW w:w="2100" w:type="dxa"/>
            <w:vAlign w:val="bottom"/>
          </w:tcPr>
          <w:p>
            <w:pPr>
              <w:spacing w:after="0"/>
              <w:rPr>
                <w:sz w:val="10"/>
                <w:szCs w:val="10"/>
                <w:color w:val="auto"/>
              </w:rPr>
            </w:pPr>
          </w:p>
        </w:tc>
        <w:tc>
          <w:tcPr>
            <w:tcW w:w="4140" w:type="dxa"/>
            <w:vAlign w:val="bottom"/>
          </w:tcPr>
          <w:p>
            <w:pPr>
              <w:jc w:val="center"/>
              <w:ind w:left="157"/>
              <w:spacing w:after="0" w:line="119" w:lineRule="exact"/>
              <w:rPr>
                <w:sz w:val="20"/>
                <w:szCs w:val="20"/>
                <w:color w:val="auto"/>
              </w:rPr>
            </w:pPr>
            <w:r>
              <w:rPr>
                <w:rFonts w:ascii="Times New Roman" w:cs="Times New Roman" w:eastAsia="Times New Roman" w:hAnsi="Times New Roman"/>
                <w:sz w:val="13"/>
                <w:szCs w:val="13"/>
                <w:b w:val="1"/>
                <w:bCs w:val="1"/>
                <w:color w:val="auto"/>
                <w:w w:val="95"/>
              </w:rPr>
              <w:t xml:space="preserve">Page </w:t>
            </w:r>
            <w:r>
              <w:rPr>
                <w:rFonts w:ascii="Times New Roman" w:cs="Times New Roman" w:eastAsia="Times New Roman" w:hAnsi="Times New Roman"/>
                <w:sz w:val="13"/>
                <w:szCs w:val="13"/>
                <w:color w:val="auto"/>
                <w:w w:val="95"/>
              </w:rPr>
              <w:t>6</w:t>
            </w:r>
            <w:r>
              <w:rPr>
                <w:rFonts w:ascii="Times New Roman" w:cs="Times New Roman" w:eastAsia="Times New Roman" w:hAnsi="Times New Roman"/>
                <w:sz w:val="13"/>
                <w:szCs w:val="13"/>
                <w:b w:val="1"/>
                <w:bCs w:val="1"/>
                <w:color w:val="auto"/>
                <w:w w:val="95"/>
              </w:rPr>
              <w:t xml:space="preserve"> of 12</w:t>
            </w: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CONFIDENTIAL</w:t>
            </w:r>
          </w:p>
        </w:tc>
        <w:tc>
          <w:tcPr>
            <w:tcW w:w="4140" w:type="dxa"/>
            <w:vAlign w:val="bottom"/>
          </w:tcPr>
          <w:p>
            <w:pPr>
              <w:jc w:val="center"/>
              <w:ind w:lef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Every user is responsible for verifying this</w:t>
            </w:r>
          </w:p>
        </w:tc>
        <w:tc>
          <w:tcPr>
            <w:tcW w:w="2340" w:type="dxa"/>
            <w:vAlign w:val="bottom"/>
            <w:vMerge w:val="restart"/>
          </w:tcPr>
          <w:p>
            <w:pPr>
              <w:ind w:left="820"/>
              <w:spacing w:after="0"/>
              <w:rPr>
                <w:sz w:val="20"/>
                <w:szCs w:val="20"/>
                <w:color w:val="auto"/>
              </w:rPr>
            </w:pPr>
            <w:r>
              <w:rPr>
                <w:rFonts w:ascii="Times New Roman" w:cs="Times New Roman" w:eastAsia="Times New Roman" w:hAnsi="Times New Roman"/>
                <w:sz w:val="13"/>
                <w:szCs w:val="13"/>
                <w:color w:val="auto"/>
              </w:rPr>
              <w:t>©2021 AeroVironment, Inc.</w:t>
            </w:r>
          </w:p>
        </w:tc>
        <w:tc>
          <w:tcPr>
            <w:tcW w:w="0" w:type="dxa"/>
            <w:vAlign w:val="bottom"/>
          </w:tcPr>
          <w:p>
            <w:pPr>
              <w:spacing w:after="0"/>
              <w:rPr>
                <w:sz w:val="1"/>
                <w:szCs w:val="1"/>
                <w:color w:val="auto"/>
              </w:rPr>
            </w:pPr>
          </w:p>
        </w:tc>
      </w:tr>
      <w:tr>
        <w:trPr>
          <w:trHeight w:val="99"/>
        </w:trPr>
        <w:tc>
          <w:tcPr>
            <w:tcW w:w="2100" w:type="dxa"/>
            <w:vAlign w:val="bottom"/>
            <w:vMerge w:val="continue"/>
          </w:tcPr>
          <w:p>
            <w:pPr>
              <w:spacing w:after="0"/>
              <w:rPr>
                <w:sz w:val="8"/>
                <w:szCs w:val="8"/>
                <w:color w:val="auto"/>
              </w:rPr>
            </w:pPr>
          </w:p>
        </w:tc>
        <w:tc>
          <w:tcPr>
            <w:tcW w:w="4140" w:type="dxa"/>
            <w:vAlign w:val="bottom"/>
            <w:vMerge w:val="restart"/>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6"/>
              </w:rPr>
              <w:t>document is current prior to use.</w:t>
            </w: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00" w:type="dxa"/>
            <w:vAlign w:val="bottom"/>
          </w:tcPr>
          <w:p>
            <w:pPr>
              <w:spacing w:after="0"/>
              <w:rPr>
                <w:sz w:val="5"/>
                <w:szCs w:val="5"/>
                <w:color w:val="auto"/>
              </w:rPr>
            </w:pPr>
          </w:p>
        </w:tc>
        <w:tc>
          <w:tcPr>
            <w:tcW w:w="4140" w:type="dxa"/>
            <w:vAlign w:val="bottom"/>
            <w:vMerge w:val="continue"/>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3"/>
        </w:trPr>
        <w:tc>
          <w:tcPr>
            <w:tcW w:w="2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515" w:right="141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6"/>
          <w:szCs w:val="16"/>
          <w:b w:val="1"/>
          <w:bCs w:val="1"/>
          <w:color w:val="1C355E"/>
        </w:rPr>
        <w:t>BMSD-41 rev.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5760720" cy="9086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5">
                      <a:extLst>
                        <a:ext uri="{28A0092B-C50C-407E-A947-70E740481C1C}"/>
                      </a:extLst>
                    </a:blip>
                    <a:srcRect/>
                    <a:stretch>
                      <a:fillRect/>
                    </a:stretch>
                  </pic:blipFill>
                  <pic:spPr bwMode="auto">
                    <a:xfrm>
                      <a:off x="0" y="0"/>
                      <a:ext cx="5760720" cy="908685"/>
                    </a:xfrm>
                    <a:prstGeom prst="rect">
                      <a:avLst/>
                    </a:prstGeom>
                    <a:noFill/>
                  </pic:spPr>
                </pic:pic>
              </a:graphicData>
            </a:graphic>
          </wp:anchor>
        </w:drawing>
      </w:r>
    </w:p>
    <w:p>
      <w:pPr>
        <w:spacing w:after="0" w:line="9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1C355E"/>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80" w:right="360" w:hanging="323"/>
        <w:spacing w:after="0" w:line="246" w:lineRule="auto"/>
        <w:tabs>
          <w:tab w:leader="none" w:pos="118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Short Sales</w:t>
      </w:r>
      <w:r>
        <w:rPr>
          <w:rFonts w:ascii="Times New Roman" w:cs="Times New Roman" w:eastAsia="Times New Roman" w:hAnsi="Times New Roman"/>
          <w:sz w:val="20"/>
          <w:szCs w:val="20"/>
          <w:color w:val="auto"/>
        </w:rPr>
        <w:t>. Short sales of Company securities (i.e., the sale of a security that the seller does not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own) may evidence an expectation on the part of the seller that the securities will decline in value, and, therefore, signal to the market that the seller has no confidence in the Company or its prospects. In addition, short sales may reduce the seller’s incentive to improve the Company’s performance. Therefore, no Covered Person may engage in short sales of Company securities, including short sales “against the box.”</w:t>
      </w:r>
    </w:p>
    <w:p>
      <w:pPr>
        <w:spacing w:after="0" w:line="178" w:lineRule="exact"/>
        <w:rPr>
          <w:rFonts w:ascii="Times New Roman" w:cs="Times New Roman" w:eastAsia="Times New Roman" w:hAnsi="Times New Roman"/>
          <w:sz w:val="20"/>
          <w:szCs w:val="20"/>
          <w:color w:val="auto"/>
        </w:rPr>
      </w:pPr>
    </w:p>
    <w:p>
      <w:pPr>
        <w:ind w:left="1180" w:right="280" w:hanging="323"/>
        <w:spacing w:after="0" w:line="246" w:lineRule="auto"/>
        <w:tabs>
          <w:tab w:leader="none" w:pos="118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Publicly-Traded Options</w:t>
      </w:r>
      <w:r>
        <w:rPr>
          <w:rFonts w:ascii="Times New Roman" w:cs="Times New Roman" w:eastAsia="Times New Roman" w:hAnsi="Times New Roman"/>
          <w:sz w:val="20"/>
          <w:szCs w:val="20"/>
          <w:color w:val="auto"/>
        </w:rPr>
        <w:t>. Given the relatively short term of publicly-traded options, transactions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options may create the appearance that a Director, officer or employee is trading based on material non-public information and focus a Covered Person’s attention on short-term performance at the expense of the Company’s long-term objectives. Accordingly, transactions in put options, call options or other derivative securities, on an exchange or in any other organized market are prohibited by this Policy.</w:t>
      </w:r>
    </w:p>
    <w:p>
      <w:pPr>
        <w:spacing w:after="0" w:line="178" w:lineRule="exact"/>
        <w:rPr>
          <w:rFonts w:ascii="Times New Roman" w:cs="Times New Roman" w:eastAsia="Times New Roman" w:hAnsi="Times New Roman"/>
          <w:sz w:val="20"/>
          <w:szCs w:val="20"/>
          <w:color w:val="auto"/>
        </w:rPr>
      </w:pPr>
    </w:p>
    <w:p>
      <w:pPr>
        <w:ind w:left="1180" w:right="340" w:hanging="323"/>
        <w:spacing w:after="0" w:line="260" w:lineRule="auto"/>
        <w:tabs>
          <w:tab w:leader="none" w:pos="118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Hedging Transactions. </w:t>
      </w:r>
      <w:r>
        <w:rPr>
          <w:rFonts w:ascii="Times New Roman" w:cs="Times New Roman" w:eastAsia="Times New Roman" w:hAnsi="Times New Roman"/>
          <w:sz w:val="19"/>
          <w:szCs w:val="19"/>
          <w:color w:val="auto"/>
        </w:rPr>
        <w:t>Hedging or monetization transactions can be accomplished through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number of possible mechanisms, including through the use of financial instruments as prepaid variable forwards, equity swaps, collars and exchange funds. Such hedging transactions may permit a Covered Person to continue to own Company securities obtained through employee benefit plans or otherwise, but without the full risks and rewards of ownership. When that occurs, the Covered Person may no longer have the same objectives as the Company’s other stockholders. Therefore, Covered Persons are prohibited from engaging in any such transactions.</w:t>
      </w:r>
    </w:p>
    <w:p>
      <w:pPr>
        <w:spacing w:after="0" w:line="165" w:lineRule="exact"/>
        <w:rPr>
          <w:rFonts w:ascii="Times New Roman" w:cs="Times New Roman" w:eastAsia="Times New Roman" w:hAnsi="Times New Roman"/>
          <w:sz w:val="19"/>
          <w:szCs w:val="19"/>
          <w:color w:val="auto"/>
        </w:rPr>
      </w:pPr>
    </w:p>
    <w:p>
      <w:pPr>
        <w:ind w:left="1180" w:right="300" w:hanging="323"/>
        <w:spacing w:after="0" w:line="260" w:lineRule="auto"/>
        <w:tabs>
          <w:tab w:leader="none" w:pos="1180"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Pledges and Margin Accounts. </w:t>
      </w:r>
      <w:r>
        <w:rPr>
          <w:rFonts w:ascii="Times New Roman" w:cs="Times New Roman" w:eastAsia="Times New Roman" w:hAnsi="Times New Roman"/>
          <w:sz w:val="19"/>
          <w:szCs w:val="19"/>
          <w:color w:val="auto"/>
        </w:rPr>
        <w:t>Securities pledged as collateral for a loan may be sold without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your consent by the lender in foreclosure if you default on the loan. Similarly, securities held in a margin account as collateral for a margin loan may be sold without your consent if you fail to meet a margin call. A margin sale or a foreclosure sale may occur when you are aware of material non-public information which may, under some circumstances, result in unlawful insider trading. Therefore, Covered Persons are prohibited from holding Company securities in a margin account or otherwise pledging Company securities as collateral for a loan.</w:t>
      </w:r>
    </w:p>
    <w:p>
      <w:pPr>
        <w:spacing w:after="0" w:line="165" w:lineRule="exact"/>
        <w:rPr>
          <w:rFonts w:ascii="Times New Roman" w:cs="Times New Roman" w:eastAsia="Times New Roman" w:hAnsi="Times New Roman"/>
          <w:sz w:val="19"/>
          <w:szCs w:val="19"/>
          <w:color w:val="auto"/>
        </w:rPr>
      </w:pPr>
    </w:p>
    <w:p>
      <w:pPr>
        <w:ind w:left="1180" w:right="360" w:hanging="323"/>
        <w:spacing w:after="0" w:line="244" w:lineRule="auto"/>
        <w:tabs>
          <w:tab w:leader="none" w:pos="118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Standing Limit Orders. </w:t>
      </w:r>
      <w:r>
        <w:rPr>
          <w:rFonts w:ascii="Times New Roman" w:cs="Times New Roman" w:eastAsia="Times New Roman" w:hAnsi="Times New Roman"/>
          <w:sz w:val="20"/>
          <w:szCs w:val="20"/>
          <w:color w:val="auto"/>
        </w:rPr>
        <w:t>Standing and limit orders (except standing and limit orders under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approved Rule 10b5-1 Plans) create heightened risks for insider trading violations. There is no control over the timing of purchases or sales that result from standing instructions to a broker, and as a result the broker could execute a transaction when a Covered Person is in possession of material non-public information. The Company therefore discourages placing standing or limit orders on Company securities. If a Covered Person determines that they must use a standing order or limit order, the order should be limited to short duration and should obtain pre-clearance from the Compliance Officer.</w:t>
      </w:r>
    </w:p>
    <w:p>
      <w:pPr>
        <w:spacing w:after="0" w:line="182"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VII.</w:t>
        <w:tab/>
        <w:t>BLACKOUT PERIODS</w:t>
      </w:r>
    </w:p>
    <w:p>
      <w:pPr>
        <w:spacing w:after="0" w:line="216" w:lineRule="exact"/>
        <w:rPr>
          <w:sz w:val="20"/>
          <w:szCs w:val="20"/>
          <w:color w:val="auto"/>
        </w:rPr>
      </w:pPr>
    </w:p>
    <w:p>
      <w:pPr>
        <w:ind w:left="200" w:right="460" w:firstLine="657"/>
        <w:spacing w:after="0" w:line="268" w:lineRule="auto"/>
        <w:tabs>
          <w:tab w:leader="none" w:pos="1496" w:val="left"/>
        </w:tabs>
        <w:numPr>
          <w:ilvl w:val="0"/>
          <w:numId w:val="9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Special Blackout Periods</w:t>
      </w:r>
      <w:r>
        <w:rPr>
          <w:rFonts w:ascii="Times New Roman" w:cs="Times New Roman" w:eastAsia="Times New Roman" w:hAnsi="Times New Roman"/>
          <w:sz w:val="19"/>
          <w:szCs w:val="19"/>
          <w:color w:val="auto"/>
        </w:rPr>
        <w:t>. From time-to-time, an event may occur or information may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develop that is material to the Company and is known to only a few Directors, officers, and employees of the Company, and/or Designated Consultants. In the event of an event-specific trading restriction (a “</w:t>
      </w:r>
      <w:r>
        <w:rPr>
          <w:rFonts w:ascii="Times New Roman" w:cs="Times New Roman" w:eastAsia="Times New Roman" w:hAnsi="Times New Roman"/>
          <w:sz w:val="19"/>
          <w:szCs w:val="19"/>
          <w:b w:val="1"/>
          <w:bCs w:val="1"/>
          <w:i w:val="1"/>
          <w:iCs w:val="1"/>
          <w:color w:val="auto"/>
        </w:rPr>
        <w:t>Special Blackout Period</w:t>
      </w:r>
      <w:r>
        <w:rPr>
          <w:rFonts w:ascii="Times New Roman" w:cs="Times New Roman" w:eastAsia="Times New Roman" w:hAnsi="Times New Roman"/>
          <w:sz w:val="19"/>
          <w:szCs w:val="19"/>
          <w:color w:val="auto"/>
        </w:rPr>
        <w:t>”), the Compliance Officer will notify these persons that they should not trade in</w:t>
      </w:r>
    </w:p>
    <w:p>
      <w:pPr>
        <w:spacing w:after="0" w:line="259" w:lineRule="exact"/>
        <w:rPr>
          <w:sz w:val="20"/>
          <w:szCs w:val="20"/>
          <w:color w:val="auto"/>
        </w:rPr>
      </w:pPr>
    </w:p>
    <w:p>
      <w:pPr>
        <w:ind w:left="300" w:right="500"/>
        <w:spacing w:after="0" w:line="223" w:lineRule="auto"/>
        <w:rPr>
          <w:sz w:val="20"/>
          <w:szCs w:val="20"/>
          <w:color w:val="auto"/>
        </w:rPr>
      </w:pPr>
      <w:r>
        <w:rPr>
          <w:rFonts w:ascii="Times New Roman" w:cs="Times New Roman" w:eastAsia="Times New Roman" w:hAnsi="Times New Roman"/>
          <w:sz w:val="13"/>
          <w:szCs w:val="13"/>
          <w:b w:val="1"/>
          <w:bCs w:val="1"/>
          <w:color w:val="auto"/>
        </w:rPr>
        <w:t>AeroVironment, Inc. Proprietary Information</w:t>
      </w:r>
      <w:r>
        <w:rPr>
          <w:rFonts w:ascii="Times New Roman" w:cs="Times New Roman" w:eastAsia="Times New Roman" w:hAnsi="Times New Roman"/>
          <w:sz w:val="13"/>
          <w:szCs w:val="13"/>
          <w:color w:val="auto"/>
        </w:rPr>
        <w:t>. This material includes privileged or proprietary data that shall not be disclosed to any third party at any time, nor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it be duplicated or used by the recipient, in whole or in part, for any purpose other than to disseminate information provided by AeroVironment, Inc. Furthermore, this material contains trade secrets and/or commercial or financial information that is proprietary and is exempt from disclosure under the Freedom of Information Act and protected from disclosure by the Trade Secrets Act. See 5 USC 552(b)(4); 18 USC 1905.</w:t>
      </w:r>
    </w:p>
    <w:tbl>
      <w:tblPr>
        <w:tblLayout w:type="fixed"/>
        <w:tblInd w:w="220" w:type="dxa"/>
        <w:tblCellMar>
          <w:top w:w="0" w:type="dxa"/>
          <w:left w:w="0" w:type="dxa"/>
          <w:bottom w:w="0" w:type="dxa"/>
          <w:right w:w="0" w:type="dxa"/>
        </w:tblCellMar>
      </w:tblPr>
      <w:tr>
        <w:trPr>
          <w:trHeight w:val="119"/>
        </w:trPr>
        <w:tc>
          <w:tcPr>
            <w:tcW w:w="2100" w:type="dxa"/>
            <w:vAlign w:val="bottom"/>
          </w:tcPr>
          <w:p>
            <w:pPr>
              <w:spacing w:after="0"/>
              <w:rPr>
                <w:sz w:val="10"/>
                <w:szCs w:val="10"/>
                <w:color w:val="auto"/>
              </w:rPr>
            </w:pPr>
          </w:p>
        </w:tc>
        <w:tc>
          <w:tcPr>
            <w:tcW w:w="4140" w:type="dxa"/>
            <w:vAlign w:val="bottom"/>
          </w:tcPr>
          <w:p>
            <w:pPr>
              <w:jc w:val="center"/>
              <w:ind w:left="157"/>
              <w:spacing w:after="0" w:line="119" w:lineRule="exact"/>
              <w:rPr>
                <w:sz w:val="20"/>
                <w:szCs w:val="20"/>
                <w:color w:val="auto"/>
              </w:rPr>
            </w:pPr>
            <w:r>
              <w:rPr>
                <w:rFonts w:ascii="Times New Roman" w:cs="Times New Roman" w:eastAsia="Times New Roman" w:hAnsi="Times New Roman"/>
                <w:sz w:val="13"/>
                <w:szCs w:val="13"/>
                <w:b w:val="1"/>
                <w:bCs w:val="1"/>
                <w:color w:val="auto"/>
                <w:w w:val="95"/>
              </w:rPr>
              <w:t xml:space="preserve">Page </w:t>
            </w:r>
            <w:r>
              <w:rPr>
                <w:rFonts w:ascii="Times New Roman" w:cs="Times New Roman" w:eastAsia="Times New Roman" w:hAnsi="Times New Roman"/>
                <w:sz w:val="13"/>
                <w:szCs w:val="13"/>
                <w:color w:val="auto"/>
                <w:w w:val="95"/>
              </w:rPr>
              <w:t>7</w:t>
            </w:r>
            <w:r>
              <w:rPr>
                <w:rFonts w:ascii="Times New Roman" w:cs="Times New Roman" w:eastAsia="Times New Roman" w:hAnsi="Times New Roman"/>
                <w:sz w:val="13"/>
                <w:szCs w:val="13"/>
                <w:b w:val="1"/>
                <w:bCs w:val="1"/>
                <w:color w:val="auto"/>
                <w:w w:val="95"/>
              </w:rPr>
              <w:t xml:space="preserve"> of 12</w:t>
            </w: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CONFIDENTIAL</w:t>
            </w:r>
          </w:p>
        </w:tc>
        <w:tc>
          <w:tcPr>
            <w:tcW w:w="4140" w:type="dxa"/>
            <w:vAlign w:val="bottom"/>
          </w:tcPr>
          <w:p>
            <w:pPr>
              <w:jc w:val="center"/>
              <w:ind w:lef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Every user is responsible for verifying this</w:t>
            </w:r>
          </w:p>
        </w:tc>
        <w:tc>
          <w:tcPr>
            <w:tcW w:w="2340" w:type="dxa"/>
            <w:vAlign w:val="bottom"/>
            <w:vMerge w:val="restart"/>
          </w:tcPr>
          <w:p>
            <w:pPr>
              <w:ind w:left="820"/>
              <w:spacing w:after="0"/>
              <w:rPr>
                <w:sz w:val="20"/>
                <w:szCs w:val="20"/>
                <w:color w:val="auto"/>
              </w:rPr>
            </w:pPr>
            <w:r>
              <w:rPr>
                <w:rFonts w:ascii="Times New Roman" w:cs="Times New Roman" w:eastAsia="Times New Roman" w:hAnsi="Times New Roman"/>
                <w:sz w:val="13"/>
                <w:szCs w:val="13"/>
                <w:color w:val="auto"/>
              </w:rPr>
              <w:t>©2021 AeroVironment, Inc.</w:t>
            </w:r>
          </w:p>
        </w:tc>
        <w:tc>
          <w:tcPr>
            <w:tcW w:w="0" w:type="dxa"/>
            <w:vAlign w:val="bottom"/>
          </w:tcPr>
          <w:p>
            <w:pPr>
              <w:spacing w:after="0"/>
              <w:rPr>
                <w:sz w:val="1"/>
                <w:szCs w:val="1"/>
                <w:color w:val="auto"/>
              </w:rPr>
            </w:pPr>
          </w:p>
        </w:tc>
      </w:tr>
      <w:tr>
        <w:trPr>
          <w:trHeight w:val="99"/>
        </w:trPr>
        <w:tc>
          <w:tcPr>
            <w:tcW w:w="2100" w:type="dxa"/>
            <w:vAlign w:val="bottom"/>
            <w:vMerge w:val="continue"/>
          </w:tcPr>
          <w:p>
            <w:pPr>
              <w:spacing w:after="0"/>
              <w:rPr>
                <w:sz w:val="8"/>
                <w:szCs w:val="8"/>
                <w:color w:val="auto"/>
              </w:rPr>
            </w:pPr>
          </w:p>
        </w:tc>
        <w:tc>
          <w:tcPr>
            <w:tcW w:w="4140" w:type="dxa"/>
            <w:vAlign w:val="bottom"/>
            <w:vMerge w:val="restart"/>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6"/>
              </w:rPr>
              <w:t>document is current prior to use.</w:t>
            </w: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00" w:type="dxa"/>
            <w:vAlign w:val="bottom"/>
          </w:tcPr>
          <w:p>
            <w:pPr>
              <w:spacing w:after="0"/>
              <w:rPr>
                <w:sz w:val="5"/>
                <w:szCs w:val="5"/>
                <w:color w:val="auto"/>
              </w:rPr>
            </w:pPr>
          </w:p>
        </w:tc>
        <w:tc>
          <w:tcPr>
            <w:tcW w:w="4140" w:type="dxa"/>
            <w:vAlign w:val="bottom"/>
            <w:vMerge w:val="continue"/>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3"/>
        </w:trPr>
        <w:tc>
          <w:tcPr>
            <w:tcW w:w="2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515" w:right="141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6"/>
          <w:szCs w:val="16"/>
          <w:b w:val="1"/>
          <w:bCs w:val="1"/>
          <w:color w:val="1C355E"/>
        </w:rPr>
        <w:t>BMSD-41 rev.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5760720" cy="9086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6">
                      <a:extLst>
                        <a:ext uri="{28A0092B-C50C-407E-A947-70E740481C1C}"/>
                      </a:extLst>
                    </a:blip>
                    <a:srcRect/>
                    <a:stretch>
                      <a:fillRect/>
                    </a:stretch>
                  </pic:blipFill>
                  <pic:spPr bwMode="auto">
                    <a:xfrm>
                      <a:off x="0" y="0"/>
                      <a:ext cx="5760720" cy="908685"/>
                    </a:xfrm>
                    <a:prstGeom prst="rect">
                      <a:avLst/>
                    </a:prstGeom>
                    <a:noFill/>
                  </pic:spPr>
                </pic:pic>
              </a:graphicData>
            </a:graphic>
          </wp:anchor>
        </w:drawing>
      </w:r>
    </w:p>
    <w:p>
      <w:pPr>
        <w:spacing w:after="0" w:line="9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1C355E"/>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0" w:right="280"/>
        <w:spacing w:after="0" w:line="274" w:lineRule="auto"/>
        <w:rPr>
          <w:sz w:val="20"/>
          <w:szCs w:val="20"/>
          <w:color w:val="auto"/>
        </w:rPr>
      </w:pPr>
      <w:r>
        <w:rPr>
          <w:rFonts w:ascii="Times New Roman" w:cs="Times New Roman" w:eastAsia="Times New Roman" w:hAnsi="Times New Roman"/>
          <w:sz w:val="19"/>
          <w:szCs w:val="19"/>
          <w:color w:val="auto"/>
        </w:rPr>
        <w:t>the Company’s securities without disclosing the reason for the restriction. Subject to the exceptions noted in this Policy, all those affected should not trade in Company securities while the Special Blackout Period is in effect, and should not disclose to others that the Company has implemented a Special Blackout Period.</w:t>
      </w:r>
    </w:p>
    <w:p>
      <w:pPr>
        <w:spacing w:after="0" w:line="152" w:lineRule="exact"/>
        <w:rPr>
          <w:sz w:val="20"/>
          <w:szCs w:val="20"/>
          <w:color w:val="auto"/>
        </w:rPr>
      </w:pPr>
    </w:p>
    <w:p>
      <w:pPr>
        <w:ind w:left="200" w:right="260" w:firstLine="657"/>
        <w:spacing w:after="0" w:line="221" w:lineRule="auto"/>
        <w:tabs>
          <w:tab w:leader="none" w:pos="1496"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Quarterly Blackout Periods</w:t>
      </w:r>
      <w:r>
        <w:rPr>
          <w:rFonts w:ascii="Times New Roman" w:cs="Times New Roman" w:eastAsia="Times New Roman" w:hAnsi="Times New Roman"/>
          <w:sz w:val="20"/>
          <w:szCs w:val="20"/>
          <w:color w:val="auto"/>
        </w:rPr>
        <w:t>. No Covered Person may purchase or sell any security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(other than as specified in this Policy) during a “</w:t>
      </w:r>
      <w:r>
        <w:rPr>
          <w:rFonts w:ascii="Times New Roman" w:cs="Times New Roman" w:eastAsia="Times New Roman" w:hAnsi="Times New Roman"/>
          <w:sz w:val="20"/>
          <w:szCs w:val="20"/>
          <w:b w:val="1"/>
          <w:bCs w:val="1"/>
          <w:i w:val="1"/>
          <w:iCs w:val="1"/>
          <w:color w:val="auto"/>
        </w:rPr>
        <w:t>Blackout Period</w:t>
      </w:r>
      <w:r>
        <w:rPr>
          <w:rFonts w:ascii="Times New Roman" w:cs="Times New Roman" w:eastAsia="Times New Roman" w:hAnsi="Times New Roman"/>
          <w:sz w:val="20"/>
          <w:szCs w:val="20"/>
          <w:color w:val="auto"/>
        </w:rPr>
        <w:t>” beginning at the close of the market (1:00pm Pacific Time) on the fourteenth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day before the end of any fiscal quarter of the Company and ending at the open of the market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20"/>
          <w:szCs w:val="20"/>
          <w:color w:val="auto"/>
        </w:rPr>
        <w:t>) business day following the public release of earnings data for such fiscal quarter. In addition, the Company’s financial results may be sufficiently material in a particular fiscal quarter that in the judgment of the Company, Covered Persons should refrain from trading in Company securities even sooner than the typical quarterly Blackout Period. The Compliance Officer will notify the officers, employees, and Directors of the Company and Designated Individuals of the beginning and end of Blackout Periods.</w:t>
      </w:r>
    </w:p>
    <w:p>
      <w:pPr>
        <w:spacing w:after="0" w:line="189" w:lineRule="exact"/>
        <w:rPr>
          <w:sz w:val="20"/>
          <w:szCs w:val="20"/>
          <w:color w:val="auto"/>
        </w:rPr>
      </w:pPr>
    </w:p>
    <w:p>
      <w:pPr>
        <w:ind w:left="200" w:right="280" w:firstLine="648"/>
        <w:spacing w:after="0" w:line="249" w:lineRule="auto"/>
        <w:rPr>
          <w:sz w:val="20"/>
          <w:szCs w:val="20"/>
          <w:color w:val="auto"/>
        </w:rPr>
      </w:pPr>
      <w:r>
        <w:rPr>
          <w:rFonts w:ascii="Times New Roman" w:cs="Times New Roman" w:eastAsia="Times New Roman" w:hAnsi="Times New Roman"/>
          <w:sz w:val="20"/>
          <w:szCs w:val="20"/>
          <w:color w:val="auto"/>
        </w:rPr>
        <w:t>Note: a Blackout Period is a Company compliance requirement and does not constitute a legal right to trade in the Company’s securities when outside of such Blackout Period. Accordingly, even during a non-Blackout Period, if you are in possession of material non-public information, you may not trade in the Company’s securities.</w:t>
      </w:r>
    </w:p>
    <w:p>
      <w:pPr>
        <w:spacing w:after="0" w:line="176"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VIII.</w:t>
        <w:tab/>
        <w:t>NOTICE AND PRE-CLEARANCE PROCEDURES FOR CERTAIN COVERED PERSONS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00" w:right="280" w:firstLine="657"/>
        <w:spacing w:after="0" w:line="255" w:lineRule="auto"/>
        <w:tabs>
          <w:tab w:leader="none" w:pos="1496" w:val="left"/>
        </w:tabs>
        <w:numPr>
          <w:ilvl w:val="0"/>
          <w:numId w:val="9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Pre-Clearance Procedures</w:t>
      </w:r>
      <w:r>
        <w:rPr>
          <w:rFonts w:ascii="Times New Roman" w:cs="Times New Roman" w:eastAsia="Times New Roman" w:hAnsi="Times New Roman"/>
          <w:sz w:val="19"/>
          <w:szCs w:val="19"/>
          <w:color w:val="auto"/>
        </w:rPr>
        <w:t>. To provide assistance in preventing inadvertent violations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applicable securities laws and to avoid the appearance of impropriety in connection with the purchase and sale of the Company securities, all transactions in Company securities (including without limitation, acquisitions and dispositions of Company stock, the exercise of stock options and the sale of Company stock issued upon exercise of stock options) by the Directors and certain persons designated by the Compliance Officer (collectively, the “</w:t>
      </w:r>
      <w:r>
        <w:rPr>
          <w:rFonts w:ascii="Times New Roman" w:cs="Times New Roman" w:eastAsia="Times New Roman" w:hAnsi="Times New Roman"/>
          <w:sz w:val="19"/>
          <w:szCs w:val="19"/>
          <w:b w:val="1"/>
          <w:bCs w:val="1"/>
          <w:i w:val="1"/>
          <w:iCs w:val="1"/>
          <w:color w:val="auto"/>
        </w:rPr>
        <w:t>Designated Individuals</w:t>
      </w:r>
      <w:r>
        <w:rPr>
          <w:rFonts w:ascii="Times New Roman" w:cs="Times New Roman" w:eastAsia="Times New Roman" w:hAnsi="Times New Roman"/>
          <w:sz w:val="19"/>
          <w:szCs w:val="19"/>
          <w:color w:val="auto"/>
        </w:rPr>
        <w:t>”), as well as any Covered Person associated or affiliated with such persons, must be pre-cleared by the Compliance Officer. Pre-clearance requests must be made in writing to the Compliance Officer on a Pre-Clearance Request Form, which is available on the Company’s intranet, submitted two business days prior to the proposed transaction date. The Compliance Officer shall have sole discretion to decide whether to clear any contemplated transaction. If the Compliance Officer or persons or entities subject to this Policy as a result of their relationship with the Compliance Officer contemplate any transactions in Company securities, the General Counsel (if the General Counsel is not serving as the Compliance Officer) or the Chief Financial Officer (if the General Counsel is serving as the Compliance Officer) shall have sole discretion to decide whether to clear any such transactions.</w:t>
      </w:r>
    </w:p>
    <w:p>
      <w:pPr>
        <w:spacing w:after="0" w:line="18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Contact the Compliance Officer for more information regarding pre-clearance procedures.</w:t>
      </w:r>
    </w:p>
    <w:p>
      <w:pPr>
        <w:spacing w:after="0" w:line="212" w:lineRule="exact"/>
        <w:rPr>
          <w:sz w:val="20"/>
          <w:szCs w:val="20"/>
          <w:color w:val="auto"/>
        </w:rPr>
      </w:pPr>
    </w:p>
    <w:p>
      <w:pPr>
        <w:ind w:left="200" w:right="280" w:firstLine="657"/>
        <w:spacing w:after="0" w:line="247" w:lineRule="auto"/>
        <w:tabs>
          <w:tab w:leader="none" w:pos="1496"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Post-Transaction Notice</w:t>
      </w:r>
      <w:r>
        <w:rPr>
          <w:rFonts w:ascii="Times New Roman" w:cs="Times New Roman" w:eastAsia="Times New Roman" w:hAnsi="Times New Roman"/>
          <w:sz w:val="20"/>
          <w:szCs w:val="20"/>
          <w:color w:val="auto"/>
        </w:rPr>
        <w:t>. Each person who is subject to the reporting obligations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16 of the 1934 Act (each such person, a “</w:t>
      </w:r>
      <w:r>
        <w:rPr>
          <w:rFonts w:ascii="Times New Roman" w:cs="Times New Roman" w:eastAsia="Times New Roman" w:hAnsi="Times New Roman"/>
          <w:sz w:val="20"/>
          <w:szCs w:val="20"/>
          <w:b w:val="1"/>
          <w:bCs w:val="1"/>
          <w:i w:val="1"/>
          <w:iCs w:val="1"/>
          <w:color w:val="auto"/>
        </w:rPr>
        <w:t>Section 16 Reporting Person</w:t>
      </w:r>
      <w:r>
        <w:rPr>
          <w:rFonts w:ascii="Times New Roman" w:cs="Times New Roman" w:eastAsia="Times New Roman" w:hAnsi="Times New Roman"/>
          <w:sz w:val="20"/>
          <w:szCs w:val="20"/>
          <w:color w:val="auto"/>
        </w:rPr>
        <w:t>”) shall also notify the Compliance Officer of the occurrence of any purchase, sale or other acquisition or disposition of Company securities as soon as possible following the transaction to ensure that all required SEC filings for the transaction are properly filed. Information regarding SEC filing requirements and restrictions and</w:t>
      </w:r>
    </w:p>
    <w:p>
      <w:pPr>
        <w:spacing w:after="0" w:line="65" w:lineRule="exact"/>
        <w:rPr>
          <w:sz w:val="20"/>
          <w:szCs w:val="20"/>
          <w:color w:val="auto"/>
        </w:rPr>
      </w:pPr>
    </w:p>
    <w:p>
      <w:pPr>
        <w:ind w:left="300" w:right="500"/>
        <w:spacing w:after="0" w:line="223" w:lineRule="auto"/>
        <w:rPr>
          <w:sz w:val="20"/>
          <w:szCs w:val="20"/>
          <w:color w:val="auto"/>
        </w:rPr>
      </w:pPr>
      <w:r>
        <w:rPr>
          <w:rFonts w:ascii="Times New Roman" w:cs="Times New Roman" w:eastAsia="Times New Roman" w:hAnsi="Times New Roman"/>
          <w:sz w:val="13"/>
          <w:szCs w:val="13"/>
          <w:b w:val="1"/>
          <w:bCs w:val="1"/>
          <w:color w:val="auto"/>
        </w:rPr>
        <w:t>AeroVironment, Inc. Proprietary Information</w:t>
      </w:r>
      <w:r>
        <w:rPr>
          <w:rFonts w:ascii="Times New Roman" w:cs="Times New Roman" w:eastAsia="Times New Roman" w:hAnsi="Times New Roman"/>
          <w:sz w:val="13"/>
          <w:szCs w:val="13"/>
          <w:color w:val="auto"/>
        </w:rPr>
        <w:t>. This material includes privileged or proprietary data that shall not be disclosed to any third party at any time, nor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it be duplicated or used by the recipient, in whole or in part, for any purpose other than to disseminate information provided by AeroVironment, Inc. Furthermore, this material contains trade secrets and/or commercial or financial information that is proprietary and is exempt from disclosure under the Freedom of Information Act and protected from disclosure by the Trade Secrets Act. See 5 USC 552(b)(4); 18 USC 1905.</w:t>
      </w:r>
    </w:p>
    <w:tbl>
      <w:tblPr>
        <w:tblLayout w:type="fixed"/>
        <w:tblInd w:w="220" w:type="dxa"/>
        <w:tblCellMar>
          <w:top w:w="0" w:type="dxa"/>
          <w:left w:w="0" w:type="dxa"/>
          <w:bottom w:w="0" w:type="dxa"/>
          <w:right w:w="0" w:type="dxa"/>
        </w:tblCellMar>
      </w:tblPr>
      <w:tr>
        <w:trPr>
          <w:trHeight w:val="119"/>
        </w:trPr>
        <w:tc>
          <w:tcPr>
            <w:tcW w:w="2100" w:type="dxa"/>
            <w:vAlign w:val="bottom"/>
          </w:tcPr>
          <w:p>
            <w:pPr>
              <w:spacing w:after="0"/>
              <w:rPr>
                <w:sz w:val="10"/>
                <w:szCs w:val="10"/>
                <w:color w:val="auto"/>
              </w:rPr>
            </w:pPr>
          </w:p>
        </w:tc>
        <w:tc>
          <w:tcPr>
            <w:tcW w:w="4140" w:type="dxa"/>
            <w:vAlign w:val="bottom"/>
          </w:tcPr>
          <w:p>
            <w:pPr>
              <w:jc w:val="center"/>
              <w:ind w:left="157"/>
              <w:spacing w:after="0" w:line="119" w:lineRule="exact"/>
              <w:rPr>
                <w:sz w:val="20"/>
                <w:szCs w:val="20"/>
                <w:color w:val="auto"/>
              </w:rPr>
            </w:pPr>
            <w:r>
              <w:rPr>
                <w:rFonts w:ascii="Times New Roman" w:cs="Times New Roman" w:eastAsia="Times New Roman" w:hAnsi="Times New Roman"/>
                <w:sz w:val="13"/>
                <w:szCs w:val="13"/>
                <w:b w:val="1"/>
                <w:bCs w:val="1"/>
                <w:color w:val="auto"/>
                <w:w w:val="95"/>
              </w:rPr>
              <w:t xml:space="preserve">Page </w:t>
            </w:r>
            <w:r>
              <w:rPr>
                <w:rFonts w:ascii="Times New Roman" w:cs="Times New Roman" w:eastAsia="Times New Roman" w:hAnsi="Times New Roman"/>
                <w:sz w:val="13"/>
                <w:szCs w:val="13"/>
                <w:color w:val="auto"/>
                <w:w w:val="95"/>
              </w:rPr>
              <w:t>8</w:t>
            </w:r>
            <w:r>
              <w:rPr>
                <w:rFonts w:ascii="Times New Roman" w:cs="Times New Roman" w:eastAsia="Times New Roman" w:hAnsi="Times New Roman"/>
                <w:sz w:val="13"/>
                <w:szCs w:val="13"/>
                <w:b w:val="1"/>
                <w:bCs w:val="1"/>
                <w:color w:val="auto"/>
                <w:w w:val="95"/>
              </w:rPr>
              <w:t xml:space="preserve"> of 12</w:t>
            </w: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CONFIDENTIAL</w:t>
            </w:r>
          </w:p>
        </w:tc>
        <w:tc>
          <w:tcPr>
            <w:tcW w:w="4140" w:type="dxa"/>
            <w:vAlign w:val="bottom"/>
          </w:tcPr>
          <w:p>
            <w:pPr>
              <w:jc w:val="center"/>
              <w:ind w:lef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Every user is responsible for verifying this</w:t>
            </w:r>
          </w:p>
        </w:tc>
        <w:tc>
          <w:tcPr>
            <w:tcW w:w="2340" w:type="dxa"/>
            <w:vAlign w:val="bottom"/>
            <w:vMerge w:val="restart"/>
          </w:tcPr>
          <w:p>
            <w:pPr>
              <w:ind w:left="820"/>
              <w:spacing w:after="0"/>
              <w:rPr>
                <w:sz w:val="20"/>
                <w:szCs w:val="20"/>
                <w:color w:val="auto"/>
              </w:rPr>
            </w:pPr>
            <w:r>
              <w:rPr>
                <w:rFonts w:ascii="Times New Roman" w:cs="Times New Roman" w:eastAsia="Times New Roman" w:hAnsi="Times New Roman"/>
                <w:sz w:val="13"/>
                <w:szCs w:val="13"/>
                <w:color w:val="auto"/>
              </w:rPr>
              <w:t>©2021 AeroVironment, Inc.</w:t>
            </w:r>
          </w:p>
        </w:tc>
        <w:tc>
          <w:tcPr>
            <w:tcW w:w="0" w:type="dxa"/>
            <w:vAlign w:val="bottom"/>
          </w:tcPr>
          <w:p>
            <w:pPr>
              <w:spacing w:after="0"/>
              <w:rPr>
                <w:sz w:val="1"/>
                <w:szCs w:val="1"/>
                <w:color w:val="auto"/>
              </w:rPr>
            </w:pPr>
          </w:p>
        </w:tc>
      </w:tr>
      <w:tr>
        <w:trPr>
          <w:trHeight w:val="99"/>
        </w:trPr>
        <w:tc>
          <w:tcPr>
            <w:tcW w:w="2100" w:type="dxa"/>
            <w:vAlign w:val="bottom"/>
            <w:vMerge w:val="continue"/>
          </w:tcPr>
          <w:p>
            <w:pPr>
              <w:spacing w:after="0"/>
              <w:rPr>
                <w:sz w:val="8"/>
                <w:szCs w:val="8"/>
                <w:color w:val="auto"/>
              </w:rPr>
            </w:pPr>
          </w:p>
        </w:tc>
        <w:tc>
          <w:tcPr>
            <w:tcW w:w="4140" w:type="dxa"/>
            <w:vAlign w:val="bottom"/>
            <w:vMerge w:val="restart"/>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6"/>
              </w:rPr>
              <w:t>document is current prior to use.</w:t>
            </w: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00" w:type="dxa"/>
            <w:vAlign w:val="bottom"/>
          </w:tcPr>
          <w:p>
            <w:pPr>
              <w:spacing w:after="0"/>
              <w:rPr>
                <w:sz w:val="5"/>
                <w:szCs w:val="5"/>
                <w:color w:val="auto"/>
              </w:rPr>
            </w:pPr>
          </w:p>
        </w:tc>
        <w:tc>
          <w:tcPr>
            <w:tcW w:w="4140" w:type="dxa"/>
            <w:vAlign w:val="bottom"/>
            <w:vMerge w:val="continue"/>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3"/>
        </w:trPr>
        <w:tc>
          <w:tcPr>
            <w:tcW w:w="2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515" w:right="141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6"/>
          <w:szCs w:val="16"/>
          <w:b w:val="1"/>
          <w:bCs w:val="1"/>
          <w:color w:val="1C355E"/>
        </w:rPr>
        <w:t>BMSD-41 rev.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5760720" cy="9086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7">
                      <a:extLst>
                        <a:ext uri="{28A0092B-C50C-407E-A947-70E740481C1C}"/>
                      </a:extLst>
                    </a:blip>
                    <a:srcRect/>
                    <a:stretch>
                      <a:fillRect/>
                    </a:stretch>
                  </pic:blipFill>
                  <pic:spPr bwMode="auto">
                    <a:xfrm>
                      <a:off x="0" y="0"/>
                      <a:ext cx="5760720" cy="908685"/>
                    </a:xfrm>
                    <a:prstGeom prst="rect">
                      <a:avLst/>
                    </a:prstGeom>
                    <a:noFill/>
                  </pic:spPr>
                </pic:pic>
              </a:graphicData>
            </a:graphic>
          </wp:anchor>
        </w:drawing>
      </w:r>
    </w:p>
    <w:p>
      <w:pPr>
        <w:spacing w:after="0" w:line="9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1C355E"/>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0" w:right="580"/>
        <w:spacing w:after="0" w:line="269" w:lineRule="auto"/>
        <w:rPr>
          <w:sz w:val="20"/>
          <w:szCs w:val="20"/>
          <w:color w:val="auto"/>
        </w:rPr>
      </w:pPr>
      <w:r>
        <w:rPr>
          <w:rFonts w:ascii="Times New Roman" w:cs="Times New Roman" w:eastAsia="Times New Roman" w:hAnsi="Times New Roman"/>
          <w:sz w:val="20"/>
          <w:szCs w:val="20"/>
          <w:color w:val="auto"/>
        </w:rPr>
        <w:t>prohibitions applicable to Section 16 Reporting Persons is contained in a separate memorandum that will be provided to all Section 16 Reporting Persons.</w:t>
      </w:r>
    </w:p>
    <w:p>
      <w:pPr>
        <w:spacing w:after="0" w:line="155" w:lineRule="exact"/>
        <w:rPr>
          <w:sz w:val="20"/>
          <w:szCs w:val="20"/>
          <w:color w:val="auto"/>
        </w:rPr>
      </w:pPr>
    </w:p>
    <w:p>
      <w:pPr>
        <w:ind w:left="860" w:right="1540" w:hanging="659"/>
        <w:spacing w:after="0" w:line="273" w:lineRule="auto"/>
        <w:tabs>
          <w:tab w:leader="none" w:pos="840" w:val="left"/>
        </w:tabs>
        <w:rPr>
          <w:sz w:val="20"/>
          <w:szCs w:val="20"/>
          <w:color w:val="auto"/>
        </w:rPr>
      </w:pPr>
      <w:r>
        <w:rPr>
          <w:rFonts w:ascii="Times New Roman" w:cs="Times New Roman" w:eastAsia="Times New Roman" w:hAnsi="Times New Roman"/>
          <w:sz w:val="20"/>
          <w:szCs w:val="20"/>
          <w:b w:val="1"/>
          <w:bCs w:val="1"/>
          <w:color w:val="auto"/>
        </w:rPr>
        <w:t>IX.</w:t>
      </w:r>
      <w:r>
        <w:rPr>
          <w:sz w:val="20"/>
          <w:szCs w:val="20"/>
          <w:color w:val="auto"/>
        </w:rPr>
        <w:tab/>
      </w:r>
      <w:r>
        <w:rPr>
          <w:rFonts w:ascii="Times New Roman" w:cs="Times New Roman" w:eastAsia="Times New Roman" w:hAnsi="Times New Roman"/>
          <w:sz w:val="20"/>
          <w:szCs w:val="20"/>
          <w:b w:val="1"/>
          <w:bCs w:val="1"/>
          <w:color w:val="auto"/>
        </w:rPr>
        <w:t>STATEMENT OF PROCEDURES RELATING TO MATERIAL NON-PUBLIC INFORMATION</w:t>
      </w:r>
    </w:p>
    <w:p>
      <w:pPr>
        <w:spacing w:after="0" w:line="156" w:lineRule="exact"/>
        <w:rPr>
          <w:sz w:val="20"/>
          <w:szCs w:val="20"/>
          <w:color w:val="auto"/>
        </w:rPr>
      </w:pPr>
    </w:p>
    <w:p>
      <w:pPr>
        <w:ind w:left="200" w:right="240" w:firstLine="648"/>
        <w:spacing w:after="0" w:line="254" w:lineRule="auto"/>
        <w:rPr>
          <w:sz w:val="20"/>
          <w:szCs w:val="20"/>
          <w:color w:val="auto"/>
        </w:rPr>
      </w:pPr>
      <w:r>
        <w:rPr>
          <w:rFonts w:ascii="Times New Roman" w:cs="Times New Roman" w:eastAsia="Times New Roman" w:hAnsi="Times New Roman"/>
          <w:sz w:val="20"/>
          <w:szCs w:val="20"/>
          <w:color w:val="auto"/>
        </w:rPr>
        <w:t>The following procedures have been established, and will be maintained and enforced, by the Company to prevent insider trading. Every officer, Director, employee, and Designated Consultant of the Company is required to follow these procedures.</w:t>
      </w:r>
    </w:p>
    <w:p>
      <w:pPr>
        <w:spacing w:after="0" w:line="170" w:lineRule="exact"/>
        <w:rPr>
          <w:sz w:val="20"/>
          <w:szCs w:val="20"/>
          <w:color w:val="auto"/>
        </w:rPr>
      </w:pPr>
    </w:p>
    <w:p>
      <w:pPr>
        <w:ind w:left="1500" w:hanging="643"/>
        <w:spacing w:after="0"/>
        <w:tabs>
          <w:tab w:leader="none" w:pos="1500"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Material Non-Public Information Relating to the Company</w:t>
      </w:r>
    </w:p>
    <w:p>
      <w:pPr>
        <w:spacing w:after="0" w:line="215" w:lineRule="exact"/>
        <w:rPr>
          <w:rFonts w:ascii="Times New Roman" w:cs="Times New Roman" w:eastAsia="Times New Roman" w:hAnsi="Times New Roman"/>
          <w:sz w:val="20"/>
          <w:szCs w:val="20"/>
          <w:b w:val="1"/>
          <w:bCs w:val="1"/>
          <w:color w:val="auto"/>
        </w:rPr>
      </w:pPr>
    </w:p>
    <w:p>
      <w:pPr>
        <w:ind w:left="200" w:right="560" w:firstLine="1305"/>
        <w:spacing w:after="0" w:line="246" w:lineRule="auto"/>
        <w:tabs>
          <w:tab w:leader="none" w:pos="2144" w:val="left"/>
        </w:tabs>
        <w:numPr>
          <w:ilvl w:val="1"/>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Access to Information. </w:t>
      </w:r>
      <w:r>
        <w:rPr>
          <w:rFonts w:ascii="Times New Roman" w:cs="Times New Roman" w:eastAsia="Times New Roman" w:hAnsi="Times New Roman"/>
          <w:sz w:val="20"/>
          <w:szCs w:val="20"/>
          <w:color w:val="auto"/>
        </w:rPr>
        <w:t>Access to material non-public information about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 including the Company’s business, earnings or prospects, should be limited to officers, Directors, employees of the Company, and consultants of the Company on a need-to-know basis. In addition, such information should not be communicated to anyone outside the Company under any circumstances (absent prior approval by the Compliance Officer and execution of an appropriate confidentiality agreement) or to anyone within the Company on other than a need-to-know basis.</w:t>
      </w:r>
    </w:p>
    <w:p>
      <w:pPr>
        <w:spacing w:after="0" w:line="183" w:lineRule="exact"/>
        <w:rPr>
          <w:sz w:val="20"/>
          <w:szCs w:val="20"/>
          <w:color w:val="auto"/>
        </w:rPr>
      </w:pPr>
    </w:p>
    <w:p>
      <w:pPr>
        <w:jc w:val="both"/>
        <w:ind w:left="200" w:right="320" w:firstLine="1296"/>
        <w:spacing w:after="0" w:line="254" w:lineRule="auto"/>
        <w:rPr>
          <w:sz w:val="20"/>
          <w:szCs w:val="20"/>
          <w:color w:val="auto"/>
        </w:rPr>
      </w:pPr>
      <w:r>
        <w:rPr>
          <w:rFonts w:ascii="Times New Roman" w:cs="Times New Roman" w:eastAsia="Times New Roman" w:hAnsi="Times New Roman"/>
          <w:sz w:val="20"/>
          <w:szCs w:val="20"/>
          <w:color w:val="auto"/>
        </w:rPr>
        <w:t>In communicating material non-public information to other employees and consultants of the Company, each person must take care to emphasize the need for confidential treatment of such information and adherence to the Company’s policies with regard to confidential information.</w:t>
      </w:r>
    </w:p>
    <w:p>
      <w:pPr>
        <w:spacing w:after="0" w:line="170" w:lineRule="exact"/>
        <w:rPr>
          <w:sz w:val="20"/>
          <w:szCs w:val="20"/>
          <w:color w:val="auto"/>
        </w:rPr>
      </w:pPr>
    </w:p>
    <w:p>
      <w:pPr>
        <w:ind w:left="200" w:right="380" w:firstLine="1305"/>
        <w:spacing w:after="0" w:line="256" w:lineRule="auto"/>
        <w:tabs>
          <w:tab w:leader="none" w:pos="2144" w:val="left"/>
        </w:tabs>
        <w:numPr>
          <w:ilvl w:val="1"/>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i w:val="1"/>
          <w:iCs w:val="1"/>
          <w:color w:val="auto"/>
        </w:rPr>
        <w:t xml:space="preserve">Inquiries From Third Parties. </w:t>
      </w:r>
      <w:r>
        <w:rPr>
          <w:rFonts w:ascii="Times New Roman" w:cs="Times New Roman" w:eastAsia="Times New Roman" w:hAnsi="Times New Roman"/>
          <w:sz w:val="20"/>
          <w:szCs w:val="20"/>
          <w:color w:val="auto"/>
        </w:rPr>
        <w:t>Inquiries from third parties, such as industry analysts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members of the media, about the Company should be directed to the Company’s investor relations department.</w:t>
      </w:r>
    </w:p>
    <w:p>
      <w:pPr>
        <w:spacing w:after="0" w:line="168" w:lineRule="exact"/>
        <w:rPr>
          <w:rFonts w:ascii="Times New Roman" w:cs="Times New Roman" w:eastAsia="Times New Roman" w:hAnsi="Times New Roman"/>
          <w:sz w:val="20"/>
          <w:szCs w:val="20"/>
          <w:b w:val="1"/>
          <w:bCs w:val="1"/>
          <w:color w:val="auto"/>
        </w:rPr>
      </w:pPr>
    </w:p>
    <w:p>
      <w:pPr>
        <w:ind w:left="200" w:right="280" w:firstLine="981"/>
        <w:spacing w:after="0" w:line="300" w:lineRule="auto"/>
        <w:tabs>
          <w:tab w:leader="none" w:pos="1496" w:val="left"/>
        </w:tabs>
        <w:numPr>
          <w:ilvl w:val="0"/>
          <w:numId w:val="9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Limitations on Access to Company Material Non-Public Information</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following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procedures are designed to maintain confidentiality of material non-public information regarding the Company:</w:t>
      </w:r>
    </w:p>
    <w:p>
      <w:pPr>
        <w:spacing w:after="0" w:line="132" w:lineRule="exact"/>
        <w:rPr>
          <w:rFonts w:ascii="Times New Roman" w:cs="Times New Roman" w:eastAsia="Times New Roman" w:hAnsi="Times New Roman"/>
          <w:sz w:val="19"/>
          <w:szCs w:val="19"/>
          <w:b w:val="1"/>
          <w:bCs w:val="1"/>
          <w:color w:val="auto"/>
        </w:rPr>
      </w:pPr>
    </w:p>
    <w:p>
      <w:pPr>
        <w:ind w:left="200" w:right="240" w:firstLine="1305"/>
        <w:spacing w:after="0" w:line="254" w:lineRule="auto"/>
        <w:tabs>
          <w:tab w:leader="none" w:pos="2144" w:val="left"/>
        </w:tabs>
        <w:numPr>
          <w:ilvl w:val="1"/>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officers, Directors, and employees of the Company, and Designated Consultants should take all steps and precautions necessary to restrict access to, and secure, material non-public information by, among other things:</w:t>
      </w:r>
    </w:p>
    <w:p>
      <w:pPr>
        <w:spacing w:after="0" w:line="174" w:lineRule="exact"/>
        <w:rPr>
          <w:rFonts w:ascii="Times New Roman" w:cs="Times New Roman" w:eastAsia="Times New Roman" w:hAnsi="Times New Roman"/>
          <w:sz w:val="20"/>
          <w:szCs w:val="20"/>
          <w:b w:val="1"/>
          <w:bCs w:val="1"/>
          <w:color w:val="auto"/>
        </w:rPr>
      </w:pPr>
    </w:p>
    <w:p>
      <w:pPr>
        <w:ind w:left="2160" w:hanging="331"/>
        <w:spacing w:after="0"/>
        <w:tabs>
          <w:tab w:leader="none" w:pos="2160" w:val="left"/>
        </w:tabs>
        <w:numPr>
          <w:ilvl w:val="2"/>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the confidentiality of Company-related transactions;</w:t>
      </w:r>
    </w:p>
    <w:p>
      <w:pPr>
        <w:spacing w:after="0" w:line="215" w:lineRule="exact"/>
        <w:rPr>
          <w:rFonts w:ascii="Times New Roman" w:cs="Times New Roman" w:eastAsia="Times New Roman" w:hAnsi="Times New Roman"/>
          <w:sz w:val="20"/>
          <w:szCs w:val="20"/>
          <w:color w:val="auto"/>
        </w:rPr>
      </w:pPr>
    </w:p>
    <w:p>
      <w:pPr>
        <w:ind w:left="2160" w:hanging="331"/>
        <w:spacing w:after="0"/>
        <w:tabs>
          <w:tab w:leader="none" w:pos="2160" w:val="left"/>
        </w:tabs>
        <w:numPr>
          <w:ilvl w:val="2"/>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clean desk policy specified in SEP-001 Security &amp; Badging Policy;</w:t>
      </w:r>
    </w:p>
    <w:p>
      <w:pPr>
        <w:spacing w:after="0" w:line="215" w:lineRule="exact"/>
        <w:rPr>
          <w:rFonts w:ascii="Times New Roman" w:cs="Times New Roman" w:eastAsia="Times New Roman" w:hAnsi="Times New Roman"/>
          <w:sz w:val="20"/>
          <w:szCs w:val="20"/>
          <w:color w:val="auto"/>
        </w:rPr>
      </w:pPr>
    </w:p>
    <w:p>
      <w:pPr>
        <w:ind w:left="2160" w:right="380" w:hanging="331"/>
        <w:spacing w:after="0" w:line="249" w:lineRule="auto"/>
        <w:tabs>
          <w:tab w:leader="none" w:pos="2160" w:val="left"/>
        </w:tabs>
        <w:numPr>
          <w:ilvl w:val="2"/>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Conducting their business and social activities so as not to risk inadvertent disclosure of material non-public information. Review of documents containing material non-public information in public places should be conducted so as to prevent access by unauthorized persons;</w:t>
      </w:r>
    </w:p>
    <w:p>
      <w:pPr>
        <w:spacing w:after="0" w:line="277" w:lineRule="exact"/>
        <w:rPr>
          <w:sz w:val="20"/>
          <w:szCs w:val="20"/>
          <w:color w:val="auto"/>
        </w:rPr>
      </w:pPr>
    </w:p>
    <w:p>
      <w:pPr>
        <w:ind w:left="300" w:right="500"/>
        <w:spacing w:after="0" w:line="223" w:lineRule="auto"/>
        <w:rPr>
          <w:sz w:val="20"/>
          <w:szCs w:val="20"/>
          <w:color w:val="auto"/>
        </w:rPr>
      </w:pPr>
      <w:r>
        <w:rPr>
          <w:rFonts w:ascii="Times New Roman" w:cs="Times New Roman" w:eastAsia="Times New Roman" w:hAnsi="Times New Roman"/>
          <w:sz w:val="13"/>
          <w:szCs w:val="13"/>
          <w:b w:val="1"/>
          <w:bCs w:val="1"/>
          <w:color w:val="auto"/>
        </w:rPr>
        <w:t>AeroVironment, Inc. Proprietary Information</w:t>
      </w:r>
      <w:r>
        <w:rPr>
          <w:rFonts w:ascii="Times New Roman" w:cs="Times New Roman" w:eastAsia="Times New Roman" w:hAnsi="Times New Roman"/>
          <w:sz w:val="13"/>
          <w:szCs w:val="13"/>
          <w:color w:val="auto"/>
        </w:rPr>
        <w:t>. This material includes privileged or proprietary data that shall not be disclosed to any third party at any time, nor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it be duplicated or used by the recipient, in whole or in part, for any purpose other than to disseminate information provided by AeroVironment, Inc. Furthermore, this material contains trade secrets and/or commercial or financial information that is proprietary and is exempt from disclosure under the Freedom of Information Act and protected from disclosure by the Trade Secrets Act. See 5 USC 552(b)(4); 18 USC 1905.</w:t>
      </w:r>
    </w:p>
    <w:tbl>
      <w:tblPr>
        <w:tblLayout w:type="fixed"/>
        <w:tblInd w:w="220" w:type="dxa"/>
        <w:tblCellMar>
          <w:top w:w="0" w:type="dxa"/>
          <w:left w:w="0" w:type="dxa"/>
          <w:bottom w:w="0" w:type="dxa"/>
          <w:right w:w="0" w:type="dxa"/>
        </w:tblCellMar>
      </w:tblPr>
      <w:tr>
        <w:trPr>
          <w:trHeight w:val="119"/>
        </w:trPr>
        <w:tc>
          <w:tcPr>
            <w:tcW w:w="2100" w:type="dxa"/>
            <w:vAlign w:val="bottom"/>
          </w:tcPr>
          <w:p>
            <w:pPr>
              <w:spacing w:after="0"/>
              <w:rPr>
                <w:sz w:val="10"/>
                <w:szCs w:val="10"/>
                <w:color w:val="auto"/>
              </w:rPr>
            </w:pPr>
          </w:p>
        </w:tc>
        <w:tc>
          <w:tcPr>
            <w:tcW w:w="4140" w:type="dxa"/>
            <w:vAlign w:val="bottom"/>
          </w:tcPr>
          <w:p>
            <w:pPr>
              <w:jc w:val="center"/>
              <w:ind w:left="157"/>
              <w:spacing w:after="0" w:line="119" w:lineRule="exact"/>
              <w:rPr>
                <w:sz w:val="20"/>
                <w:szCs w:val="20"/>
                <w:color w:val="auto"/>
              </w:rPr>
            </w:pPr>
            <w:r>
              <w:rPr>
                <w:rFonts w:ascii="Times New Roman" w:cs="Times New Roman" w:eastAsia="Times New Roman" w:hAnsi="Times New Roman"/>
                <w:sz w:val="13"/>
                <w:szCs w:val="13"/>
                <w:b w:val="1"/>
                <w:bCs w:val="1"/>
                <w:color w:val="auto"/>
                <w:w w:val="95"/>
              </w:rPr>
              <w:t xml:space="preserve">Page </w:t>
            </w:r>
            <w:r>
              <w:rPr>
                <w:rFonts w:ascii="Times New Roman" w:cs="Times New Roman" w:eastAsia="Times New Roman" w:hAnsi="Times New Roman"/>
                <w:sz w:val="13"/>
                <w:szCs w:val="13"/>
                <w:color w:val="auto"/>
                <w:w w:val="95"/>
              </w:rPr>
              <w:t>9</w:t>
            </w:r>
            <w:r>
              <w:rPr>
                <w:rFonts w:ascii="Times New Roman" w:cs="Times New Roman" w:eastAsia="Times New Roman" w:hAnsi="Times New Roman"/>
                <w:sz w:val="13"/>
                <w:szCs w:val="13"/>
                <w:b w:val="1"/>
                <w:bCs w:val="1"/>
                <w:color w:val="auto"/>
                <w:w w:val="95"/>
              </w:rPr>
              <w:t xml:space="preserve"> of 12</w:t>
            </w: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CONFIDENTIAL</w:t>
            </w:r>
          </w:p>
        </w:tc>
        <w:tc>
          <w:tcPr>
            <w:tcW w:w="4140" w:type="dxa"/>
            <w:vAlign w:val="bottom"/>
          </w:tcPr>
          <w:p>
            <w:pPr>
              <w:jc w:val="center"/>
              <w:ind w:lef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Every user is responsible for verifying this</w:t>
            </w:r>
          </w:p>
        </w:tc>
        <w:tc>
          <w:tcPr>
            <w:tcW w:w="2340" w:type="dxa"/>
            <w:vAlign w:val="bottom"/>
            <w:vMerge w:val="restart"/>
          </w:tcPr>
          <w:p>
            <w:pPr>
              <w:ind w:left="820"/>
              <w:spacing w:after="0"/>
              <w:rPr>
                <w:sz w:val="20"/>
                <w:szCs w:val="20"/>
                <w:color w:val="auto"/>
              </w:rPr>
            </w:pPr>
            <w:r>
              <w:rPr>
                <w:rFonts w:ascii="Times New Roman" w:cs="Times New Roman" w:eastAsia="Times New Roman" w:hAnsi="Times New Roman"/>
                <w:sz w:val="13"/>
                <w:szCs w:val="13"/>
                <w:color w:val="auto"/>
              </w:rPr>
              <w:t>©2021 AeroVironment, Inc.</w:t>
            </w:r>
          </w:p>
        </w:tc>
        <w:tc>
          <w:tcPr>
            <w:tcW w:w="0" w:type="dxa"/>
            <w:vAlign w:val="bottom"/>
          </w:tcPr>
          <w:p>
            <w:pPr>
              <w:spacing w:after="0"/>
              <w:rPr>
                <w:sz w:val="1"/>
                <w:szCs w:val="1"/>
                <w:color w:val="auto"/>
              </w:rPr>
            </w:pPr>
          </w:p>
        </w:tc>
      </w:tr>
      <w:tr>
        <w:trPr>
          <w:trHeight w:val="99"/>
        </w:trPr>
        <w:tc>
          <w:tcPr>
            <w:tcW w:w="2100" w:type="dxa"/>
            <w:vAlign w:val="bottom"/>
            <w:vMerge w:val="continue"/>
          </w:tcPr>
          <w:p>
            <w:pPr>
              <w:spacing w:after="0"/>
              <w:rPr>
                <w:sz w:val="8"/>
                <w:szCs w:val="8"/>
                <w:color w:val="auto"/>
              </w:rPr>
            </w:pPr>
          </w:p>
        </w:tc>
        <w:tc>
          <w:tcPr>
            <w:tcW w:w="4140" w:type="dxa"/>
            <w:vAlign w:val="bottom"/>
            <w:vMerge w:val="restart"/>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6"/>
              </w:rPr>
              <w:t>document is current prior to use.</w:t>
            </w: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00" w:type="dxa"/>
            <w:vAlign w:val="bottom"/>
          </w:tcPr>
          <w:p>
            <w:pPr>
              <w:spacing w:after="0"/>
              <w:rPr>
                <w:sz w:val="5"/>
                <w:szCs w:val="5"/>
                <w:color w:val="auto"/>
              </w:rPr>
            </w:pPr>
          </w:p>
        </w:tc>
        <w:tc>
          <w:tcPr>
            <w:tcW w:w="4140" w:type="dxa"/>
            <w:vAlign w:val="bottom"/>
            <w:vMerge w:val="continue"/>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3"/>
        </w:trPr>
        <w:tc>
          <w:tcPr>
            <w:tcW w:w="2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515" w:right="141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6"/>
          <w:szCs w:val="16"/>
          <w:b w:val="1"/>
          <w:bCs w:val="1"/>
          <w:color w:val="1C355E"/>
        </w:rPr>
        <w:t>BMSD-41 rev.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5760720" cy="9086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8">
                      <a:extLst>
                        <a:ext uri="{28A0092B-C50C-407E-A947-70E740481C1C}"/>
                      </a:extLst>
                    </a:blip>
                    <a:srcRect/>
                    <a:stretch>
                      <a:fillRect/>
                    </a:stretch>
                  </pic:blipFill>
                  <pic:spPr bwMode="auto">
                    <a:xfrm>
                      <a:off x="0" y="0"/>
                      <a:ext cx="5760720" cy="908685"/>
                    </a:xfrm>
                    <a:prstGeom prst="rect">
                      <a:avLst/>
                    </a:prstGeom>
                    <a:noFill/>
                  </pic:spPr>
                </pic:pic>
              </a:graphicData>
            </a:graphic>
          </wp:anchor>
        </w:drawing>
      </w:r>
    </w:p>
    <w:p>
      <w:pPr>
        <w:spacing w:after="0" w:line="9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1C355E"/>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160" w:right="600" w:hanging="331"/>
        <w:spacing w:after="0" w:line="274" w:lineRule="auto"/>
        <w:tabs>
          <w:tab w:leader="none" w:pos="2160"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Restricting access to documents and files (including computer files) containing material non-public information to individuals on a need-to-know basis (including maintaining control over the distribution of documents and drafts of documents);</w:t>
      </w:r>
    </w:p>
    <w:p>
      <w:pPr>
        <w:spacing w:after="0" w:line="156" w:lineRule="exact"/>
        <w:rPr>
          <w:rFonts w:ascii="Times New Roman" w:cs="Times New Roman" w:eastAsia="Times New Roman" w:hAnsi="Times New Roman"/>
          <w:sz w:val="19"/>
          <w:szCs w:val="19"/>
          <w:color w:val="auto"/>
        </w:rPr>
      </w:pPr>
    </w:p>
    <w:p>
      <w:pPr>
        <w:ind w:left="2160" w:right="480" w:hanging="331"/>
        <w:spacing w:after="0" w:line="254" w:lineRule="auto"/>
        <w:tabs>
          <w:tab w:leader="none" w:pos="216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removing and cleaning up all documents containing material non-public information and other materials from conference rooms following the conclusion of any meetings;</w:t>
      </w:r>
    </w:p>
    <w:p>
      <w:pPr>
        <w:spacing w:after="0" w:line="174" w:lineRule="exact"/>
        <w:rPr>
          <w:rFonts w:ascii="Times New Roman" w:cs="Times New Roman" w:eastAsia="Times New Roman" w:hAnsi="Times New Roman"/>
          <w:sz w:val="20"/>
          <w:szCs w:val="20"/>
          <w:color w:val="auto"/>
        </w:rPr>
      </w:pPr>
    </w:p>
    <w:p>
      <w:pPr>
        <w:jc w:val="both"/>
        <w:ind w:left="2160" w:right="600" w:hanging="331"/>
        <w:spacing w:after="0" w:line="254" w:lineRule="auto"/>
        <w:tabs>
          <w:tab w:leader="none" w:pos="216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Disposing of all documents containing material non-public information and other papers, after there is no longer any business or other legally required need through shredders when appropriate;</w:t>
      </w:r>
    </w:p>
    <w:p>
      <w:pPr>
        <w:spacing w:after="0" w:line="174" w:lineRule="exact"/>
        <w:rPr>
          <w:rFonts w:ascii="Times New Roman" w:cs="Times New Roman" w:eastAsia="Times New Roman" w:hAnsi="Times New Roman"/>
          <w:sz w:val="20"/>
          <w:szCs w:val="20"/>
          <w:color w:val="auto"/>
        </w:rPr>
      </w:pPr>
    </w:p>
    <w:p>
      <w:pPr>
        <w:ind w:left="2160" w:right="880" w:hanging="331"/>
        <w:spacing w:after="0" w:line="269" w:lineRule="auto"/>
        <w:tabs>
          <w:tab w:leader="none" w:pos="216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Restricting access to areas likely to contain material non-public information or documents containing such information; and</w:t>
      </w:r>
    </w:p>
    <w:p>
      <w:pPr>
        <w:spacing w:after="0" w:line="159" w:lineRule="exact"/>
        <w:rPr>
          <w:rFonts w:ascii="Times New Roman" w:cs="Times New Roman" w:eastAsia="Times New Roman" w:hAnsi="Times New Roman"/>
          <w:sz w:val="20"/>
          <w:szCs w:val="20"/>
          <w:color w:val="auto"/>
        </w:rPr>
      </w:pPr>
    </w:p>
    <w:p>
      <w:pPr>
        <w:ind w:left="2160" w:right="500" w:hanging="331"/>
        <w:spacing w:after="0" w:line="254" w:lineRule="auto"/>
        <w:tabs>
          <w:tab w:leader="none" w:pos="2160"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Avoiding the discussion of material non-public information in places where the information could be overheard by others such as in elevators, restrooms, hallways, restaurants, airplanes or taxicabs.</w:t>
      </w:r>
    </w:p>
    <w:p>
      <w:pPr>
        <w:spacing w:after="0" w:line="174" w:lineRule="exact"/>
        <w:rPr>
          <w:rFonts w:ascii="Times New Roman" w:cs="Times New Roman" w:eastAsia="Times New Roman" w:hAnsi="Times New Roman"/>
          <w:sz w:val="20"/>
          <w:szCs w:val="20"/>
          <w:color w:val="auto"/>
        </w:rPr>
      </w:pPr>
    </w:p>
    <w:p>
      <w:pPr>
        <w:ind w:left="200" w:right="580" w:firstLine="1305"/>
        <w:spacing w:after="0" w:line="269" w:lineRule="auto"/>
        <w:tabs>
          <w:tab w:leader="none" w:pos="2144"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Personnel involved with material non-public information, to the extent feasible, should conduct their business and activities in areas separate from other Company activities.</w:t>
      </w:r>
    </w:p>
    <w:p>
      <w:pPr>
        <w:spacing w:after="0" w:line="155" w:lineRule="exact"/>
        <w:rPr>
          <w:sz w:val="20"/>
          <w:szCs w:val="20"/>
          <w:color w:val="auto"/>
        </w:rPr>
      </w:pPr>
    </w:p>
    <w:p>
      <w:pPr>
        <w:ind w:left="200" w:right="260"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Internet and Social Media Communications</w:t>
      </w:r>
      <w:r>
        <w:rPr>
          <w:rFonts w:ascii="Times New Roman" w:cs="Times New Roman" w:eastAsia="Times New Roman" w:hAnsi="Times New Roman"/>
          <w:sz w:val="20"/>
          <w:szCs w:val="20"/>
          <w:color w:val="auto"/>
        </w:rPr>
        <w:t>. All prohibitions regarding the unauthorized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dissemination of material non-public information regarding the Company or any company with which the Company conducts business apply equally to communications made on the Internet or social media platforms, such as Facebook and Twitter.</w:t>
      </w:r>
    </w:p>
    <w:p>
      <w:pPr>
        <w:spacing w:after="0" w:line="176" w:lineRule="exact"/>
        <w:rPr>
          <w:sz w:val="20"/>
          <w:szCs w:val="20"/>
          <w:color w:val="auto"/>
        </w:rPr>
      </w:pPr>
    </w:p>
    <w:p>
      <w:pPr>
        <w:ind w:left="860" w:hanging="651"/>
        <w:spacing w:after="0"/>
        <w:tabs>
          <w:tab w:leader="none" w:pos="860"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PENALTIES FOR ENGAGING IN INSIDER TRADING</w:t>
      </w:r>
    </w:p>
    <w:p>
      <w:pPr>
        <w:spacing w:after="0" w:line="215" w:lineRule="exact"/>
        <w:rPr>
          <w:rFonts w:ascii="Times New Roman" w:cs="Times New Roman" w:eastAsia="Times New Roman" w:hAnsi="Times New Roman"/>
          <w:sz w:val="20"/>
          <w:szCs w:val="20"/>
          <w:b w:val="1"/>
          <w:bCs w:val="1"/>
          <w:color w:val="auto"/>
        </w:rPr>
      </w:pPr>
    </w:p>
    <w:p>
      <w:pPr>
        <w:ind w:left="200" w:right="400" w:firstLine="648"/>
        <w:spacing w:after="0" w:line="24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 </w:t>
      </w:r>
      <w:r>
        <w:rPr>
          <w:rFonts w:ascii="Times New Roman" w:cs="Times New Roman" w:eastAsia="Times New Roman" w:hAnsi="Times New Roman"/>
          <w:sz w:val="20"/>
          <w:szCs w:val="20"/>
          <w:b w:val="1"/>
          <w:bCs w:val="1"/>
          <w:u w:val="single" w:color="auto"/>
          <w:color w:val="auto"/>
        </w:rPr>
        <w:t>Criminal and Civil Penalties</w:t>
      </w:r>
      <w:r>
        <w:rPr>
          <w:rFonts w:ascii="Times New Roman" w:cs="Times New Roman" w:eastAsia="Times New Roman" w:hAnsi="Times New Roman"/>
          <w:sz w:val="20"/>
          <w:szCs w:val="20"/>
          <w:color w:val="auto"/>
        </w:rPr>
        <w:t>. Penalties for trading on or tipping material non-public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p>
      <w:pPr>
        <w:spacing w:after="0" w:line="184" w:lineRule="exact"/>
        <w:rPr>
          <w:rFonts w:ascii="Times New Roman" w:cs="Times New Roman" w:eastAsia="Times New Roman" w:hAnsi="Times New Roman"/>
          <w:sz w:val="20"/>
          <w:szCs w:val="20"/>
          <w:b w:val="1"/>
          <w:bCs w:val="1"/>
          <w:color w:val="auto"/>
        </w:rPr>
      </w:pPr>
    </w:p>
    <w:p>
      <w:pPr>
        <w:ind w:left="1820" w:hanging="315"/>
        <w:spacing w:after="0"/>
        <w:tabs>
          <w:tab w:leader="none" w:pos="1820" w:val="left"/>
        </w:tabs>
        <w:numPr>
          <w:ilvl w:val="2"/>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administrative sanctions;</w:t>
      </w:r>
    </w:p>
    <w:p>
      <w:pPr>
        <w:spacing w:after="0" w:line="215" w:lineRule="exact"/>
        <w:rPr>
          <w:rFonts w:ascii="Times New Roman" w:cs="Times New Roman" w:eastAsia="Times New Roman" w:hAnsi="Times New Roman"/>
          <w:sz w:val="20"/>
          <w:szCs w:val="20"/>
          <w:color w:val="auto"/>
        </w:rPr>
      </w:pPr>
    </w:p>
    <w:p>
      <w:pPr>
        <w:ind w:left="1820" w:hanging="315"/>
        <w:spacing w:after="0"/>
        <w:tabs>
          <w:tab w:leader="none" w:pos="1820" w:val="left"/>
        </w:tabs>
        <w:numPr>
          <w:ilvl w:val="2"/>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industry self-regulatory organization sanctions;</w:t>
      </w:r>
    </w:p>
    <w:p>
      <w:pPr>
        <w:spacing w:after="0" w:line="215" w:lineRule="exact"/>
        <w:rPr>
          <w:rFonts w:ascii="Times New Roman" w:cs="Times New Roman" w:eastAsia="Times New Roman" w:hAnsi="Times New Roman"/>
          <w:sz w:val="20"/>
          <w:szCs w:val="20"/>
          <w:color w:val="auto"/>
        </w:rPr>
      </w:pPr>
    </w:p>
    <w:p>
      <w:pPr>
        <w:ind w:left="1820" w:hanging="315"/>
        <w:spacing w:after="0"/>
        <w:tabs>
          <w:tab w:leader="none" w:pos="1820" w:val="left"/>
        </w:tabs>
        <w:numPr>
          <w:ilvl w:val="2"/>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Civil injunctions;</w:t>
      </w:r>
    </w:p>
    <w:p>
      <w:pPr>
        <w:spacing w:after="0" w:line="215" w:lineRule="exact"/>
        <w:rPr>
          <w:rFonts w:ascii="Times New Roman" w:cs="Times New Roman" w:eastAsia="Times New Roman" w:hAnsi="Times New Roman"/>
          <w:sz w:val="20"/>
          <w:szCs w:val="20"/>
          <w:color w:val="auto"/>
        </w:rPr>
      </w:pPr>
    </w:p>
    <w:p>
      <w:pPr>
        <w:ind w:left="1820" w:hanging="315"/>
        <w:spacing w:after="0"/>
        <w:tabs>
          <w:tab w:leader="none" w:pos="1820" w:val="left"/>
        </w:tabs>
        <w:numPr>
          <w:ilvl w:val="2"/>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 awards to private plaintiffs;</w:t>
      </w:r>
    </w:p>
    <w:p>
      <w:pPr>
        <w:spacing w:after="0" w:line="215" w:lineRule="exact"/>
        <w:rPr>
          <w:rFonts w:ascii="Times New Roman" w:cs="Times New Roman" w:eastAsia="Times New Roman" w:hAnsi="Times New Roman"/>
          <w:sz w:val="20"/>
          <w:szCs w:val="20"/>
          <w:color w:val="auto"/>
        </w:rPr>
      </w:pPr>
    </w:p>
    <w:p>
      <w:pPr>
        <w:ind w:left="1820" w:hanging="315"/>
        <w:spacing w:after="0"/>
        <w:tabs>
          <w:tab w:leader="none" w:pos="1820" w:val="left"/>
        </w:tabs>
        <w:numPr>
          <w:ilvl w:val="2"/>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Disgorgement of all profits;</w:t>
      </w:r>
    </w:p>
    <w:p>
      <w:pPr>
        <w:spacing w:after="0" w:line="313" w:lineRule="exact"/>
        <w:rPr>
          <w:sz w:val="20"/>
          <w:szCs w:val="20"/>
          <w:color w:val="auto"/>
        </w:rPr>
      </w:pPr>
    </w:p>
    <w:p>
      <w:pPr>
        <w:ind w:left="300" w:right="500"/>
        <w:spacing w:after="0" w:line="223" w:lineRule="auto"/>
        <w:rPr>
          <w:sz w:val="20"/>
          <w:szCs w:val="20"/>
          <w:color w:val="auto"/>
        </w:rPr>
      </w:pPr>
      <w:r>
        <w:rPr>
          <w:rFonts w:ascii="Times New Roman" w:cs="Times New Roman" w:eastAsia="Times New Roman" w:hAnsi="Times New Roman"/>
          <w:sz w:val="13"/>
          <w:szCs w:val="13"/>
          <w:b w:val="1"/>
          <w:bCs w:val="1"/>
          <w:color w:val="auto"/>
        </w:rPr>
        <w:t>AeroVironment, Inc. Proprietary Information</w:t>
      </w:r>
      <w:r>
        <w:rPr>
          <w:rFonts w:ascii="Times New Roman" w:cs="Times New Roman" w:eastAsia="Times New Roman" w:hAnsi="Times New Roman"/>
          <w:sz w:val="13"/>
          <w:szCs w:val="13"/>
          <w:color w:val="auto"/>
        </w:rPr>
        <w:t>. This material includes privileged or proprietary data that shall not be disclosed to any third party at any time, nor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it be duplicated or used by the recipient, in whole or in part, for any purpose other than to disseminate information provided by AeroVironment, Inc. Furthermore, this material contains trade secrets and/or commercial or financial information that is proprietary and is exempt from disclosure under the Freedom of Information Act and protected from disclosure by the Trade Secrets Act. See 5 USC 552(b)(4); 18 USC 1905.</w:t>
      </w:r>
    </w:p>
    <w:tbl>
      <w:tblPr>
        <w:tblLayout w:type="fixed"/>
        <w:tblInd w:w="220" w:type="dxa"/>
        <w:tblCellMar>
          <w:top w:w="0" w:type="dxa"/>
          <w:left w:w="0" w:type="dxa"/>
          <w:bottom w:w="0" w:type="dxa"/>
          <w:right w:w="0" w:type="dxa"/>
        </w:tblCellMar>
      </w:tblPr>
      <w:tr>
        <w:trPr>
          <w:trHeight w:val="119"/>
        </w:trPr>
        <w:tc>
          <w:tcPr>
            <w:tcW w:w="2100" w:type="dxa"/>
            <w:vAlign w:val="bottom"/>
          </w:tcPr>
          <w:p>
            <w:pPr>
              <w:spacing w:after="0"/>
              <w:rPr>
                <w:sz w:val="10"/>
                <w:szCs w:val="10"/>
                <w:color w:val="auto"/>
              </w:rPr>
            </w:pPr>
          </w:p>
        </w:tc>
        <w:tc>
          <w:tcPr>
            <w:tcW w:w="4140" w:type="dxa"/>
            <w:vAlign w:val="bottom"/>
          </w:tcPr>
          <w:p>
            <w:pPr>
              <w:jc w:val="center"/>
              <w:ind w:left="157"/>
              <w:spacing w:after="0" w:line="119" w:lineRule="exact"/>
              <w:rPr>
                <w:sz w:val="20"/>
                <w:szCs w:val="20"/>
                <w:color w:val="auto"/>
              </w:rPr>
            </w:pPr>
            <w:r>
              <w:rPr>
                <w:rFonts w:ascii="Times New Roman" w:cs="Times New Roman" w:eastAsia="Times New Roman" w:hAnsi="Times New Roman"/>
                <w:sz w:val="13"/>
                <w:szCs w:val="13"/>
                <w:b w:val="1"/>
                <w:bCs w:val="1"/>
                <w:color w:val="auto"/>
                <w:w w:val="98"/>
              </w:rPr>
              <w:t xml:space="preserve">Page </w:t>
            </w:r>
            <w:r>
              <w:rPr>
                <w:rFonts w:ascii="Times New Roman" w:cs="Times New Roman" w:eastAsia="Times New Roman" w:hAnsi="Times New Roman"/>
                <w:sz w:val="13"/>
                <w:szCs w:val="13"/>
                <w:color w:val="auto"/>
                <w:w w:val="98"/>
              </w:rPr>
              <w:t>10</w:t>
            </w:r>
            <w:r>
              <w:rPr>
                <w:rFonts w:ascii="Times New Roman" w:cs="Times New Roman" w:eastAsia="Times New Roman" w:hAnsi="Times New Roman"/>
                <w:sz w:val="13"/>
                <w:szCs w:val="13"/>
                <w:b w:val="1"/>
                <w:bCs w:val="1"/>
                <w:color w:val="auto"/>
                <w:w w:val="98"/>
              </w:rPr>
              <w:t xml:space="preserve"> of 12</w:t>
            </w: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CONFIDENTIAL</w:t>
            </w:r>
          </w:p>
        </w:tc>
        <w:tc>
          <w:tcPr>
            <w:tcW w:w="4140" w:type="dxa"/>
            <w:vAlign w:val="bottom"/>
          </w:tcPr>
          <w:p>
            <w:pPr>
              <w:jc w:val="center"/>
              <w:ind w:lef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Every user is responsible for verifying this</w:t>
            </w:r>
          </w:p>
        </w:tc>
        <w:tc>
          <w:tcPr>
            <w:tcW w:w="2340" w:type="dxa"/>
            <w:vAlign w:val="bottom"/>
            <w:vMerge w:val="restart"/>
          </w:tcPr>
          <w:p>
            <w:pPr>
              <w:ind w:left="820"/>
              <w:spacing w:after="0"/>
              <w:rPr>
                <w:sz w:val="20"/>
                <w:szCs w:val="20"/>
                <w:color w:val="auto"/>
              </w:rPr>
            </w:pPr>
            <w:r>
              <w:rPr>
                <w:rFonts w:ascii="Times New Roman" w:cs="Times New Roman" w:eastAsia="Times New Roman" w:hAnsi="Times New Roman"/>
                <w:sz w:val="13"/>
                <w:szCs w:val="13"/>
                <w:color w:val="auto"/>
              </w:rPr>
              <w:t>©2021 AeroVironment, Inc.</w:t>
            </w:r>
          </w:p>
        </w:tc>
        <w:tc>
          <w:tcPr>
            <w:tcW w:w="0" w:type="dxa"/>
            <w:vAlign w:val="bottom"/>
          </w:tcPr>
          <w:p>
            <w:pPr>
              <w:spacing w:after="0"/>
              <w:rPr>
                <w:sz w:val="1"/>
                <w:szCs w:val="1"/>
                <w:color w:val="auto"/>
              </w:rPr>
            </w:pPr>
          </w:p>
        </w:tc>
      </w:tr>
      <w:tr>
        <w:trPr>
          <w:trHeight w:val="99"/>
        </w:trPr>
        <w:tc>
          <w:tcPr>
            <w:tcW w:w="2100" w:type="dxa"/>
            <w:vAlign w:val="bottom"/>
            <w:vMerge w:val="continue"/>
          </w:tcPr>
          <w:p>
            <w:pPr>
              <w:spacing w:after="0"/>
              <w:rPr>
                <w:sz w:val="8"/>
                <w:szCs w:val="8"/>
                <w:color w:val="auto"/>
              </w:rPr>
            </w:pPr>
          </w:p>
        </w:tc>
        <w:tc>
          <w:tcPr>
            <w:tcW w:w="4140" w:type="dxa"/>
            <w:vAlign w:val="bottom"/>
            <w:vMerge w:val="restart"/>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6"/>
              </w:rPr>
              <w:t>document is current prior to use.</w:t>
            </w: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00" w:type="dxa"/>
            <w:vAlign w:val="bottom"/>
          </w:tcPr>
          <w:p>
            <w:pPr>
              <w:spacing w:after="0"/>
              <w:rPr>
                <w:sz w:val="5"/>
                <w:szCs w:val="5"/>
                <w:color w:val="auto"/>
              </w:rPr>
            </w:pPr>
          </w:p>
        </w:tc>
        <w:tc>
          <w:tcPr>
            <w:tcW w:w="4140" w:type="dxa"/>
            <w:vAlign w:val="bottom"/>
            <w:vMerge w:val="continue"/>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2"/>
        </w:trPr>
        <w:tc>
          <w:tcPr>
            <w:tcW w:w="2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515" w:right="141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6"/>
          <w:szCs w:val="16"/>
          <w:b w:val="1"/>
          <w:bCs w:val="1"/>
          <w:color w:val="1C355E"/>
        </w:rPr>
        <w:t>BMSD-41 rev.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5760720" cy="9086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9">
                      <a:extLst>
                        <a:ext uri="{28A0092B-C50C-407E-A947-70E740481C1C}"/>
                      </a:extLst>
                    </a:blip>
                    <a:srcRect/>
                    <a:stretch>
                      <a:fillRect/>
                    </a:stretch>
                  </pic:blipFill>
                  <pic:spPr bwMode="auto">
                    <a:xfrm>
                      <a:off x="0" y="0"/>
                      <a:ext cx="5760720" cy="908685"/>
                    </a:xfrm>
                    <a:prstGeom prst="rect">
                      <a:avLst/>
                    </a:prstGeom>
                    <a:noFill/>
                  </pic:spPr>
                </pic:pic>
              </a:graphicData>
            </a:graphic>
          </wp:anchor>
        </w:drawing>
      </w:r>
    </w:p>
    <w:p>
      <w:pPr>
        <w:spacing w:after="0" w:line="9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1C355E"/>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820" w:hanging="315"/>
        <w:spacing w:after="0"/>
        <w:tabs>
          <w:tab w:leader="none" w:pos="182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Civil fines for the violator of up to three times the amount of profit gained or loss avoided;</w:t>
      </w:r>
    </w:p>
    <w:p>
      <w:pPr>
        <w:spacing w:after="0" w:line="227" w:lineRule="exact"/>
        <w:rPr>
          <w:rFonts w:ascii="Times New Roman" w:cs="Times New Roman" w:eastAsia="Times New Roman" w:hAnsi="Times New Roman"/>
          <w:sz w:val="19"/>
          <w:szCs w:val="19"/>
          <w:color w:val="auto"/>
        </w:rPr>
      </w:pPr>
    </w:p>
    <w:p>
      <w:pPr>
        <w:ind w:left="1820" w:right="500" w:hanging="315"/>
        <w:spacing w:after="0" w:line="274" w:lineRule="auto"/>
        <w:tabs>
          <w:tab w:leader="none" w:pos="182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Civil fines for the employer or other controlling person of a violator (i.e., where the violator is an employee or other controlled person) of up to the greater of $1,000,000 or three times the amount of profit gained or loss avoided by the violator;</w:t>
      </w:r>
    </w:p>
    <w:p>
      <w:pPr>
        <w:spacing w:after="0" w:line="156" w:lineRule="exact"/>
        <w:rPr>
          <w:rFonts w:ascii="Times New Roman" w:cs="Times New Roman" w:eastAsia="Times New Roman" w:hAnsi="Times New Roman"/>
          <w:sz w:val="19"/>
          <w:szCs w:val="19"/>
          <w:color w:val="auto"/>
        </w:rPr>
      </w:pPr>
    </w:p>
    <w:p>
      <w:pPr>
        <w:ind w:left="1820" w:hanging="315"/>
        <w:spacing w:after="0"/>
        <w:tabs>
          <w:tab w:leader="none" w:pos="1820"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Criminal fines for individual violators of up to $5,000,000 ($25,000,000 for an entity); and</w:t>
      </w:r>
    </w:p>
    <w:p>
      <w:pPr>
        <w:spacing w:after="0" w:line="227" w:lineRule="exact"/>
        <w:rPr>
          <w:rFonts w:ascii="Times New Roman" w:cs="Times New Roman" w:eastAsia="Times New Roman" w:hAnsi="Times New Roman"/>
          <w:sz w:val="19"/>
          <w:szCs w:val="19"/>
          <w:color w:val="auto"/>
        </w:rPr>
      </w:pPr>
    </w:p>
    <w:p>
      <w:pPr>
        <w:ind w:left="1820" w:hanging="315"/>
        <w:spacing w:after="0"/>
        <w:tabs>
          <w:tab w:leader="none" w:pos="182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Jail sentences of up to 20 years.</w:t>
      </w:r>
    </w:p>
    <w:p>
      <w:pPr>
        <w:spacing w:after="0" w:line="216" w:lineRule="exact"/>
        <w:rPr>
          <w:sz w:val="20"/>
          <w:szCs w:val="20"/>
          <w:color w:val="auto"/>
        </w:rPr>
      </w:pPr>
    </w:p>
    <w:p>
      <w:pPr>
        <w:ind w:left="200" w:right="440" w:firstLine="648"/>
        <w:spacing w:after="0" w:line="249" w:lineRule="auto"/>
        <w:rPr>
          <w:sz w:val="20"/>
          <w:szCs w:val="20"/>
          <w:color w:val="auto"/>
        </w:rPr>
      </w:pPr>
      <w:r>
        <w:rPr>
          <w:rFonts w:ascii="Times New Roman" w:cs="Times New Roman" w:eastAsia="Times New Roman" w:hAnsi="Times New Roman"/>
          <w:sz w:val="20"/>
          <w:szCs w:val="20"/>
          <w:color w:val="auto"/>
        </w:rPr>
        <w:t>Insider trading violations are not limited to violations of the federal securities laws. Other federal and state civil or criminal laws, such as the laws prohibiting mail and wire fraud and the Racketeer Influenced and Corrupt Organizations Act (RICO), also may be violated upon the occurrence of insider trading.</w:t>
      </w:r>
    </w:p>
    <w:p>
      <w:pPr>
        <w:spacing w:after="0" w:line="176" w:lineRule="exact"/>
        <w:rPr>
          <w:sz w:val="20"/>
          <w:szCs w:val="20"/>
          <w:color w:val="auto"/>
        </w:rPr>
      </w:pPr>
    </w:p>
    <w:p>
      <w:pPr>
        <w:ind w:left="200" w:right="600" w:firstLine="657"/>
        <w:spacing w:after="0" w:line="273" w:lineRule="auto"/>
        <w:tabs>
          <w:tab w:leader="none" w:pos="1496"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Company Disciplinary Action</w:t>
      </w:r>
      <w:r>
        <w:rPr>
          <w:rFonts w:ascii="Times New Roman" w:cs="Times New Roman" w:eastAsia="Times New Roman" w:hAnsi="Times New Roman"/>
          <w:sz w:val="20"/>
          <w:szCs w:val="20"/>
          <w:color w:val="auto"/>
        </w:rPr>
        <w:t>. Insider trading could result in serious sanctions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including dismissal.</w:t>
      </w:r>
    </w:p>
    <w:p>
      <w:pPr>
        <w:spacing w:after="0" w:line="151" w:lineRule="exact"/>
        <w:rPr>
          <w:rFonts w:ascii="Times New Roman" w:cs="Times New Roman" w:eastAsia="Times New Roman" w:hAnsi="Times New Roman"/>
          <w:sz w:val="20"/>
          <w:szCs w:val="20"/>
          <w:b w:val="1"/>
          <w:bCs w:val="1"/>
          <w:color w:val="auto"/>
        </w:rPr>
      </w:pPr>
    </w:p>
    <w:p>
      <w:pPr>
        <w:jc w:val="both"/>
        <w:ind w:left="200" w:right="300" w:firstLine="657"/>
        <w:spacing w:after="0" w:line="247" w:lineRule="auto"/>
        <w:tabs>
          <w:tab w:leader="none" w:pos="1496"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Size of Profit Made or Loss Avoided Does Not Matter</w:t>
      </w:r>
      <w:r>
        <w:rPr>
          <w:rFonts w:ascii="Times New Roman" w:cs="Times New Roman" w:eastAsia="Times New Roman" w:hAnsi="Times New Roman"/>
          <w:sz w:val="20"/>
          <w:szCs w:val="20"/>
          <w:color w:val="auto"/>
        </w:rPr>
        <w:t>. The size of the transaction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 of profit received does not have to be significant to result in prosecution. The SEC has the ability to monitor even the smallest trades and the SEC performs routine market surveillance. Brokers or dealers are required by law to inform the SEC of any possible violations by people who may have material non-public information. The SEC aggressively investigates even small insider trading violations.</w:t>
      </w:r>
    </w:p>
    <w:p>
      <w:pPr>
        <w:spacing w:after="0" w:line="180"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XI.</w:t>
      </w:r>
      <w:r>
        <w:rPr>
          <w:sz w:val="20"/>
          <w:szCs w:val="20"/>
          <w:color w:val="auto"/>
        </w:rPr>
        <w:tab/>
      </w:r>
      <w:r>
        <w:rPr>
          <w:rFonts w:ascii="Times New Roman" w:cs="Times New Roman" w:eastAsia="Times New Roman" w:hAnsi="Times New Roman"/>
          <w:sz w:val="20"/>
          <w:szCs w:val="20"/>
          <w:b w:val="1"/>
          <w:bCs w:val="1"/>
          <w:color w:val="auto"/>
        </w:rPr>
        <w:t>EXAMPLES OF INSIDER TRADING</w:t>
      </w:r>
    </w:p>
    <w:p>
      <w:pPr>
        <w:spacing w:after="0" w:line="220" w:lineRule="exact"/>
        <w:rPr>
          <w:sz w:val="20"/>
          <w:szCs w:val="20"/>
          <w:color w:val="auto"/>
        </w:rPr>
      </w:pPr>
    </w:p>
    <w:p>
      <w:pPr>
        <w:ind w:left="200" w:right="300" w:firstLine="648"/>
        <w:spacing w:after="0" w:line="245" w:lineRule="auto"/>
        <w:rPr>
          <w:sz w:val="20"/>
          <w:szCs w:val="20"/>
          <w:color w:val="auto"/>
        </w:rPr>
      </w:pPr>
      <w:r>
        <w:rPr>
          <w:rFonts w:ascii="Times New Roman" w:cs="Times New Roman" w:eastAsia="Times New Roman" w:hAnsi="Times New Roman"/>
          <w:sz w:val="20"/>
          <w:szCs w:val="20"/>
          <w:color w:val="auto"/>
        </w:rPr>
        <w:t>Examples of insider trading cases include actions brought against corporate officers, directors and employees who traded a company’s securities after learning of significant confidential corporate developments; friends, business associates, family members and other tippees of such officers, Directors and employees who traded the securities after receiving such information; government employees who learned of such information in the course of their employment; and other persons who misappropriated, and took advantage of, confidential information from their employers.</w:t>
      </w:r>
    </w:p>
    <w:p>
      <w:pPr>
        <w:spacing w:after="0" w:line="184" w:lineRule="exact"/>
        <w:rPr>
          <w:sz w:val="20"/>
          <w:szCs w:val="20"/>
          <w:color w:val="auto"/>
        </w:rPr>
      </w:pPr>
    </w:p>
    <w:p>
      <w:pPr>
        <w:ind w:left="200" w:right="520" w:firstLine="648"/>
        <w:spacing w:after="0" w:line="295" w:lineRule="auto"/>
        <w:rPr>
          <w:sz w:val="20"/>
          <w:szCs w:val="20"/>
          <w:color w:val="auto"/>
        </w:rPr>
      </w:pPr>
      <w:r>
        <w:rPr>
          <w:rFonts w:ascii="Times New Roman" w:cs="Times New Roman" w:eastAsia="Times New Roman" w:hAnsi="Times New Roman"/>
          <w:sz w:val="19"/>
          <w:szCs w:val="19"/>
          <w:color w:val="auto"/>
        </w:rPr>
        <w:t>The following are illustrations of insider trading violations. These illustrations are hypothetical and, consequently, not intended to reflect on the actual activities or business of the Company or any other entity.</w:t>
      </w:r>
    </w:p>
    <w:p>
      <w:pPr>
        <w:spacing w:after="0" w:line="134" w:lineRule="exact"/>
        <w:rPr>
          <w:sz w:val="20"/>
          <w:szCs w:val="20"/>
          <w:color w:val="auto"/>
        </w:rPr>
      </w:pPr>
    </w:p>
    <w:p>
      <w:pPr>
        <w:ind w:left="200" w:right="300" w:firstLine="648"/>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Trading by Insider. </w:t>
      </w:r>
      <w:r>
        <w:rPr>
          <w:rFonts w:ascii="Times New Roman" w:cs="Times New Roman" w:eastAsia="Times New Roman" w:hAnsi="Times New Roman"/>
          <w:sz w:val="20"/>
          <w:szCs w:val="20"/>
          <w:color w:val="auto"/>
        </w:rPr>
        <w:t>An officer of X Corporation learns that earnings to be reported by X</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Corporation will increase dramatically. Prior to the public announcement of such earnings, the officer purchases X Corporation’s stock. The officer, an Insider, is liable for all profits as well as penalties of up to three times the amount of all profits. The officer also is subject to, among other things, criminal prosecution, including up to $5,000,000 in additional fines and 20 years in jail. Depending upon the circumstances, X Corporation and the individual to whom the officer reports also could be liable as controlling persons.</w:t>
      </w:r>
    </w:p>
    <w:p>
      <w:pPr>
        <w:spacing w:after="0" w:line="280" w:lineRule="exact"/>
        <w:rPr>
          <w:sz w:val="20"/>
          <w:szCs w:val="20"/>
          <w:color w:val="auto"/>
        </w:rPr>
      </w:pPr>
    </w:p>
    <w:p>
      <w:pPr>
        <w:ind w:left="300" w:right="500"/>
        <w:spacing w:after="0" w:line="223" w:lineRule="auto"/>
        <w:rPr>
          <w:sz w:val="20"/>
          <w:szCs w:val="20"/>
          <w:color w:val="auto"/>
        </w:rPr>
      </w:pPr>
      <w:r>
        <w:rPr>
          <w:rFonts w:ascii="Times New Roman" w:cs="Times New Roman" w:eastAsia="Times New Roman" w:hAnsi="Times New Roman"/>
          <w:sz w:val="13"/>
          <w:szCs w:val="13"/>
          <w:b w:val="1"/>
          <w:bCs w:val="1"/>
          <w:color w:val="auto"/>
        </w:rPr>
        <w:t>AeroVironment, Inc. Proprietary Information</w:t>
      </w:r>
      <w:r>
        <w:rPr>
          <w:rFonts w:ascii="Times New Roman" w:cs="Times New Roman" w:eastAsia="Times New Roman" w:hAnsi="Times New Roman"/>
          <w:sz w:val="13"/>
          <w:szCs w:val="13"/>
          <w:color w:val="auto"/>
        </w:rPr>
        <w:t>. This material includes privileged or proprietary data that shall not be disclosed to any third party at any time, nor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it be duplicated or used by the recipient, in whole or in part, for any purpose other than to disseminate information provided by AeroVironment, Inc. Furthermore, this material contains trade secrets and/or commercial or financial information that is proprietary and is exempt from disclosure under the Freedom of Information Act and protected from disclosure by the Trade Secrets Act. See 5 USC 552(b)(4); 18 USC 1905.</w:t>
      </w:r>
    </w:p>
    <w:tbl>
      <w:tblPr>
        <w:tblLayout w:type="fixed"/>
        <w:tblInd w:w="220" w:type="dxa"/>
        <w:tblCellMar>
          <w:top w:w="0" w:type="dxa"/>
          <w:left w:w="0" w:type="dxa"/>
          <w:bottom w:w="0" w:type="dxa"/>
          <w:right w:w="0" w:type="dxa"/>
        </w:tblCellMar>
      </w:tblPr>
      <w:tr>
        <w:trPr>
          <w:trHeight w:val="119"/>
        </w:trPr>
        <w:tc>
          <w:tcPr>
            <w:tcW w:w="2100" w:type="dxa"/>
            <w:vAlign w:val="bottom"/>
          </w:tcPr>
          <w:p>
            <w:pPr>
              <w:spacing w:after="0"/>
              <w:rPr>
                <w:sz w:val="10"/>
                <w:szCs w:val="10"/>
                <w:color w:val="auto"/>
              </w:rPr>
            </w:pPr>
          </w:p>
        </w:tc>
        <w:tc>
          <w:tcPr>
            <w:tcW w:w="4140" w:type="dxa"/>
            <w:vAlign w:val="bottom"/>
          </w:tcPr>
          <w:p>
            <w:pPr>
              <w:jc w:val="center"/>
              <w:ind w:left="157"/>
              <w:spacing w:after="0" w:line="119" w:lineRule="exact"/>
              <w:rPr>
                <w:sz w:val="20"/>
                <w:szCs w:val="20"/>
                <w:color w:val="auto"/>
              </w:rPr>
            </w:pPr>
            <w:r>
              <w:rPr>
                <w:rFonts w:ascii="Times New Roman" w:cs="Times New Roman" w:eastAsia="Times New Roman" w:hAnsi="Times New Roman"/>
                <w:sz w:val="13"/>
                <w:szCs w:val="13"/>
                <w:b w:val="1"/>
                <w:bCs w:val="1"/>
                <w:color w:val="auto"/>
                <w:w w:val="98"/>
              </w:rPr>
              <w:t xml:space="preserve">Page </w:t>
            </w:r>
            <w:r>
              <w:rPr>
                <w:rFonts w:ascii="Times New Roman" w:cs="Times New Roman" w:eastAsia="Times New Roman" w:hAnsi="Times New Roman"/>
                <w:sz w:val="13"/>
                <w:szCs w:val="13"/>
                <w:color w:val="auto"/>
                <w:w w:val="98"/>
              </w:rPr>
              <w:t>11</w:t>
            </w:r>
            <w:r>
              <w:rPr>
                <w:rFonts w:ascii="Times New Roman" w:cs="Times New Roman" w:eastAsia="Times New Roman" w:hAnsi="Times New Roman"/>
                <w:sz w:val="13"/>
                <w:szCs w:val="13"/>
                <w:b w:val="1"/>
                <w:bCs w:val="1"/>
                <w:color w:val="auto"/>
                <w:w w:val="98"/>
              </w:rPr>
              <w:t xml:space="preserve"> of 12</w:t>
            </w: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CONFIDENTIAL</w:t>
            </w:r>
          </w:p>
        </w:tc>
        <w:tc>
          <w:tcPr>
            <w:tcW w:w="4140" w:type="dxa"/>
            <w:vAlign w:val="bottom"/>
          </w:tcPr>
          <w:p>
            <w:pPr>
              <w:jc w:val="center"/>
              <w:ind w:lef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Every user is responsible for verifying this</w:t>
            </w:r>
          </w:p>
        </w:tc>
        <w:tc>
          <w:tcPr>
            <w:tcW w:w="2340" w:type="dxa"/>
            <w:vAlign w:val="bottom"/>
            <w:vMerge w:val="restart"/>
          </w:tcPr>
          <w:p>
            <w:pPr>
              <w:ind w:left="820"/>
              <w:spacing w:after="0"/>
              <w:rPr>
                <w:sz w:val="20"/>
                <w:szCs w:val="20"/>
                <w:color w:val="auto"/>
              </w:rPr>
            </w:pPr>
            <w:r>
              <w:rPr>
                <w:rFonts w:ascii="Times New Roman" w:cs="Times New Roman" w:eastAsia="Times New Roman" w:hAnsi="Times New Roman"/>
                <w:sz w:val="13"/>
                <w:szCs w:val="13"/>
                <w:color w:val="auto"/>
              </w:rPr>
              <w:t>©2021 AeroVironment, Inc.</w:t>
            </w:r>
          </w:p>
        </w:tc>
        <w:tc>
          <w:tcPr>
            <w:tcW w:w="0" w:type="dxa"/>
            <w:vAlign w:val="bottom"/>
          </w:tcPr>
          <w:p>
            <w:pPr>
              <w:spacing w:after="0"/>
              <w:rPr>
                <w:sz w:val="1"/>
                <w:szCs w:val="1"/>
                <w:color w:val="auto"/>
              </w:rPr>
            </w:pPr>
          </w:p>
        </w:tc>
      </w:tr>
      <w:tr>
        <w:trPr>
          <w:trHeight w:val="99"/>
        </w:trPr>
        <w:tc>
          <w:tcPr>
            <w:tcW w:w="2100" w:type="dxa"/>
            <w:vAlign w:val="bottom"/>
            <w:vMerge w:val="continue"/>
          </w:tcPr>
          <w:p>
            <w:pPr>
              <w:spacing w:after="0"/>
              <w:rPr>
                <w:sz w:val="8"/>
                <w:szCs w:val="8"/>
                <w:color w:val="auto"/>
              </w:rPr>
            </w:pPr>
          </w:p>
        </w:tc>
        <w:tc>
          <w:tcPr>
            <w:tcW w:w="4140" w:type="dxa"/>
            <w:vAlign w:val="bottom"/>
            <w:vMerge w:val="restart"/>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6"/>
              </w:rPr>
              <w:t>document is current prior to use.</w:t>
            </w: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00" w:type="dxa"/>
            <w:vAlign w:val="bottom"/>
          </w:tcPr>
          <w:p>
            <w:pPr>
              <w:spacing w:after="0"/>
              <w:rPr>
                <w:sz w:val="5"/>
                <w:szCs w:val="5"/>
                <w:color w:val="auto"/>
              </w:rPr>
            </w:pPr>
          </w:p>
        </w:tc>
        <w:tc>
          <w:tcPr>
            <w:tcW w:w="4140" w:type="dxa"/>
            <w:vAlign w:val="bottom"/>
            <w:vMerge w:val="continue"/>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3"/>
        </w:trPr>
        <w:tc>
          <w:tcPr>
            <w:tcW w:w="2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515" w:right="141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6"/>
          <w:szCs w:val="16"/>
          <w:b w:val="1"/>
          <w:bCs w:val="1"/>
          <w:color w:val="1C355E"/>
        </w:rPr>
        <w:t>BMSD-41 rev.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5760720" cy="9086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0">
                      <a:extLst>
                        <a:ext uri="{28A0092B-C50C-407E-A947-70E740481C1C}"/>
                      </a:extLst>
                    </a:blip>
                    <a:srcRect/>
                    <a:stretch>
                      <a:fillRect/>
                    </a:stretch>
                  </pic:blipFill>
                  <pic:spPr bwMode="auto">
                    <a:xfrm>
                      <a:off x="0" y="0"/>
                      <a:ext cx="5760720" cy="908685"/>
                    </a:xfrm>
                    <a:prstGeom prst="rect">
                      <a:avLst/>
                    </a:prstGeom>
                    <a:noFill/>
                  </pic:spPr>
                </pic:pic>
              </a:graphicData>
            </a:graphic>
          </wp:anchor>
        </w:drawing>
      </w:r>
    </w:p>
    <w:p>
      <w:pPr>
        <w:spacing w:after="0" w:line="9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1C355E"/>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right="380" w:firstLine="648"/>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Trading by Tippee. </w:t>
      </w:r>
      <w:r>
        <w:rPr>
          <w:rFonts w:ascii="Times New Roman" w:cs="Times New Roman" w:eastAsia="Times New Roman" w:hAnsi="Times New Roman"/>
          <w:sz w:val="20"/>
          <w:szCs w:val="20"/>
          <w:color w:val="auto"/>
        </w:rPr>
        <w:t>An officer of X Corporation tells a friend that X Corporation is about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publicly announce that it has concluded an agreement for a major acquisition. This tip causes the friend to purchase X Corporation’s stock in advance of the announcement. The officer is jointly liable with their friend for all of the friend’s profits and each is liable for all penalties of up to three times the amount of the friend’s profits. In addition, the officer and their friend are subject to, among other things, criminal prosecution, as described above.</w:t>
      </w:r>
    </w:p>
    <w:p>
      <w:pPr>
        <w:spacing w:after="0" w:line="179"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XII.</w:t>
        <w:tab/>
        <w:t>LIMITATION OF LIABILITY</w:t>
      </w:r>
    </w:p>
    <w:p>
      <w:pPr>
        <w:spacing w:after="0" w:line="220" w:lineRule="exact"/>
        <w:rPr>
          <w:sz w:val="20"/>
          <w:szCs w:val="20"/>
          <w:color w:val="auto"/>
        </w:rPr>
      </w:pPr>
    </w:p>
    <w:p>
      <w:pPr>
        <w:ind w:left="200" w:right="280" w:firstLine="648"/>
        <w:spacing w:after="0" w:line="259" w:lineRule="auto"/>
        <w:rPr>
          <w:sz w:val="20"/>
          <w:szCs w:val="20"/>
          <w:color w:val="auto"/>
        </w:rPr>
      </w:pPr>
      <w:r>
        <w:rPr>
          <w:rFonts w:ascii="Times New Roman" w:cs="Times New Roman" w:eastAsia="Times New Roman" w:hAnsi="Times New Roman"/>
          <w:sz w:val="19"/>
          <w:szCs w:val="19"/>
          <w:color w:val="auto"/>
        </w:rPr>
        <w:t>None of the Company, the Compliance Officer or the Company’s other employees will have any liability for any delay in reviewing, or refusal or denial of, (a) a Rule 10b5-1 Plan submitted for approval by the Compliance Officer, (b) a request for pre-clearance of a proposed transaction in Company securities; or (c) any other request for pre-clearance submitted pursuant to this Policy. Notwithstanding any review of a Rule 10b5-1 Trading Plan or a pre-clearance of a proposed transaction in Company securities, none of the Company, the Compliance Officer or any other Company employee assumes any liability for the legality or consequences of such trading plan or transaction to the person engaging in or adopting such trading plan or transaction.</w:t>
      </w:r>
    </w:p>
    <w:p>
      <w:pPr>
        <w:spacing w:after="0" w:line="168" w:lineRule="exact"/>
        <w:rPr>
          <w:sz w:val="20"/>
          <w:szCs w:val="20"/>
          <w:color w:val="auto"/>
        </w:rPr>
      </w:pPr>
    </w:p>
    <w:p>
      <w:pPr>
        <w:ind w:left="200"/>
        <w:spacing w:after="0"/>
        <w:tabs>
          <w:tab w:leader="none" w:pos="840" w:val="left"/>
        </w:tabs>
        <w:rPr>
          <w:sz w:val="20"/>
          <w:szCs w:val="20"/>
          <w:color w:val="auto"/>
        </w:rPr>
      </w:pPr>
      <w:r>
        <w:rPr>
          <w:rFonts w:ascii="Times New Roman" w:cs="Times New Roman" w:eastAsia="Times New Roman" w:hAnsi="Times New Roman"/>
          <w:sz w:val="20"/>
          <w:szCs w:val="20"/>
          <w:b w:val="1"/>
          <w:bCs w:val="1"/>
          <w:color w:val="auto"/>
        </w:rPr>
        <w:t>XIII.</w:t>
        <w:tab/>
        <w:t>Authority and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153670</wp:posOffset>
            </wp:positionV>
            <wp:extent cx="5443855" cy="6000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1">
                      <a:extLst>
                        <a:ext uri="{28A0092B-C50C-407E-A947-70E740481C1C}"/>
                      </a:extLst>
                    </a:blip>
                    <a:srcRect/>
                    <a:stretch>
                      <a:fillRect/>
                    </a:stretch>
                  </pic:blipFill>
                  <pic:spPr bwMode="auto">
                    <a:xfrm>
                      <a:off x="0" y="0"/>
                      <a:ext cx="5443855" cy="600075"/>
                    </a:xfrm>
                    <a:prstGeom prst="rect">
                      <a:avLst/>
                    </a:prstGeom>
                    <a:noFill/>
                  </pic:spPr>
                </pic:pic>
              </a:graphicData>
            </a:graphic>
          </wp:anchor>
        </w:drawing>
      </w:r>
    </w:p>
    <w:p>
      <w:pPr>
        <w:spacing w:after="0" w:line="344" w:lineRule="exact"/>
        <w:rPr>
          <w:sz w:val="20"/>
          <w:szCs w:val="20"/>
          <w:color w:val="auto"/>
        </w:rPr>
      </w:pPr>
    </w:p>
    <w:p>
      <w:pPr>
        <w:ind w:left="920"/>
        <w:spacing w:after="0"/>
        <w:tabs>
          <w:tab w:leader="none" w:pos="2720" w:val="left"/>
        </w:tabs>
        <w:rPr>
          <w:sz w:val="20"/>
          <w:szCs w:val="20"/>
          <w:color w:val="auto"/>
        </w:rPr>
      </w:pPr>
      <w:r>
        <w:rPr>
          <w:rFonts w:ascii="Times New Roman" w:cs="Times New Roman" w:eastAsia="Times New Roman" w:hAnsi="Times New Roman"/>
          <w:sz w:val="20"/>
          <w:szCs w:val="20"/>
          <w:b w:val="1"/>
          <w:bCs w:val="1"/>
          <w:color w:val="auto"/>
        </w:rPr>
        <w:t>Functional Owner:</w:t>
      </w:r>
      <w:r>
        <w:rPr>
          <w:sz w:val="20"/>
          <w:szCs w:val="20"/>
          <w:color w:val="auto"/>
        </w:rPr>
        <w:tab/>
      </w:r>
      <w:r>
        <w:rPr>
          <w:rFonts w:ascii="Times New Roman" w:cs="Times New Roman" w:eastAsia="Times New Roman" w:hAnsi="Times New Roman"/>
          <w:sz w:val="19"/>
          <w:szCs w:val="19"/>
          <w:color w:val="auto"/>
        </w:rPr>
        <w:t>General Counsel</w:t>
      </w:r>
    </w:p>
    <w:p>
      <w:pPr>
        <w:spacing w:after="0" w:line="94" w:lineRule="exact"/>
        <w:rPr>
          <w:sz w:val="20"/>
          <w:szCs w:val="20"/>
          <w:color w:val="auto"/>
        </w:rPr>
      </w:pPr>
    </w:p>
    <w:p>
      <w:pPr>
        <w:ind w:left="2740" w:right="620" w:hanging="2258"/>
        <w:spacing w:after="0" w:line="269" w:lineRule="auto"/>
        <w:tabs>
          <w:tab w:leader="none" w:pos="2720" w:val="left"/>
        </w:tabs>
        <w:rPr>
          <w:sz w:val="20"/>
          <w:szCs w:val="20"/>
          <w:color w:val="auto"/>
        </w:rPr>
      </w:pPr>
      <w:r>
        <w:rPr>
          <w:rFonts w:ascii="Times New Roman" w:cs="Times New Roman" w:eastAsia="Times New Roman" w:hAnsi="Times New Roman"/>
          <w:sz w:val="20"/>
          <w:szCs w:val="20"/>
          <w:b w:val="1"/>
          <w:bCs w:val="1"/>
          <w:color w:val="auto"/>
        </w:rPr>
        <w:t>Functional Participants:</w:t>
      </w:r>
      <w:r>
        <w:rPr>
          <w:sz w:val="20"/>
          <w:szCs w:val="20"/>
          <w:color w:val="auto"/>
        </w:rPr>
        <w:tab/>
      </w:r>
      <w:r>
        <w:rPr>
          <w:rFonts w:ascii="Times New Roman" w:cs="Times New Roman" w:eastAsia="Times New Roman" w:hAnsi="Times New Roman"/>
          <w:sz w:val="20"/>
          <w:szCs w:val="20"/>
          <w:color w:val="auto"/>
        </w:rPr>
        <w:t>All Employees (including AeroVironment’s subsidiaries and all persons affiliated with them)</w:t>
      </w:r>
    </w:p>
    <w:p>
      <w:pPr>
        <w:spacing w:after="0" w:line="301" w:lineRule="exact"/>
        <w:rPr>
          <w:sz w:val="20"/>
          <w:szCs w:val="20"/>
          <w:color w:val="auto"/>
        </w:rPr>
      </w:pPr>
    </w:p>
    <w:p>
      <w:pPr>
        <w:ind w:left="300" w:right="500"/>
        <w:spacing w:after="0" w:line="223" w:lineRule="auto"/>
        <w:rPr>
          <w:sz w:val="20"/>
          <w:szCs w:val="20"/>
          <w:color w:val="auto"/>
        </w:rPr>
      </w:pPr>
      <w:r>
        <w:rPr>
          <w:rFonts w:ascii="Times New Roman" w:cs="Times New Roman" w:eastAsia="Times New Roman" w:hAnsi="Times New Roman"/>
          <w:sz w:val="13"/>
          <w:szCs w:val="13"/>
          <w:b w:val="1"/>
          <w:bCs w:val="1"/>
          <w:color w:val="auto"/>
        </w:rPr>
        <w:t>AeroVironment, Inc. Proprietary Information</w:t>
      </w:r>
      <w:r>
        <w:rPr>
          <w:rFonts w:ascii="Times New Roman" w:cs="Times New Roman" w:eastAsia="Times New Roman" w:hAnsi="Times New Roman"/>
          <w:sz w:val="13"/>
          <w:szCs w:val="13"/>
          <w:color w:val="auto"/>
        </w:rPr>
        <w:t>. This material includes privileged or proprietary data that shall not be disclosed to any third party at any time, nor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it be duplicated or used by the recipient, in whole or in part, for any purpose other than to disseminate information provided by AeroVironment, Inc. Furthermore, this material contains trade secrets and/or commercial or financial information that is proprietary and is exempt from disclosure under the Freedom of Information Act and protected from disclosure by the Trade Secrets Act. See 5 USC 552(b)(4); 18 USC 1905.</w:t>
      </w:r>
    </w:p>
    <w:tbl>
      <w:tblPr>
        <w:tblLayout w:type="fixed"/>
        <w:tblInd w:w="220" w:type="dxa"/>
        <w:tblCellMar>
          <w:top w:w="0" w:type="dxa"/>
          <w:left w:w="0" w:type="dxa"/>
          <w:bottom w:w="0" w:type="dxa"/>
          <w:right w:w="0" w:type="dxa"/>
        </w:tblCellMar>
      </w:tblPr>
      <w:tr>
        <w:trPr>
          <w:trHeight w:val="119"/>
        </w:trPr>
        <w:tc>
          <w:tcPr>
            <w:tcW w:w="2100" w:type="dxa"/>
            <w:vAlign w:val="bottom"/>
          </w:tcPr>
          <w:p>
            <w:pPr>
              <w:spacing w:after="0"/>
              <w:rPr>
                <w:sz w:val="10"/>
                <w:szCs w:val="10"/>
                <w:color w:val="auto"/>
              </w:rPr>
            </w:pPr>
          </w:p>
        </w:tc>
        <w:tc>
          <w:tcPr>
            <w:tcW w:w="4140" w:type="dxa"/>
            <w:vAlign w:val="bottom"/>
          </w:tcPr>
          <w:p>
            <w:pPr>
              <w:jc w:val="center"/>
              <w:ind w:left="157"/>
              <w:spacing w:after="0" w:line="119" w:lineRule="exact"/>
              <w:rPr>
                <w:sz w:val="20"/>
                <w:szCs w:val="20"/>
                <w:color w:val="auto"/>
              </w:rPr>
            </w:pPr>
            <w:r>
              <w:rPr>
                <w:rFonts w:ascii="Times New Roman" w:cs="Times New Roman" w:eastAsia="Times New Roman" w:hAnsi="Times New Roman"/>
                <w:sz w:val="13"/>
                <w:szCs w:val="13"/>
                <w:b w:val="1"/>
                <w:bCs w:val="1"/>
                <w:color w:val="auto"/>
                <w:w w:val="98"/>
              </w:rPr>
              <w:t xml:space="preserve">Page </w:t>
            </w:r>
            <w:r>
              <w:rPr>
                <w:rFonts w:ascii="Times New Roman" w:cs="Times New Roman" w:eastAsia="Times New Roman" w:hAnsi="Times New Roman"/>
                <w:sz w:val="13"/>
                <w:szCs w:val="13"/>
                <w:color w:val="auto"/>
                <w:w w:val="98"/>
              </w:rPr>
              <w:t>12</w:t>
            </w:r>
            <w:r>
              <w:rPr>
                <w:rFonts w:ascii="Times New Roman" w:cs="Times New Roman" w:eastAsia="Times New Roman" w:hAnsi="Times New Roman"/>
                <w:sz w:val="13"/>
                <w:szCs w:val="13"/>
                <w:b w:val="1"/>
                <w:bCs w:val="1"/>
                <w:color w:val="auto"/>
                <w:w w:val="98"/>
              </w:rPr>
              <w:t xml:space="preserve"> of 12</w:t>
            </w:r>
          </w:p>
        </w:tc>
        <w:tc>
          <w:tcPr>
            <w:tcW w:w="2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CONFIDENTIAL</w:t>
            </w:r>
          </w:p>
        </w:tc>
        <w:tc>
          <w:tcPr>
            <w:tcW w:w="4140" w:type="dxa"/>
            <w:vAlign w:val="bottom"/>
          </w:tcPr>
          <w:p>
            <w:pPr>
              <w:jc w:val="center"/>
              <w:ind w:left="1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Every user is responsible for verifying this</w:t>
            </w:r>
          </w:p>
        </w:tc>
        <w:tc>
          <w:tcPr>
            <w:tcW w:w="2340" w:type="dxa"/>
            <w:vAlign w:val="bottom"/>
            <w:vMerge w:val="restart"/>
          </w:tcPr>
          <w:p>
            <w:pPr>
              <w:ind w:left="820"/>
              <w:spacing w:after="0"/>
              <w:rPr>
                <w:sz w:val="20"/>
                <w:szCs w:val="20"/>
                <w:color w:val="auto"/>
              </w:rPr>
            </w:pPr>
            <w:r>
              <w:rPr>
                <w:rFonts w:ascii="Times New Roman" w:cs="Times New Roman" w:eastAsia="Times New Roman" w:hAnsi="Times New Roman"/>
                <w:sz w:val="13"/>
                <w:szCs w:val="13"/>
                <w:color w:val="auto"/>
              </w:rPr>
              <w:t>©2021 AeroVironment, Inc.</w:t>
            </w:r>
          </w:p>
        </w:tc>
        <w:tc>
          <w:tcPr>
            <w:tcW w:w="0" w:type="dxa"/>
            <w:vAlign w:val="bottom"/>
          </w:tcPr>
          <w:p>
            <w:pPr>
              <w:spacing w:after="0"/>
              <w:rPr>
                <w:sz w:val="1"/>
                <w:szCs w:val="1"/>
                <w:color w:val="auto"/>
              </w:rPr>
            </w:pPr>
          </w:p>
        </w:tc>
      </w:tr>
      <w:tr>
        <w:trPr>
          <w:trHeight w:val="99"/>
        </w:trPr>
        <w:tc>
          <w:tcPr>
            <w:tcW w:w="2100" w:type="dxa"/>
            <w:vAlign w:val="bottom"/>
            <w:vMerge w:val="continue"/>
          </w:tcPr>
          <w:p>
            <w:pPr>
              <w:spacing w:after="0"/>
              <w:rPr>
                <w:sz w:val="8"/>
                <w:szCs w:val="8"/>
                <w:color w:val="auto"/>
              </w:rPr>
            </w:pPr>
          </w:p>
        </w:tc>
        <w:tc>
          <w:tcPr>
            <w:tcW w:w="4140" w:type="dxa"/>
            <w:vAlign w:val="bottom"/>
            <w:vMerge w:val="restart"/>
          </w:tcPr>
          <w:p>
            <w:pPr>
              <w:jc w:val="center"/>
              <w:ind w:left="157"/>
              <w:spacing w:after="0"/>
              <w:rPr>
                <w:sz w:val="20"/>
                <w:szCs w:val="20"/>
                <w:color w:val="auto"/>
              </w:rPr>
            </w:pPr>
            <w:r>
              <w:rPr>
                <w:rFonts w:ascii="Times New Roman" w:cs="Times New Roman" w:eastAsia="Times New Roman" w:hAnsi="Times New Roman"/>
                <w:sz w:val="13"/>
                <w:szCs w:val="13"/>
                <w:b w:val="1"/>
                <w:bCs w:val="1"/>
                <w:color w:val="auto"/>
                <w:w w:val="96"/>
              </w:rPr>
              <w:t>document is current prior to use.</w:t>
            </w: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100" w:type="dxa"/>
            <w:vAlign w:val="bottom"/>
          </w:tcPr>
          <w:p>
            <w:pPr>
              <w:spacing w:after="0"/>
              <w:rPr>
                <w:sz w:val="5"/>
                <w:szCs w:val="5"/>
                <w:color w:val="auto"/>
              </w:rPr>
            </w:pPr>
          </w:p>
        </w:tc>
        <w:tc>
          <w:tcPr>
            <w:tcW w:w="4140" w:type="dxa"/>
            <w:vAlign w:val="bottom"/>
            <w:vMerge w:val="continue"/>
          </w:tcPr>
          <w:p>
            <w:pPr>
              <w:spacing w:after="0"/>
              <w:rPr>
                <w:sz w:val="5"/>
                <w:szCs w:val="5"/>
                <w:color w:val="auto"/>
              </w:rPr>
            </w:pPr>
          </w:p>
        </w:tc>
        <w:tc>
          <w:tcPr>
            <w:tcW w:w="2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3"/>
        </w:trPr>
        <w:tc>
          <w:tcPr>
            <w:tcW w:w="2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515" w:right="1419" w:bottom="1440" w:gutter="0" w:footer="0" w:header="0"/>
        </w:sectPr>
      </w:pPr>
    </w:p>
    <w:bookmarkStart w:id="154" w:name="page155"/>
    <w:bookmarkEnd w:id="154"/>
    <w:p>
      <w:pPr>
        <w:ind w:left="802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Subsidiaries of AeroVironment, Inc.</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6"/>
                <w:szCs w:val="16"/>
                <w:color w:val="auto"/>
              </w:rPr>
            </w:pPr>
          </w:p>
        </w:tc>
        <w:tc>
          <w:tcPr>
            <w:tcW w:w="422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4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Arcturus UAV, Inc.</w:t>
            </w:r>
          </w:p>
        </w:tc>
        <w:tc>
          <w:tcPr>
            <w:tcW w:w="200" w:type="dxa"/>
            <w:vAlign w:val="bottom"/>
            <w:vMerge w:val="continue"/>
          </w:tcPr>
          <w:p>
            <w:pPr>
              <w:spacing w:after="0"/>
              <w:rPr>
                <w:sz w:val="16"/>
                <w:szCs w:val="16"/>
                <w:color w:val="auto"/>
              </w:rPr>
            </w:pPr>
          </w:p>
        </w:tc>
        <w:tc>
          <w:tcPr>
            <w:tcW w:w="4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16"/>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Telerob Gesellschaft für Fernhantierungstechnik mbH</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4"/>
        </w:trPr>
        <w:tc>
          <w:tcPr>
            <w:tcW w:w="4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Tomahawk Robotics, Inc.</w:t>
            </w:r>
          </w:p>
        </w:tc>
        <w:tc>
          <w:tcPr>
            <w:tcW w:w="4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1"/>
        </w:trPr>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7" w:right="1440" w:bottom="1440" w:gutter="0" w:footer="0" w:header="0"/>
        </w:sectPr>
      </w:pPr>
    </w:p>
    <w:bookmarkStart w:id="155" w:name="page156"/>
    <w:bookmarkEnd w:id="15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333-140237, 333-178349 and 333-260227 on Form S-8 and Registration Statement No. 333-267326 on Form S-3 of our reports dated June 26, 2024, relating to the consolidated financial statements of AeroVironment, Inc. and subsidiaries (the “Company”) and the effectiveness of the Company’s internal control over financial reporting appearing in this Annual Report on Form 10-K for the year ended April 30, 2024.</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Deloitte &amp; Touche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614680</wp:posOffset>
            </wp:positionV>
            <wp:extent cx="565785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56" w:name="page157"/>
    <w:bookmarkEnd w:id="15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 and 15d-14</w:t>
      </w:r>
    </w:p>
    <w:p>
      <w:pPr>
        <w:spacing w:after="0" w:line="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Wahid Nawabi, certify that:</w:t>
      </w:r>
    </w:p>
    <w:p>
      <w:pPr>
        <w:spacing w:after="0" w:line="225" w:lineRule="exact"/>
        <w:rPr>
          <w:sz w:val="20"/>
          <w:szCs w:val="20"/>
          <w:color w:val="auto"/>
        </w:rPr>
      </w:pPr>
    </w:p>
    <w:p>
      <w:pPr>
        <w:ind w:left="1340" w:hanging="642"/>
        <w:spacing w:after="0"/>
        <w:tabs>
          <w:tab w:leader="none" w:pos="1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AeroVironment, Inc.;</w:t>
      </w:r>
    </w:p>
    <w:p>
      <w:pPr>
        <w:spacing w:after="0" w:line="225" w:lineRule="exact"/>
        <w:rPr>
          <w:rFonts w:ascii="Times New Roman" w:cs="Times New Roman" w:eastAsia="Times New Roman" w:hAnsi="Times New Roman"/>
          <w:sz w:val="18"/>
          <w:szCs w:val="18"/>
          <w:color w:val="auto"/>
        </w:rPr>
      </w:pPr>
    </w:p>
    <w:p>
      <w:pPr>
        <w:ind w:left="60" w:right="279" w:firstLine="638"/>
        <w:spacing w:after="0" w:line="266" w:lineRule="auto"/>
        <w:tabs>
          <w:tab w:leader="none" w:pos="135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0" w:right="99" w:firstLine="638"/>
        <w:spacing w:after="0" w:line="258" w:lineRule="auto"/>
        <w:tabs>
          <w:tab w:leader="none" w:pos="135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60" w:right="259" w:firstLine="638"/>
        <w:spacing w:after="0" w:line="266" w:lineRule="auto"/>
        <w:tabs>
          <w:tab w:leader="none" w:pos="135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99" w:firstLine="646"/>
        <w:spacing w:after="0" w:line="255" w:lineRule="auto"/>
        <w:tabs>
          <w:tab w:leader="none" w:pos="199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700" w:right="159" w:firstLine="646"/>
        <w:spacing w:after="0" w:line="261" w:lineRule="auto"/>
        <w:tabs>
          <w:tab w:leader="none" w:pos="199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700" w:right="79" w:firstLine="646"/>
        <w:spacing w:after="0" w:line="258" w:lineRule="auto"/>
        <w:tabs>
          <w:tab w:leader="none" w:pos="199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Times New Roman" w:cs="Times New Roman" w:eastAsia="Times New Roman" w:hAnsi="Times New Roman"/>
          <w:sz w:val="18"/>
          <w:szCs w:val="18"/>
          <w:color w:val="auto"/>
        </w:rPr>
      </w:pPr>
    </w:p>
    <w:p>
      <w:pPr>
        <w:jc w:val="both"/>
        <w:ind w:left="700" w:right="239" w:firstLine="646"/>
        <w:spacing w:after="0" w:line="261" w:lineRule="auto"/>
        <w:tabs>
          <w:tab w:leader="none" w:pos="199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0" w:right="299" w:firstLine="638"/>
        <w:spacing w:after="0" w:line="258" w:lineRule="auto"/>
        <w:tabs>
          <w:tab w:leader="none" w:pos="135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82" w:lineRule="exact"/>
        <w:rPr>
          <w:rFonts w:ascii="Times New Roman" w:cs="Times New Roman" w:eastAsia="Times New Roman" w:hAnsi="Times New Roman"/>
          <w:sz w:val="18"/>
          <w:szCs w:val="18"/>
          <w:color w:val="auto"/>
        </w:rPr>
      </w:pPr>
    </w:p>
    <w:p>
      <w:pPr>
        <w:ind w:left="700" w:right="319" w:firstLine="646"/>
        <w:spacing w:after="0" w:line="266" w:lineRule="auto"/>
        <w:tabs>
          <w:tab w:leader="none" w:pos="199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59" w:firstLine="646"/>
        <w:spacing w:after="0" w:line="282" w:lineRule="auto"/>
        <w:tabs>
          <w:tab w:leader="none" w:pos="199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26, 2024</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Wahid Nawabi</w:t>
            </w:r>
          </w:p>
        </w:tc>
      </w:tr>
      <w:tr>
        <w:trPr>
          <w:trHeight w:val="191"/>
        </w:trPr>
        <w:tc>
          <w:tcPr>
            <w:tcW w:w="45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Wahid Nawabi</w:t>
            </w:r>
          </w:p>
        </w:tc>
      </w:tr>
      <w:tr>
        <w:trPr>
          <w:trHeight w:val="234"/>
        </w:trPr>
        <w:tc>
          <w:tcPr>
            <w:tcW w:w="45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r>
      <w:tr>
        <w:trPr>
          <w:trHeight w:val="979"/>
        </w:trPr>
        <w:tc>
          <w:tcPr>
            <w:tcW w:w="45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57" w:name="page158"/>
    <w:bookmarkEnd w:id="15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 and 15d-14</w:t>
      </w:r>
    </w:p>
    <w:p>
      <w:pPr>
        <w:spacing w:after="0" w:line="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Kevin P. McDonnell, certify that:</w:t>
      </w:r>
    </w:p>
    <w:p>
      <w:pPr>
        <w:spacing w:after="0" w:line="225" w:lineRule="exact"/>
        <w:rPr>
          <w:sz w:val="20"/>
          <w:szCs w:val="20"/>
          <w:color w:val="auto"/>
        </w:rPr>
      </w:pPr>
    </w:p>
    <w:p>
      <w:pPr>
        <w:ind w:left="1340" w:hanging="642"/>
        <w:spacing w:after="0"/>
        <w:tabs>
          <w:tab w:leader="none" w:pos="13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AeroVironment, Inc.;</w:t>
      </w:r>
    </w:p>
    <w:p>
      <w:pPr>
        <w:spacing w:after="0" w:line="225" w:lineRule="exact"/>
        <w:rPr>
          <w:rFonts w:ascii="Times New Roman" w:cs="Times New Roman" w:eastAsia="Times New Roman" w:hAnsi="Times New Roman"/>
          <w:sz w:val="18"/>
          <w:szCs w:val="18"/>
          <w:color w:val="auto"/>
        </w:rPr>
      </w:pPr>
    </w:p>
    <w:p>
      <w:pPr>
        <w:ind w:left="60" w:right="279" w:firstLine="638"/>
        <w:spacing w:after="0" w:line="266" w:lineRule="auto"/>
        <w:tabs>
          <w:tab w:leader="none" w:pos="135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0" w:right="99" w:firstLine="638"/>
        <w:spacing w:after="0" w:line="258" w:lineRule="auto"/>
        <w:tabs>
          <w:tab w:leader="none" w:pos="135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60" w:right="259" w:firstLine="638"/>
        <w:spacing w:after="0" w:line="266" w:lineRule="auto"/>
        <w:tabs>
          <w:tab w:leader="none" w:pos="135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00" w:right="99" w:firstLine="646"/>
        <w:spacing w:after="0" w:line="255" w:lineRule="auto"/>
        <w:tabs>
          <w:tab w:leader="none" w:pos="199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700" w:right="159" w:firstLine="646"/>
        <w:spacing w:after="0" w:line="261" w:lineRule="auto"/>
        <w:tabs>
          <w:tab w:leader="none" w:pos="199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700" w:right="79" w:firstLine="646"/>
        <w:spacing w:after="0" w:line="258" w:lineRule="auto"/>
        <w:tabs>
          <w:tab w:leader="none" w:pos="199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Times New Roman" w:cs="Times New Roman" w:eastAsia="Times New Roman" w:hAnsi="Times New Roman"/>
          <w:sz w:val="18"/>
          <w:szCs w:val="18"/>
          <w:color w:val="auto"/>
        </w:rPr>
      </w:pPr>
    </w:p>
    <w:p>
      <w:pPr>
        <w:jc w:val="both"/>
        <w:ind w:left="700" w:right="239" w:firstLine="646"/>
        <w:spacing w:after="0" w:line="261" w:lineRule="auto"/>
        <w:tabs>
          <w:tab w:leader="none" w:pos="199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0" w:right="299" w:firstLine="638"/>
        <w:spacing w:after="0" w:line="258" w:lineRule="auto"/>
        <w:tabs>
          <w:tab w:leader="none" w:pos="135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82" w:lineRule="exact"/>
        <w:rPr>
          <w:rFonts w:ascii="Times New Roman" w:cs="Times New Roman" w:eastAsia="Times New Roman" w:hAnsi="Times New Roman"/>
          <w:sz w:val="18"/>
          <w:szCs w:val="18"/>
          <w:color w:val="auto"/>
        </w:rPr>
      </w:pPr>
    </w:p>
    <w:p>
      <w:pPr>
        <w:ind w:left="700" w:right="319" w:firstLine="646"/>
        <w:spacing w:after="0" w:line="266" w:lineRule="auto"/>
        <w:tabs>
          <w:tab w:leader="none" w:pos="199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700" w:right="259" w:firstLine="646"/>
        <w:spacing w:after="0" w:line="282" w:lineRule="auto"/>
        <w:tabs>
          <w:tab w:leader="none" w:pos="199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26, 2024</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P. McDonnell</w:t>
            </w:r>
          </w:p>
        </w:tc>
      </w:tr>
      <w:tr>
        <w:trPr>
          <w:trHeight w:val="191"/>
        </w:trPr>
        <w:tc>
          <w:tcPr>
            <w:tcW w:w="4500" w:type="dxa"/>
            <w:vAlign w:val="bottom"/>
          </w:tcPr>
          <w:p>
            <w:pPr>
              <w:spacing w:after="0"/>
              <w:rPr>
                <w:sz w:val="16"/>
                <w:szCs w:val="16"/>
                <w:color w:val="auto"/>
              </w:rPr>
            </w:pP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Kevin P. McDonnell</w:t>
            </w:r>
          </w:p>
        </w:tc>
      </w:tr>
      <w:tr>
        <w:trPr>
          <w:trHeight w:val="234"/>
        </w:trPr>
        <w:tc>
          <w:tcPr>
            <w:tcW w:w="45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979"/>
        </w:trPr>
        <w:tc>
          <w:tcPr>
            <w:tcW w:w="45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58" w:name="page159"/>
    <w:bookmarkEnd w:id="158"/>
    <w:p>
      <w:pPr>
        <w:ind w:left="802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left="60" w:right="399" w:firstLine="648"/>
        <w:spacing w:after="0" w:line="312" w:lineRule="auto"/>
        <w:rPr>
          <w:sz w:val="20"/>
          <w:szCs w:val="20"/>
          <w:color w:val="auto"/>
        </w:rPr>
      </w:pPr>
      <w:r>
        <w:rPr>
          <w:rFonts w:ascii="Times New Roman" w:cs="Times New Roman" w:eastAsia="Times New Roman" w:hAnsi="Times New Roman"/>
          <w:sz w:val="17"/>
          <w:szCs w:val="17"/>
          <w:color w:val="auto"/>
        </w:rPr>
        <w:t>Pursuant to 18 U.S.C. Section 1350, as created by Section 906 of the Sarbanes-Oxley Act of 2002, each of the undersigned officers of AeroVironment, Inc. (the “Company”) hereby certifies, to each such officer’s knowledge, that:</w:t>
      </w:r>
    </w:p>
    <w:p>
      <w:pPr>
        <w:spacing w:after="0" w:line="140" w:lineRule="exact"/>
        <w:rPr>
          <w:sz w:val="20"/>
          <w:szCs w:val="20"/>
          <w:color w:val="auto"/>
        </w:rPr>
      </w:pPr>
    </w:p>
    <w:p>
      <w:pPr>
        <w:ind w:left="1340" w:right="199" w:hanging="642"/>
        <w:spacing w:after="0" w:line="266" w:lineRule="auto"/>
        <w:tabs>
          <w:tab w:leader="none" w:pos="1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Annual Report on Form 10-K of the Company for the year ended April 30, 2024 (the “Report”) fully complies with the requirements of Section 13(a) or Section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40" w:right="339" w:hanging="642"/>
        <w:spacing w:after="0" w:line="282" w:lineRule="auto"/>
        <w:tabs>
          <w:tab w:leader="none" w:pos="1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26, 2024</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WAHID NAWABI</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Wahid Nawabi</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r>
      <w:tr>
        <w:trPr>
          <w:trHeight w:val="432"/>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26, 2024</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P. MCDONNELL</w:t>
            </w:r>
          </w:p>
        </w:tc>
      </w:tr>
      <w:tr>
        <w:trPr>
          <w:trHeight w:val="191"/>
        </w:trPr>
        <w:tc>
          <w:tcPr>
            <w:tcW w:w="448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Kevin P. McDonnell</w:t>
            </w:r>
          </w:p>
        </w:tc>
      </w:tr>
      <w:tr>
        <w:trPr>
          <w:trHeight w:val="234"/>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1411"/>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1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700"/>
        <w:spacing w:after="0"/>
        <w:rPr>
          <w:sz w:val="20"/>
          <w:szCs w:val="20"/>
          <w:color w:val="auto"/>
        </w:rPr>
      </w:pPr>
      <w:r>
        <w:rPr>
          <w:rFonts w:ascii="Calibri" w:cs="Calibri" w:eastAsia="Calibri" w:hAnsi="Calibri"/>
          <w:sz w:val="20"/>
          <w:szCs w:val="20"/>
          <w:b w:val="1"/>
          <w:bCs w:val="1"/>
          <w:color w:val="auto"/>
        </w:rPr>
        <w:t>Exhibit 97</w:t>
      </w:r>
    </w:p>
    <w:p>
      <w:pPr>
        <w:sectPr>
          <w:pgSz w:w="11900" w:h="16838" w:orient="portrait"/>
          <w:cols w:equalWidth="0" w:num="1">
            <w:col w:w="9019"/>
          </w:cols>
          <w:pgMar w:left="1440" w:top="117" w:right="1440" w:bottom="0" w:gutter="0" w:footer="0" w:header="0"/>
          <w:type w:val="continuous"/>
        </w:sectPr>
      </w:pPr>
    </w:p>
    <w:bookmarkStart w:id="159" w:name="page160"/>
    <w:bookmarkEnd w:id="159"/>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AEROVIRONMENT,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2"/>
          <w:szCs w:val="22"/>
          <w:color w:val="auto"/>
        </w:rPr>
        <w:t>AeroVironment,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October 2,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in this Policy but not otherwise defined in the text of this policy are defined in Section 11.</w:t>
      </w:r>
    </w:p>
    <w:p>
      <w:pPr>
        <w:spacing w:after="0" w:line="173" w:lineRule="exact"/>
        <w:rPr>
          <w:sz w:val="20"/>
          <w:szCs w:val="20"/>
          <w:color w:val="auto"/>
        </w:rPr>
      </w:pPr>
    </w:p>
    <w:p>
      <w:pPr>
        <w:ind w:left="860" w:hanging="651"/>
        <w:spacing w:after="0"/>
        <w:tabs>
          <w:tab w:leader="none" w:pos="86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223" w:lineRule="exact"/>
        <w:rPr>
          <w:rFonts w:ascii="Times New Roman" w:cs="Times New Roman" w:eastAsia="Times New Roman" w:hAnsi="Times New Roman"/>
          <w:sz w:val="22"/>
          <w:szCs w:val="22"/>
          <w:b w:val="1"/>
          <w:bCs w:val="1"/>
          <w:color w:val="auto"/>
        </w:rPr>
      </w:pPr>
    </w:p>
    <w:p>
      <w:pPr>
        <w:ind w:left="8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Policy shall apply to current and former Officers of the Company.</w:t>
      </w:r>
    </w:p>
    <w:p>
      <w:pPr>
        <w:spacing w:after="0" w:line="215" w:lineRule="exact"/>
        <w:rPr>
          <w:rFonts w:ascii="Times New Roman" w:cs="Times New Roman" w:eastAsia="Times New Roman" w:hAnsi="Times New Roman"/>
          <w:sz w:val="22"/>
          <w:szCs w:val="22"/>
          <w:b w:val="1"/>
          <w:bCs w:val="1"/>
          <w:color w:val="auto"/>
        </w:rPr>
      </w:pPr>
    </w:p>
    <w:p>
      <w:pPr>
        <w:ind w:left="860" w:hanging="651"/>
        <w:spacing w:after="0"/>
        <w:tabs>
          <w:tab w:leader="none" w:pos="86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22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83" w:lineRule="exact"/>
        <w:rPr>
          <w:sz w:val="20"/>
          <w:szCs w:val="20"/>
          <w:color w:val="auto"/>
        </w:rPr>
      </w:pPr>
    </w:p>
    <w:p>
      <w:pPr>
        <w:ind w:left="860" w:hanging="651"/>
        <w:spacing w:after="0"/>
        <w:tabs>
          <w:tab w:leader="none" w:pos="86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224" w:lineRule="exact"/>
        <w:rPr>
          <w:sz w:val="20"/>
          <w:szCs w:val="20"/>
          <w:color w:val="auto"/>
        </w:rPr>
      </w:pPr>
    </w:p>
    <w:p>
      <w:pPr>
        <w:jc w:val="both"/>
        <w:ind w:left="200" w:right="219" w:firstLine="648"/>
        <w:spacing w:after="0" w:line="260" w:lineRule="auto"/>
        <w:rPr>
          <w:sz w:val="20"/>
          <w:szCs w:val="20"/>
          <w:color w:val="auto"/>
        </w:rPr>
      </w:pPr>
      <w:r>
        <w:rPr>
          <w:rFonts w:ascii="Times New Roman" w:cs="Times New Roman" w:eastAsia="Times New Roman" w:hAnsi="Times New Roman"/>
          <w:sz w:val="21"/>
          <w:szCs w:val="21"/>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200" w:right="259"/>
        <w:spacing w:after="0" w:line="258" w:lineRule="auto"/>
        <w:rPr>
          <w:sz w:val="20"/>
          <w:szCs w:val="20"/>
          <w:color w:val="auto"/>
        </w:rPr>
      </w:pPr>
      <w:r>
        <w:rPr>
          <w:rFonts w:ascii="Calibri" w:cs="Calibri" w:eastAsia="Calibri" w:hAnsi="Calibri"/>
          <w:sz w:val="14"/>
          <w:szCs w:val="14"/>
          <w:b w:val="1"/>
          <w:bCs w:val="1"/>
          <w:color w:val="auto"/>
        </w:rPr>
        <w:t>AeroVironment, Inc. Proprietary Informaton</w:t>
      </w:r>
      <w:r>
        <w:rPr>
          <w:rFonts w:ascii="Calibri" w:cs="Calibri" w:eastAsia="Calibri" w:hAnsi="Calibri"/>
          <w:sz w:val="14"/>
          <w:szCs w:val="14"/>
          <w:color w:val="auto"/>
        </w:rPr>
        <w:t>. This material includes privileged or proprietary data that shall not be disclosed to any third party at</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any tme, nor shall it be duplicated or used by the recipient, in whole or in part, for any purpose other than to disseminate informaton provided by AeroVironment, Inc. Furthermore, this material contains trade secrets and/or commercial or fnancial informaton that is proprietary and is exempt from disclosure under the Freedom of Informaton Act and protected from disclosure by the Trade Secrets Act. See 5 USC 552(b)(4); 18 USC 1905.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442595</wp:posOffset>
            </wp:positionV>
            <wp:extent cx="545211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42" w:orient="portrait"/>
          <w:cols w:equalWidth="0" w:num="1">
            <w:col w:w="9019"/>
          </w:cols>
          <w:pgMar w:left="1440" w:top="12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7300"/>
        <w:spacing w:after="0"/>
        <w:rPr>
          <w:sz w:val="20"/>
          <w:szCs w:val="20"/>
          <w:color w:val="auto"/>
        </w:rPr>
      </w:pPr>
      <w:r>
        <w:rPr>
          <w:rFonts w:ascii="Calibri" w:cs="Calibri" w:eastAsia="Calibri" w:hAnsi="Calibri"/>
          <w:sz w:val="19"/>
          <w:szCs w:val="19"/>
          <w:color w:val="auto"/>
        </w:rPr>
        <w:t>BMSD-853 Rev. A</w:t>
      </w:r>
    </w:p>
    <w:p>
      <w:pPr>
        <w:sectPr>
          <w:pgSz w:w="11900" w:h="16842" w:orient="portrait"/>
          <w:cols w:equalWidth="0" w:num="1">
            <w:col w:w="9019"/>
          </w:cols>
          <w:pgMar w:left="1440" w:top="122" w:right="1440" w:bottom="0" w:gutter="0" w:footer="0" w:header="0"/>
          <w:type w:val="continuous"/>
        </w:sectPr>
      </w:pPr>
    </w:p>
    <w:bookmarkStart w:id="160" w:name="page161"/>
    <w:bookmarkEnd w:id="160"/>
    <w:p>
      <w:pPr>
        <w:spacing w:after="0" w:line="4" w:lineRule="exact"/>
        <w:rPr>
          <w:sz w:val="20"/>
          <w:szCs w:val="20"/>
          <w:color w:val="auto"/>
        </w:rPr>
      </w:pPr>
    </w:p>
    <w:tbl>
      <w:tblPr>
        <w:tblLayout w:type="fixed"/>
        <w:tblInd w:w="680" w:type="dxa"/>
        <w:tblCellMar>
          <w:top w:w="0" w:type="dxa"/>
          <w:left w:w="0" w:type="dxa"/>
          <w:bottom w:w="0" w:type="dxa"/>
          <w:right w:w="0" w:type="dxa"/>
        </w:tblCellMar>
      </w:tblPr>
      <w:tr>
        <w:trPr>
          <w:trHeight w:val="286"/>
        </w:trPr>
        <w:tc>
          <w:tcPr>
            <w:tcW w:w="6540" w:type="dxa"/>
            <w:vAlign w:val="bottom"/>
          </w:tcPr>
          <w:p>
            <w:pPr>
              <w:jc w:val="center"/>
              <w:ind w:left="1012"/>
              <w:spacing w:after="0"/>
              <w:rPr>
                <w:sz w:val="20"/>
                <w:szCs w:val="20"/>
                <w:color w:val="auto"/>
              </w:rPr>
            </w:pPr>
            <w:r>
              <w:rPr>
                <w:rFonts w:ascii="Times New Roman" w:cs="Times New Roman" w:eastAsia="Times New Roman" w:hAnsi="Times New Roman"/>
                <w:sz w:val="22"/>
                <w:szCs w:val="22"/>
                <w:b w:val="1"/>
                <w:bCs w:val="1"/>
                <w:color w:val="auto"/>
                <w:w w:val="97"/>
              </w:rPr>
              <w:t>AEROVIRONMENT, INC.</w:t>
            </w:r>
          </w:p>
        </w:tc>
        <w:tc>
          <w:tcPr>
            <w:tcW w:w="1400" w:type="dxa"/>
            <w:vAlign w:val="bottom"/>
            <w:vMerge w:val="restart"/>
          </w:tcPr>
          <w:p>
            <w:pPr>
              <w:spacing w:after="0"/>
              <w:rPr>
                <w:sz w:val="20"/>
                <w:szCs w:val="20"/>
                <w:color w:val="auto"/>
              </w:rPr>
            </w:pPr>
            <w:r>
              <w:rPr>
                <w:rFonts w:ascii="Calibri" w:cs="Calibri" w:eastAsia="Calibri" w:hAnsi="Calibri"/>
                <w:sz w:val="20"/>
                <w:szCs w:val="20"/>
                <w:color w:val="auto"/>
                <w:w w:val="97"/>
              </w:rPr>
              <w:t>BMSD-853 Rev. A</w:t>
            </w:r>
          </w:p>
        </w:tc>
        <w:tc>
          <w:tcPr>
            <w:tcW w:w="0" w:type="dxa"/>
            <w:vAlign w:val="bottom"/>
          </w:tcPr>
          <w:p>
            <w:pPr>
              <w:spacing w:after="0"/>
              <w:rPr>
                <w:sz w:val="1"/>
                <w:szCs w:val="1"/>
                <w:color w:val="auto"/>
              </w:rPr>
            </w:pPr>
          </w:p>
        </w:tc>
      </w:tr>
      <w:tr>
        <w:trPr>
          <w:trHeight w:val="61"/>
        </w:trPr>
        <w:tc>
          <w:tcPr>
            <w:tcW w:w="6540" w:type="dxa"/>
            <w:vAlign w:val="bottom"/>
          </w:tcPr>
          <w:p>
            <w:pPr>
              <w:spacing w:after="0"/>
              <w:rPr>
                <w:sz w:val="4"/>
                <w:szCs w:val="4"/>
                <w:color w:val="auto"/>
              </w:rPr>
            </w:pPr>
          </w:p>
        </w:tc>
        <w:tc>
          <w:tcPr>
            <w:tcW w:w="14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97"/>
        </w:trPr>
        <w:tc>
          <w:tcPr>
            <w:tcW w:w="7940" w:type="dxa"/>
            <w:vAlign w:val="bottom"/>
            <w:gridSpan w:val="2"/>
          </w:tcPr>
          <w:p>
            <w:pPr>
              <w:jc w:val="center"/>
              <w:ind w:right="181"/>
              <w:spacing w:after="0"/>
              <w:rPr>
                <w:sz w:val="20"/>
                <w:szCs w:val="20"/>
                <w:color w:val="auto"/>
              </w:rPr>
            </w:pPr>
            <w:r>
              <w:rPr>
                <w:rFonts w:ascii="Times New Roman" w:cs="Times New Roman" w:eastAsia="Times New Roman" w:hAnsi="Times New Roman"/>
                <w:sz w:val="22"/>
                <w:szCs w:val="22"/>
                <w:b w:val="1"/>
                <w:bCs w:val="1"/>
                <w:color w:val="auto"/>
                <w:w w:val="97"/>
              </w:rPr>
              <w:t>POLICY FOR RECOVERY OF ERRONEOUSLY AWARDED COMPENSATION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60" w:hanging="651"/>
        <w:spacing w:after="0"/>
        <w:tabs>
          <w:tab w:leader="none" w:pos="86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22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will be credited to the amount of Erroneously Awarded Compensation required to be recovered pursuant to this Policy from such person.</w:t>
      </w:r>
    </w:p>
    <w:p>
      <w:pPr>
        <w:spacing w:after="0" w:line="189" w:lineRule="exact"/>
        <w:rPr>
          <w:sz w:val="20"/>
          <w:szCs w:val="20"/>
          <w:color w:val="auto"/>
        </w:rPr>
      </w:pPr>
    </w:p>
    <w:p>
      <w:pPr>
        <w:ind w:left="860" w:hanging="651"/>
        <w:spacing w:after="0"/>
        <w:tabs>
          <w:tab w:leader="none" w:pos="86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2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81" w:lineRule="exact"/>
        <w:rPr>
          <w:sz w:val="20"/>
          <w:szCs w:val="20"/>
          <w:color w:val="auto"/>
        </w:rPr>
      </w:pPr>
    </w:p>
    <w:p>
      <w:pPr>
        <w:ind w:left="860" w:hanging="651"/>
        <w:spacing w:after="0"/>
        <w:tabs>
          <w:tab w:leader="none" w:pos="86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224" w:lineRule="exact"/>
        <w:rPr>
          <w:sz w:val="20"/>
          <w:szCs w:val="20"/>
          <w:color w:val="auto"/>
        </w:rPr>
      </w:pPr>
    </w:p>
    <w:p>
      <w:pPr>
        <w:jc w:val="both"/>
        <w:ind w:left="200" w:right="219" w:firstLine="648"/>
        <w:spacing w:after="0" w:line="252" w:lineRule="auto"/>
        <w:rPr>
          <w:sz w:val="20"/>
          <w:szCs w:val="20"/>
          <w:color w:val="auto"/>
        </w:rPr>
      </w:pPr>
      <w:r>
        <w:rPr>
          <w:rFonts w:ascii="Times New Roman" w:cs="Times New Roman" w:eastAsia="Times New Roman" w:hAnsi="Times New Roman"/>
          <w:sz w:val="22"/>
          <w:szCs w:val="22"/>
          <w:color w:val="auto"/>
        </w:rPr>
        <w:t>This Policy will be interpreted and applied in a manner that is consistent with the requirements of the Applicable Rules, and to the extent this Policy is inconsistent with such Applicable Rules, it shall be deemed amended to the extent necessary to ensure it is consistent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200" w:right="259"/>
        <w:spacing w:after="0" w:line="258" w:lineRule="auto"/>
        <w:rPr>
          <w:sz w:val="20"/>
          <w:szCs w:val="20"/>
          <w:color w:val="auto"/>
        </w:rPr>
      </w:pPr>
      <w:r>
        <w:rPr>
          <w:rFonts w:ascii="Calibri" w:cs="Calibri" w:eastAsia="Calibri" w:hAnsi="Calibri"/>
          <w:sz w:val="14"/>
          <w:szCs w:val="14"/>
          <w:b w:val="1"/>
          <w:bCs w:val="1"/>
          <w:color w:val="auto"/>
        </w:rPr>
        <w:t>AeroVironment, Inc. Proprietary Informaton</w:t>
      </w:r>
      <w:r>
        <w:rPr>
          <w:rFonts w:ascii="Calibri" w:cs="Calibri" w:eastAsia="Calibri" w:hAnsi="Calibri"/>
          <w:sz w:val="14"/>
          <w:szCs w:val="14"/>
          <w:color w:val="auto"/>
        </w:rPr>
        <w:t>. This material includes privileged or proprietary data that shall not be disclosed to any third party at</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any tme, nor shall it be duplicated or used by the recipient, in whole or in part, for any purpose other than to disseminate informaton provided by AeroVironment, Inc. Furthermore, this material contains trade secrets and/or commercial or fnancial informaton that is proprietary and is exempt from disclosure under the Freedom of Informaton Act and protected from disclosure by the Trade Secrets Act. See 5 USC 552(b)(4); 18 USC 1905.</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459740</wp:posOffset>
            </wp:positionV>
            <wp:extent cx="545211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42" w:orient="portrait"/>
          <w:cols w:equalWidth="0" w:num="1">
            <w:col w:w="9019"/>
          </w:cols>
          <w:pgMar w:left="1440" w:top="51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300"/>
        <w:spacing w:after="0"/>
        <w:rPr>
          <w:sz w:val="20"/>
          <w:szCs w:val="20"/>
          <w:color w:val="auto"/>
        </w:rPr>
      </w:pPr>
      <w:r>
        <w:rPr>
          <w:rFonts w:ascii="Calibri" w:cs="Calibri" w:eastAsia="Calibri" w:hAnsi="Calibri"/>
          <w:sz w:val="19"/>
          <w:szCs w:val="19"/>
          <w:color w:val="auto"/>
        </w:rPr>
        <w:t>BMSD-853 Rev. A</w:t>
      </w:r>
    </w:p>
    <w:p>
      <w:pPr>
        <w:sectPr>
          <w:pgSz w:w="11900" w:h="16842" w:orient="portrait"/>
          <w:cols w:equalWidth="0" w:num="1">
            <w:col w:w="9019"/>
          </w:cols>
          <w:pgMar w:left="1440" w:top="513" w:right="1440" w:bottom="0" w:gutter="0" w:footer="0" w:header="0"/>
          <w:type w:val="continuous"/>
        </w:sectPr>
      </w:pPr>
    </w:p>
    <w:bookmarkStart w:id="161" w:name="page162"/>
    <w:bookmarkEnd w:id="161"/>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AEROVIRONMENT,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395" w:lineRule="exact"/>
        <w:rPr>
          <w:sz w:val="20"/>
          <w:szCs w:val="20"/>
          <w:color w:val="auto"/>
        </w:rPr>
      </w:pPr>
    </w:p>
    <w:p>
      <w:pPr>
        <w:ind w:left="860" w:hanging="651"/>
        <w:spacing w:after="0"/>
        <w:tabs>
          <w:tab w:leader="none" w:pos="86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 No Personal Liability</w:t>
      </w:r>
    </w:p>
    <w:p>
      <w:pPr>
        <w:spacing w:after="0" w:line="224"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 member of the Committee or the Board shall have any personal liability to any person as a result of actions taken under this Policy and each member of the Committee and the Board will be fully indemnified by the Company to the fullest extent available under applicable law and the Company’s governing documents with respect to any actions taken under this Policy. The foregoing sentence will not limit any other rights to indemnification of the members of the Board under applicable law and the Company’s governing documents.</w:t>
      </w:r>
    </w:p>
    <w:p>
      <w:pPr>
        <w:spacing w:after="0" w:line="184" w:lineRule="exact"/>
        <w:rPr>
          <w:sz w:val="20"/>
          <w:szCs w:val="20"/>
          <w:color w:val="auto"/>
        </w:rPr>
      </w:pPr>
    </w:p>
    <w:p>
      <w:pPr>
        <w:ind w:left="860" w:hanging="651"/>
        <w:spacing w:after="0"/>
        <w:tabs>
          <w:tab w:leader="none" w:pos="86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224" w:lineRule="exact"/>
        <w:rPr>
          <w:sz w:val="20"/>
          <w:szCs w:val="20"/>
          <w:color w:val="auto"/>
        </w:rPr>
      </w:pPr>
    </w:p>
    <w:p>
      <w:pPr>
        <w:jc w:val="both"/>
        <w:ind w:left="200" w:right="219" w:firstLine="648"/>
        <w:spacing w:after="0" w:line="248"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 right or remedy at law or in equity that may be available to the Company or an affiliate of the Company.</w:t>
      </w:r>
    </w:p>
    <w:p>
      <w:pPr>
        <w:spacing w:after="0" w:line="181" w:lineRule="exact"/>
        <w:rPr>
          <w:sz w:val="20"/>
          <w:szCs w:val="20"/>
          <w:color w:val="auto"/>
        </w:rPr>
      </w:pPr>
    </w:p>
    <w:p>
      <w:pPr>
        <w:ind w:left="860" w:hanging="651"/>
        <w:spacing w:after="0"/>
        <w:tabs>
          <w:tab w:leader="none" w:pos="86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224"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77" w:lineRule="exact"/>
        <w:rPr>
          <w:sz w:val="20"/>
          <w:szCs w:val="20"/>
          <w:color w:val="auto"/>
        </w:rPr>
      </w:pPr>
    </w:p>
    <w:p>
      <w:pPr>
        <w:ind w:left="860" w:hanging="651"/>
        <w:spacing w:after="0"/>
        <w:tabs>
          <w:tab w:leader="none" w:pos="86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24" w:lineRule="exact"/>
        <w:rPr>
          <w:sz w:val="20"/>
          <w:szCs w:val="20"/>
          <w:color w:val="auto"/>
        </w:rPr>
      </w:pPr>
    </w:p>
    <w:p>
      <w:pPr>
        <w:jc w:val="both"/>
        <w:ind w:left="200" w:right="219" w:firstLine="648"/>
        <w:spacing w:after="0" w:line="250"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 and will be limited the extent that any provision of the Applicable Rules is no longer in effect or applicable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200" w:right="259"/>
        <w:spacing w:after="0" w:line="258" w:lineRule="auto"/>
        <w:rPr>
          <w:sz w:val="20"/>
          <w:szCs w:val="20"/>
          <w:color w:val="auto"/>
        </w:rPr>
      </w:pPr>
      <w:r>
        <w:rPr>
          <w:rFonts w:ascii="Calibri" w:cs="Calibri" w:eastAsia="Calibri" w:hAnsi="Calibri"/>
          <w:sz w:val="14"/>
          <w:szCs w:val="14"/>
          <w:b w:val="1"/>
          <w:bCs w:val="1"/>
          <w:color w:val="auto"/>
        </w:rPr>
        <w:t>AeroVironment, Inc. Proprietary Informaton</w:t>
      </w:r>
      <w:r>
        <w:rPr>
          <w:rFonts w:ascii="Calibri" w:cs="Calibri" w:eastAsia="Calibri" w:hAnsi="Calibri"/>
          <w:sz w:val="14"/>
          <w:szCs w:val="14"/>
          <w:color w:val="auto"/>
        </w:rPr>
        <w:t>. This material includes privileged or proprietary data that shall not be disclosed to any third party at</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any tme, nor shall it be duplicated or used by the recipient, in whole or in part, for any purpose other than to disseminate informaton provided by AeroVironment, Inc. Furthermore, this material contains trade secrets and/or commercial or fnancial informaton that is proprietary and is exempt from disclosure under the Freedom of Informaton Act and protected from disclosure by the Trade Secrets Act. See 5 USC 552(b)(4); 18 USC 1905.</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451485</wp:posOffset>
            </wp:positionV>
            <wp:extent cx="545211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42" w:orient="portrait"/>
          <w:cols w:equalWidth="0" w:num="1">
            <w:col w:w="9019"/>
          </w:cols>
          <w:pgMar w:left="1440" w:top="51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300"/>
        <w:spacing w:after="0"/>
        <w:rPr>
          <w:sz w:val="20"/>
          <w:szCs w:val="20"/>
          <w:color w:val="auto"/>
        </w:rPr>
      </w:pPr>
      <w:r>
        <w:rPr>
          <w:rFonts w:ascii="Calibri" w:cs="Calibri" w:eastAsia="Calibri" w:hAnsi="Calibri"/>
          <w:sz w:val="19"/>
          <w:szCs w:val="19"/>
          <w:color w:val="auto"/>
        </w:rPr>
        <w:t>BMSD-853 Rev. A</w:t>
      </w:r>
    </w:p>
    <w:p>
      <w:pPr>
        <w:sectPr>
          <w:pgSz w:w="11900" w:h="16842" w:orient="portrait"/>
          <w:cols w:equalWidth="0" w:num="1">
            <w:col w:w="9019"/>
          </w:cols>
          <w:pgMar w:left="1440" w:top="513" w:right="1440" w:bottom="0" w:gutter="0" w:footer="0" w:header="0"/>
          <w:type w:val="continuous"/>
        </w:sectPr>
      </w:pPr>
    </w:p>
    <w:bookmarkStart w:id="162" w:name="page163"/>
    <w:bookmarkEnd w:id="162"/>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AEROVIRONMENT,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395" w:lineRule="exact"/>
        <w:rPr>
          <w:sz w:val="20"/>
          <w:szCs w:val="20"/>
          <w:color w:val="auto"/>
        </w:rPr>
      </w:pPr>
    </w:p>
    <w:p>
      <w:pPr>
        <w:ind w:left="860" w:hanging="651"/>
        <w:spacing w:after="0"/>
        <w:tabs>
          <w:tab w:leader="none" w:pos="86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64" w:lineRule="exact"/>
        <w:rPr>
          <w:sz w:val="20"/>
          <w:szCs w:val="20"/>
          <w:color w:val="auto"/>
        </w:rPr>
      </w:pPr>
    </w:p>
    <w:p>
      <w:pPr>
        <w:jc w:val="both"/>
        <w:ind w:left="200" w:right="219" w:firstLine="648"/>
        <w:spacing w:after="0" w:line="27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 in each case, as amended from time to time.</w:t>
      </w:r>
    </w:p>
    <w:p>
      <w:pPr>
        <w:spacing w:after="0" w:line="102" w:lineRule="exact"/>
        <w:rPr>
          <w:sz w:val="20"/>
          <w:szCs w:val="20"/>
          <w:color w:val="auto"/>
        </w:rPr>
      </w:pPr>
    </w:p>
    <w:p>
      <w:pPr>
        <w:jc w:val="both"/>
        <w:ind w:left="200" w:right="219" w:firstLine="648"/>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46"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7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20" w:lineRule="exact"/>
        <w:rPr>
          <w:sz w:val="20"/>
          <w:szCs w:val="20"/>
          <w:color w:val="auto"/>
        </w:rPr>
      </w:pPr>
    </w:p>
    <w:p>
      <w:pPr>
        <w:jc w:val="both"/>
        <w:ind w:left="200" w:right="219"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w:t>
      </w:r>
      <w:r>
        <w:rPr>
          <w:rFonts w:ascii="Times New Roman" w:cs="Times New Roman" w:eastAsia="Times New Roman" w:hAnsi="Times New Roman"/>
          <w:sz w:val="22"/>
          <w:szCs w:val="22"/>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18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20" w:lineRule="exact"/>
        <w:rPr>
          <w:sz w:val="20"/>
          <w:szCs w:val="20"/>
          <w:color w:val="auto"/>
        </w:rPr>
      </w:pPr>
    </w:p>
    <w:p>
      <w:pPr>
        <w:jc w:val="both"/>
        <w:ind w:left="200" w:right="219"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 Board.</w:t>
      </w:r>
    </w:p>
    <w:p>
      <w:pPr>
        <w:spacing w:after="0" w:line="147" w:lineRule="exact"/>
        <w:rPr>
          <w:sz w:val="20"/>
          <w:szCs w:val="20"/>
          <w:color w:val="auto"/>
        </w:rPr>
      </w:pPr>
    </w:p>
    <w:p>
      <w:pPr>
        <w:jc w:val="both"/>
        <w:ind w:left="200" w:right="219"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200" w:right="259"/>
        <w:spacing w:after="0" w:line="258" w:lineRule="auto"/>
        <w:rPr>
          <w:sz w:val="20"/>
          <w:szCs w:val="20"/>
          <w:color w:val="auto"/>
        </w:rPr>
      </w:pPr>
      <w:r>
        <w:rPr>
          <w:rFonts w:ascii="Calibri" w:cs="Calibri" w:eastAsia="Calibri" w:hAnsi="Calibri"/>
          <w:sz w:val="14"/>
          <w:szCs w:val="14"/>
          <w:b w:val="1"/>
          <w:bCs w:val="1"/>
          <w:color w:val="auto"/>
        </w:rPr>
        <w:t>AeroVironment, Inc. Proprietary Informaton</w:t>
      </w:r>
      <w:r>
        <w:rPr>
          <w:rFonts w:ascii="Calibri" w:cs="Calibri" w:eastAsia="Calibri" w:hAnsi="Calibri"/>
          <w:sz w:val="14"/>
          <w:szCs w:val="14"/>
          <w:color w:val="auto"/>
        </w:rPr>
        <w:t>. This material includes privileged or proprietary data that shall not be disclosed to any third party at</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any tme, nor shall it be duplicated or used by the recipient, in whole or in part, for any purpose other than to disseminate informaton provided by AeroVironment, Inc. Furthermore, this material contains trade secrets and/or commercial or fnancial informaton that is proprietary and is exempt from disclosure under the Freedom of Informaton Act and protected from disclosure by the Trade Secrets Act. See 5 USC 552(b)(4); 18 USC 1905.</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451485</wp:posOffset>
            </wp:positionV>
            <wp:extent cx="545211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42" w:orient="portrait"/>
          <w:cols w:equalWidth="0" w:num="1">
            <w:col w:w="9019"/>
          </w:cols>
          <w:pgMar w:left="1440" w:top="51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300"/>
        <w:spacing w:after="0"/>
        <w:rPr>
          <w:sz w:val="20"/>
          <w:szCs w:val="20"/>
          <w:color w:val="auto"/>
        </w:rPr>
      </w:pPr>
      <w:r>
        <w:rPr>
          <w:rFonts w:ascii="Calibri" w:cs="Calibri" w:eastAsia="Calibri" w:hAnsi="Calibri"/>
          <w:sz w:val="19"/>
          <w:szCs w:val="19"/>
          <w:color w:val="auto"/>
        </w:rPr>
        <w:t>BMSD-853 Rev. A</w:t>
      </w:r>
    </w:p>
    <w:p>
      <w:pPr>
        <w:sectPr>
          <w:pgSz w:w="11900" w:h="16842" w:orient="portrait"/>
          <w:cols w:equalWidth="0" w:num="1">
            <w:col w:w="9019"/>
          </w:cols>
          <w:pgMar w:left="1440" w:top="513" w:right="1440" w:bottom="0" w:gutter="0" w:footer="0" w:header="0"/>
          <w:type w:val="continuous"/>
        </w:sectPr>
      </w:pPr>
    </w:p>
    <w:bookmarkStart w:id="163" w:name="page164"/>
    <w:bookmarkEnd w:id="16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AEROVIRONMENT, INC.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393" w:lineRule="exact"/>
        <w:rPr>
          <w:sz w:val="20"/>
          <w:szCs w:val="20"/>
          <w:color w:val="auto"/>
        </w:rPr>
      </w:pPr>
    </w:p>
    <w:p>
      <w:pPr>
        <w:jc w:val="both"/>
        <w:ind w:left="200" w:right="219"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Incentive-Based Compensation</w:t>
      </w:r>
      <w:r>
        <w:rPr>
          <w:rFonts w:ascii="Times New Roman" w:cs="Times New Roman" w:eastAsia="Times New Roman" w:hAnsi="Times New Roman"/>
          <w:sz w:val="21"/>
          <w:szCs w:val="21"/>
          <w:color w:val="auto"/>
        </w:rPr>
        <w:t>” means, with respect to a Restatement, any compensation that is granted, earned, or vested based wholly or in part upon the attainment of one or more Financial Reporting Measures and received by a person: (a) after beginning service as an Officer;</w:t>
      </w:r>
    </w:p>
    <w:p>
      <w:pPr>
        <w:spacing w:after="0" w:line="3" w:lineRule="exact"/>
        <w:rPr>
          <w:sz w:val="20"/>
          <w:szCs w:val="20"/>
          <w:color w:val="auto"/>
        </w:rPr>
      </w:pPr>
    </w:p>
    <w:p>
      <w:pPr>
        <w:jc w:val="both"/>
        <w:ind w:left="200" w:right="219" w:firstLine="9"/>
        <w:spacing w:after="0" w:line="245" w:lineRule="auto"/>
        <w:tabs>
          <w:tab w:leader="none" w:pos="51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served as an Officer at any time during the performance period for that compensation; (c) while the issuer has a class of its securities listed on a national securities exchange or association; and (d) during the applicable Three-Year Period.</w:t>
      </w:r>
    </w:p>
    <w:p>
      <w:pPr>
        <w:spacing w:after="0" w:line="181" w:lineRule="exact"/>
        <w:rPr>
          <w:sz w:val="20"/>
          <w:szCs w:val="20"/>
          <w:color w:val="auto"/>
        </w:rPr>
      </w:pPr>
    </w:p>
    <w:p>
      <w:pPr>
        <w:jc w:val="both"/>
        <w:ind w:left="200" w:right="219" w:firstLine="648"/>
        <w:spacing w:after="0" w:line="27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10D-1(d) under the Exchange Act.</w:t>
      </w:r>
    </w:p>
    <w:p>
      <w:pPr>
        <w:spacing w:after="0" w:line="147"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Restatement</w:t>
      </w:r>
      <w:r>
        <w:rPr>
          <w:rFonts w:ascii="Times New Roman" w:cs="Times New Roman" w:eastAsia="Times New Roman" w:hAnsi="Times New Roman"/>
          <w:sz w:val="22"/>
          <w:szCs w:val="22"/>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76" w:lineRule="exact"/>
        <w:rPr>
          <w:sz w:val="20"/>
          <w:szCs w:val="20"/>
          <w:color w:val="auto"/>
        </w:rPr>
      </w:pPr>
    </w:p>
    <w:p>
      <w:pPr>
        <w:jc w:val="both"/>
        <w:ind w:left="200" w:right="219"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195" w:lineRule="exact"/>
        <w:rPr>
          <w:sz w:val="20"/>
          <w:szCs w:val="20"/>
          <w:color w:val="auto"/>
        </w:rPr>
      </w:pPr>
    </w:p>
    <w:p>
      <w:pPr>
        <w:jc w:val="both"/>
        <w:ind w:left="200" w:right="259"/>
        <w:spacing w:after="0" w:line="252" w:lineRule="auto"/>
        <w:rPr>
          <w:sz w:val="20"/>
          <w:szCs w:val="20"/>
          <w:color w:val="auto"/>
        </w:rPr>
      </w:pPr>
      <w:r>
        <w:rPr>
          <w:rFonts w:ascii="Calibri" w:cs="Calibri" w:eastAsia="Calibri" w:hAnsi="Calibri"/>
          <w:sz w:val="14"/>
          <w:szCs w:val="14"/>
          <w:b w:val="1"/>
          <w:bCs w:val="1"/>
          <w:color w:val="auto"/>
        </w:rPr>
        <w:t>AeroVironment, Inc. Proprietary Informaton</w:t>
      </w:r>
      <w:r>
        <w:rPr>
          <w:rFonts w:ascii="Calibri" w:cs="Calibri" w:eastAsia="Calibri" w:hAnsi="Calibri"/>
          <w:sz w:val="14"/>
          <w:szCs w:val="14"/>
          <w:color w:val="auto"/>
        </w:rPr>
        <w:t>. This material includes privileged or proprietary data that shall not be disclosed to any third party at</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any tme, nor shall it be duplicated or used by the recipient, in whole or in part, for any purpose other than to disseminate informaton provided by AeroVironment, Inc. Furthermore, this material contains trade secrets and/or commercial or fnancial informaton that is proprietary and is exempt from disclosure under the Freedom of Informaton Act and protected from disclosure by the Trade Secrets Act. See 5 USC 552(b)(4); 18 USC 1905.</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459740</wp:posOffset>
            </wp:positionV>
            <wp:extent cx="545211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5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1)"/>
      <w:numFmt w:val="decimal"/>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
      <w:numFmt w:val="bullet"/>
      <w:start w:val="1"/>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
      <w:numFmt w:val="bullet"/>
      <w:start w:val="1"/>
    </w:lvl>
  </w:abstractNum>
  <w:abstractNum w:abstractNumId="35">
    <w:nsid w:val="BF72B14"/>
    <w:multiLevelType w:val="hybridMultilevel"/>
    <w:lvl w:ilvl="0">
      <w:lvlJc w:val="left"/>
      <w:lvlText w:val="●"/>
      <w:numFmt w:val="bullet"/>
      <w:start w:val="1"/>
    </w:lvl>
  </w:abstractNum>
  <w:abstractNum w:abstractNumId="36">
    <w:nsid w:val="11447B73"/>
    <w:multiLevelType w:val="hybridMultilevel"/>
    <w:lvl w:ilvl="0">
      <w:lvlJc w:val="left"/>
      <w:lvlText w:val="●"/>
      <w:numFmt w:val="bullet"/>
      <w:start w:val="1"/>
    </w:lvl>
  </w:abstractNum>
  <w:abstractNum w:abstractNumId="37">
    <w:nsid w:val="42963E5A"/>
    <w:multiLevelType w:val="hybridMultilevel"/>
    <w:lvl w:ilvl="0">
      <w:lvlJc w:val="left"/>
      <w:lvlText w:val="(%1)"/>
      <w:numFmt w:val="decimal"/>
      <w:start w:val="1"/>
    </w:lvl>
  </w:abstractNum>
  <w:abstractNum w:abstractNumId="38">
    <w:nsid w:val="A0382C5"/>
    <w:multiLevelType w:val="hybridMultilevel"/>
    <w:lvl w:ilvl="0">
      <w:lvlJc w:val="left"/>
      <w:lvlText w:val="●"/>
      <w:numFmt w:val="bullet"/>
      <w:start w:val="1"/>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1."/>
      <w:numFmt w:val="decimal"/>
      <w:start w:val="1"/>
    </w:lvl>
  </w:abstractNum>
  <w:abstractNum w:abstractNumId="41">
    <w:nsid w:val="3B0FD379"/>
    <w:multiLevelType w:val="hybridMultilevel"/>
    <w:lvl w:ilvl="0">
      <w:lvlJc w:val="left"/>
      <w:lvlText w:val="%1."/>
      <w:numFmt w:val="decimal"/>
      <w:start w:val="3"/>
    </w:lvl>
  </w:abstractNum>
  <w:abstractNum w:abstractNumId="42">
    <w:nsid w:val="68EB2F63"/>
    <w:multiLevelType w:val="hybridMultilevel"/>
    <w:lvl w:ilvl="0">
      <w:lvlJc w:val="left"/>
      <w:lvlText w:val="●"/>
      <w:numFmt w:val="bullet"/>
      <w:start w:val="1"/>
    </w:lvl>
  </w:abstractNum>
  <w:abstractNum w:abstractNumId="43">
    <w:nsid w:val="4962813B"/>
    <w:multiLevelType w:val="hybridMultilevel"/>
    <w:lvl w:ilvl="0">
      <w:lvlJc w:val="left"/>
      <w:lvlText w:val="%1."/>
      <w:numFmt w:val="decimal"/>
      <w:start w:val="4"/>
    </w:lvl>
  </w:abstractNum>
  <w:abstractNum w:abstractNumId="44">
    <w:nsid w:val="60B6DF70"/>
    <w:multiLevelType w:val="hybridMultilevel"/>
    <w:lvl w:ilvl="0">
      <w:lvlJc w:val="left"/>
      <w:lvlText w:val="%1."/>
      <w:numFmt w:val="decimal"/>
      <w:start w:val="5"/>
    </w:lvl>
  </w:abstractNum>
  <w:abstractNum w:abstractNumId="45">
    <w:nsid w:val="6A5EE64"/>
    <w:multiLevelType w:val="hybridMultilevel"/>
    <w:lvl w:ilvl="0">
      <w:lvlJc w:val="left"/>
      <w:lvlText w:val="%1."/>
      <w:numFmt w:val="decimal"/>
      <w:start w:val="6"/>
    </w:lvl>
  </w:abstractNum>
  <w:abstractNum w:abstractNumId="46">
    <w:nsid w:val="14330624"/>
    <w:multiLevelType w:val="hybridMultilevel"/>
    <w:lvl w:ilvl="0">
      <w:lvlJc w:val="left"/>
      <w:lvlText w:val="%1."/>
      <w:numFmt w:val="decimal"/>
      <w:start w:val="7"/>
    </w:lvl>
  </w:abstractNum>
  <w:abstractNum w:abstractNumId="47">
    <w:nsid w:val="7FFFCA11"/>
    <w:multiLevelType w:val="hybridMultilevel"/>
    <w:lvl w:ilvl="0">
      <w:lvlJc w:val="left"/>
      <w:lvlText w:val="%1."/>
      <w:numFmt w:val="decimal"/>
      <w:start w:val="8"/>
    </w:lvl>
  </w:abstractNum>
  <w:abstractNum w:abstractNumId="48">
    <w:nsid w:val="1A27709E"/>
    <w:multiLevelType w:val="hybridMultilevel"/>
    <w:lvl w:ilvl="0">
      <w:lvlJc w:val="left"/>
      <w:lvlText w:val="%1."/>
      <w:numFmt w:val="decimal"/>
      <w:start w:val="10"/>
    </w:lvl>
  </w:abstractNum>
  <w:abstractNum w:abstractNumId="49">
    <w:nsid w:val="71EA1109"/>
    <w:multiLevelType w:val="hybridMultilevel"/>
    <w:lvl w:ilvl="0">
      <w:lvlJc w:val="left"/>
      <w:lvlText w:val="%1."/>
      <w:numFmt w:val="decimal"/>
      <w:start w:val="11"/>
    </w:lvl>
  </w:abstractNum>
  <w:abstractNum w:abstractNumId="50">
    <w:nsid w:val="100F59DC"/>
    <w:multiLevelType w:val="hybridMultilevel"/>
    <w:lvl w:ilvl="0">
      <w:lvlJc w:val="left"/>
      <w:lvlText w:val="%1."/>
      <w:numFmt w:val="decimal"/>
      <w:start w:val="12"/>
    </w:lvl>
  </w:abstractNum>
  <w:abstractNum w:abstractNumId="51">
    <w:nsid w:val="7FB7E0AA"/>
    <w:multiLevelType w:val="hybridMultilevel"/>
    <w:lvl w:ilvl="0">
      <w:lvlJc w:val="left"/>
      <w:lvlText w:val="%1."/>
      <w:numFmt w:val="decimal"/>
      <w:start w:val="13"/>
    </w:lvl>
  </w:abstractNum>
  <w:abstractNum w:abstractNumId="52">
    <w:nsid w:val="6EB5BD4"/>
    <w:multiLevelType w:val="hybridMultilevel"/>
    <w:lvl w:ilvl="0">
      <w:lvlJc w:val="left"/>
      <w:lvlText w:val="%1."/>
      <w:numFmt w:val="decimal"/>
      <w:start w:val="14"/>
    </w:lvl>
  </w:abstractNum>
  <w:abstractNum w:abstractNumId="53">
    <w:nsid w:val="6F6DD9AC"/>
    <w:multiLevelType w:val="hybridMultilevel"/>
    <w:lvl w:ilvl="0">
      <w:lvlJc w:val="left"/>
      <w:lvlText w:val="%1."/>
      <w:numFmt w:val="decimal"/>
      <w:start w:val="15"/>
    </w:lvl>
  </w:abstractNum>
  <w:abstractNum w:abstractNumId="54">
    <w:nsid w:val="94211F2"/>
    <w:multiLevelType w:val="hybridMultilevel"/>
    <w:lvl w:ilvl="0">
      <w:lvlJc w:val="left"/>
      <w:lvlText w:val="%1."/>
      <w:numFmt w:val="decimal"/>
      <w:start w:val="16"/>
    </w:lvl>
  </w:abstractNum>
  <w:abstractNum w:abstractNumId="55">
    <w:nsid w:val="885E1B"/>
    <w:multiLevelType w:val="hybridMultilevel"/>
    <w:lvl w:ilvl="0">
      <w:lvlJc w:val="left"/>
      <w:lvlText w:val="%1."/>
      <w:numFmt w:val="decimal"/>
      <w:start w:val="17"/>
    </w:lvl>
  </w:abstractNum>
  <w:abstractNum w:abstractNumId="56">
    <w:nsid w:val="76272110"/>
    <w:multiLevelType w:val="hybridMultilevel"/>
    <w:lvl w:ilvl="0">
      <w:lvlJc w:val="left"/>
      <w:lvlText w:val="%1."/>
      <w:numFmt w:val="decimal"/>
      <w:start w:val="18"/>
    </w:lvl>
  </w:abstractNum>
  <w:abstractNum w:abstractNumId="57">
    <w:nsid w:val="4C04A8AF"/>
    <w:multiLevelType w:val="hybridMultilevel"/>
    <w:lvl w:ilvl="0">
      <w:lvlJc w:val="left"/>
      <w:lvlText w:val="%1."/>
      <w:numFmt w:val="decimal"/>
      <w:start w:val="19"/>
    </w:lvl>
  </w:abstractNum>
  <w:abstractNum w:abstractNumId="58">
    <w:nsid w:val="1716703B"/>
    <w:multiLevelType w:val="hybridMultilevel"/>
    <w:lvl w:ilvl="0">
      <w:lvlJc w:val="left"/>
      <w:lvlText w:val="%1."/>
      <w:numFmt w:val="decimal"/>
      <w:start w:val="20"/>
    </w:lvl>
  </w:abstractNum>
  <w:abstractNum w:abstractNumId="59">
    <w:nsid w:val="14E17E33"/>
    <w:multiLevelType w:val="hybridMultilevel"/>
    <w:lvl w:ilvl="0">
      <w:lvlJc w:val="left"/>
      <w:lvlText w:val="%1."/>
      <w:numFmt w:val="decimal"/>
      <w:start w:val="21"/>
    </w:lvl>
  </w:abstractNum>
  <w:abstractNum w:abstractNumId="60">
    <w:nsid w:val="3222E7CD"/>
    <w:multiLevelType w:val="hybridMultilevel"/>
    <w:lvl w:ilvl="0">
      <w:lvlJc w:val="left"/>
      <w:lvlText w:val="$"/>
      <w:numFmt w:val="bullet"/>
      <w:start w:val="1"/>
    </w:lvl>
  </w:abstractNum>
  <w:abstractNum w:abstractNumId="61">
    <w:nsid w:val="74DE0EE3"/>
    <w:multiLevelType w:val="hybridMultilevel"/>
    <w:lvl w:ilvl="0">
      <w:lvlJc w:val="left"/>
      <w:lvlText w:val="$"/>
      <w:numFmt w:val="bullet"/>
      <w:start w:val="1"/>
    </w:lvl>
  </w:abstractNum>
  <w:abstractNum w:abstractNumId="62">
    <w:nsid w:val="68EBC550"/>
    <w:multiLevelType w:val="hybridMultilevel"/>
    <w:lvl w:ilvl="0">
      <w:lvlJc w:val="left"/>
      <w:lvlText w:val="$"/>
      <w:numFmt w:val="bullet"/>
      <w:start w:val="1"/>
    </w:lvl>
  </w:abstractNum>
  <w:abstractNum w:abstractNumId="63">
    <w:nsid w:val="2DF6D648"/>
    <w:multiLevelType w:val="hybridMultilevel"/>
    <w:lvl w:ilvl="0">
      <w:lvlJc w:val="left"/>
      <w:lvlText w:val="$"/>
      <w:numFmt w:val="bullet"/>
      <w:start w:val="1"/>
    </w:lvl>
  </w:abstractNum>
  <w:abstractNum w:abstractNumId="64">
    <w:nsid w:val="46B7D447"/>
    <w:multiLevelType w:val="hybridMultilevel"/>
    <w:lvl w:ilvl="0">
      <w:lvlJc w:val="left"/>
      <w:lvlText w:val="$"/>
      <w:numFmt w:val="bullet"/>
      <w:start w:val="1"/>
    </w:lvl>
  </w:abstractNum>
  <w:abstractNum w:abstractNumId="65">
    <w:nsid w:val="4A2AC315"/>
    <w:multiLevelType w:val="hybridMultilevel"/>
    <w:lvl w:ilvl="0">
      <w:lvlJc w:val="left"/>
      <w:lvlText w:val="%1."/>
      <w:numFmt w:val="decimal"/>
      <w:start w:val="23"/>
    </w:lvl>
  </w:abstractNum>
  <w:abstractNum w:abstractNumId="66">
    <w:nsid w:val="39EE015C"/>
    <w:multiLevelType w:val="hybridMultilevel"/>
    <w:lvl w:ilvl="0">
      <w:lvlJc w:val="left"/>
      <w:lvlText w:val="%1."/>
      <w:numFmt w:val="decimal"/>
      <w:start w:val="24"/>
    </w:lvl>
  </w:abstractNum>
  <w:abstractNum w:abstractNumId="67">
    <w:nsid w:val="57FC4FBB"/>
    <w:multiLevelType w:val="hybridMultilevel"/>
    <w:lvl w:ilvl="0">
      <w:lvlJc w:val="left"/>
      <w:lvlText w:val="●"/>
      <w:numFmt w:val="bullet"/>
      <w:start w:val="1"/>
    </w:lvl>
  </w:abstractNum>
  <w:abstractNum w:abstractNumId="68">
    <w:nsid w:val="CC1016F"/>
    <w:multiLevelType w:val="hybridMultilevel"/>
    <w:lvl w:ilvl="0">
      <w:lvlJc w:val="left"/>
      <w:lvlText w:val="%1."/>
      <w:numFmt w:val="decimal"/>
      <w:start w:val="34"/>
    </w:lvl>
  </w:abstractNum>
  <w:abstractNum w:abstractNumId="69">
    <w:nsid w:val="43F18422"/>
    <w:multiLevelType w:val="hybridMultilevel"/>
    <w:lvl w:ilvl="0">
      <w:lvlJc w:val="left"/>
      <w:lvlText w:val="(%1)"/>
      <w:numFmt w:val="lowerLetter"/>
      <w:start w:val="1"/>
    </w:lvl>
  </w:abstractNum>
  <w:abstractNum w:abstractNumId="70">
    <w:nsid w:val="60EF0119"/>
    <w:multiLevelType w:val="hybridMultilevel"/>
    <w:lvl w:ilvl="0">
      <w:lvlJc w:val="left"/>
      <w:lvlText w:val="%1."/>
      <w:numFmt w:val="decimal"/>
      <w:start w:val="1"/>
    </w:lvl>
    <w:lvl w:ilvl="1">
      <w:lvlJc w:val="left"/>
      <w:lvlText w:val="●"/>
      <w:numFmt w:val="bullet"/>
      <w:start w:val="1"/>
    </w:lvl>
  </w:abstractNum>
  <w:abstractNum w:abstractNumId="71">
    <w:nsid w:val="26F324BA"/>
    <w:multiLevelType w:val="hybridMultilevel"/>
    <w:lvl w:ilvl="0">
      <w:lvlJc w:val="left"/>
      <w:lvlText w:val="●"/>
      <w:numFmt w:val="bullet"/>
      <w:start w:val="1"/>
    </w:lvl>
  </w:abstractNum>
  <w:abstractNum w:abstractNumId="72">
    <w:nsid w:val="7F01579B"/>
    <w:multiLevelType w:val="hybridMultilevel"/>
    <w:lvl w:ilvl="0">
      <w:lvlJc w:val="left"/>
      <w:lvlText w:val="(%1)"/>
      <w:numFmt w:val="lowerLetter"/>
      <w:start w:val="2"/>
    </w:lvl>
  </w:abstractNum>
  <w:abstractNum w:abstractNumId="73">
    <w:nsid w:val="49DA307D"/>
    <w:multiLevelType w:val="hybridMultilevel"/>
    <w:lvl w:ilvl="0">
      <w:lvlJc w:val="left"/>
      <w:lvlText w:val="%1"/>
      <w:numFmt w:val="decimal"/>
      <w:start w:val="97"/>
    </w:lvl>
  </w:abstractNum>
  <w:abstractNum w:abstractNumId="74">
    <w:nsid w:val="7055A5F5"/>
    <w:multiLevelType w:val="hybridMultilevel"/>
    <w:lvl w:ilvl="0">
      <w:lvlJc w:val="left"/>
      <w:lvlText w:val="(%1)"/>
      <w:numFmt w:val="decimal"/>
      <w:start w:val="1"/>
    </w:lvl>
  </w:abstractNum>
  <w:abstractNum w:abstractNumId="75">
    <w:nsid w:val="5FB8370B"/>
    <w:multiLevelType w:val="hybridMultilevel"/>
    <w:lvl w:ilvl="0">
      <w:lvlJc w:val="left"/>
      <w:lvlText w:val="(%1)"/>
      <w:numFmt w:val="decimal"/>
      <w:start w:val="2"/>
    </w:lvl>
  </w:abstractNum>
  <w:abstractNum w:abstractNumId="76">
    <w:nsid w:val="50801EE1"/>
    <w:multiLevelType w:val="hybridMultilevel"/>
    <w:lvl w:ilvl="0">
      <w:lvlJc w:val="left"/>
      <w:lvlText w:val="(%1)"/>
      <w:numFmt w:val="decimal"/>
      <w:start w:val="16"/>
    </w:lvl>
  </w:abstractNum>
  <w:abstractNum w:abstractNumId="77">
    <w:nsid w:val="488AC1A"/>
    <w:multiLevelType w:val="hybridMultilevel"/>
    <w:lvl w:ilvl="0">
      <w:lvlJc w:val="left"/>
      <w:lvlText w:val="(%1)"/>
      <w:numFmt w:val="decimal"/>
      <w:start w:val="25"/>
    </w:lvl>
  </w:abstractNum>
  <w:abstractNum w:abstractNumId="78">
    <w:nsid w:val="5FB8011C"/>
    <w:multiLevelType w:val="hybridMultilevel"/>
    <w:lvl w:ilvl="0">
      <w:lvlJc w:val="left"/>
      <w:lvlText w:val="ǂ"/>
      <w:numFmt w:val="bullet"/>
      <w:start w:val="1"/>
    </w:lvl>
  </w:abstractNum>
  <w:abstractNum w:abstractNumId="79">
    <w:nsid w:val="6AA78F7F"/>
    <w:multiLevelType w:val="hybridMultilevel"/>
    <w:lvl w:ilvl="0">
      <w:lvlJc w:val="left"/>
      <w:lvlText w:val="#"/>
      <w:numFmt w:val="bullet"/>
      <w:start w:val="1"/>
    </w:lvl>
  </w:abstractNum>
  <w:abstractNum w:abstractNumId="80">
    <w:nsid w:val="7672BD23"/>
    <w:multiLevelType w:val="hybridMultilevel"/>
    <w:lvl w:ilvl="0">
      <w:lvlJc w:val="left"/>
      <w:lvlText w:val="*"/>
      <w:numFmt w:val="bullet"/>
      <w:start w:val="1"/>
    </w:lvl>
  </w:abstractNum>
  <w:abstractNum w:abstractNumId="81">
    <w:nsid w:val="6FC75AF8"/>
    <w:multiLevelType w:val="hybridMultilevel"/>
    <w:lvl w:ilvl="0">
      <w:lvlJc w:val="left"/>
      <w:lvlText w:val="(%1)"/>
      <w:numFmt w:val="lowerLetter"/>
      <w:start w:val="3"/>
    </w:lvl>
  </w:abstractNum>
  <w:abstractNum w:abstractNumId="82">
    <w:nsid w:val="6A5F7029"/>
    <w:multiLevelType w:val="hybridMultilevel"/>
    <w:lvl w:ilvl="0">
      <w:lvlJc w:val="left"/>
      <w:lvlText w:val="%1."/>
      <w:numFmt w:val="upperLetter"/>
      <w:start w:val="9"/>
    </w:lvl>
  </w:abstractNum>
  <w:abstractNum w:abstractNumId="83">
    <w:nsid w:val="7D5E18F8"/>
    <w:multiLevelType w:val="hybridMultilevel"/>
    <w:lvl w:ilvl="0">
      <w:lvlJc w:val="left"/>
      <w:lvlText w:val="%1."/>
      <w:numFmt w:val="upperLetter"/>
      <w:start w:val="35"/>
    </w:lvl>
  </w:abstractNum>
  <w:abstractNum w:abstractNumId="84">
    <w:nsid w:val="5F3534A4"/>
    <w:multiLevelType w:val="hybridMultilevel"/>
    <w:lvl w:ilvl="0">
      <w:lvlJc w:val="left"/>
      <w:lvlText w:val="%1."/>
      <w:numFmt w:val="upperLetter"/>
      <w:start w:val="1"/>
    </w:lvl>
  </w:abstractNum>
  <w:abstractNum w:abstractNumId="85">
    <w:nsid w:val="73A1821B"/>
    <w:multiLevelType w:val="hybridMultilevel"/>
    <w:lvl w:ilvl="0">
      <w:lvlJc w:val="left"/>
      <w:lvlText w:val="%1."/>
      <w:numFmt w:val="upperLetter"/>
      <w:start w:val="2"/>
    </w:lvl>
  </w:abstractNum>
  <w:abstractNum w:abstractNumId="86">
    <w:nsid w:val="7DE67713"/>
    <w:multiLevelType w:val="hybridMultilevel"/>
    <w:lvl w:ilvl="0">
      <w:lvlJc w:val="left"/>
      <w:lvlText w:val="%1."/>
      <w:numFmt w:val="upperLetter"/>
      <w:start w:val="61"/>
    </w:lvl>
  </w:abstractNum>
  <w:abstractNum w:abstractNumId="87">
    <w:nsid w:val="555C55B5"/>
    <w:multiLevelType w:val="hybridMultilevel"/>
    <w:lvl w:ilvl="0">
      <w:lvlJc w:val="left"/>
      <w:lvlText w:val="●"/>
      <w:numFmt w:val="bullet"/>
      <w:start w:val="1"/>
    </w:lvl>
  </w:abstractNum>
  <w:abstractNum w:abstractNumId="88">
    <w:nsid w:val="3FA62ACA"/>
    <w:multiLevelType w:val="hybridMultilevel"/>
    <w:lvl w:ilvl="0">
      <w:lvlJc w:val="left"/>
      <w:lvlText w:val="●"/>
      <w:numFmt w:val="bullet"/>
      <w:start w:val="1"/>
    </w:lvl>
  </w:abstractNum>
  <w:abstractNum w:abstractNumId="89">
    <w:nsid w:val="14FCE74E"/>
    <w:multiLevelType w:val="hybridMultilevel"/>
    <w:lvl w:ilvl="0">
      <w:lvlJc w:val="left"/>
      <w:lvlText w:val="%1."/>
      <w:numFmt w:val="upperLetter"/>
      <w:start w:val="22"/>
    </w:lvl>
    <w:lvl w:ilvl="1">
      <w:lvlJc w:val="left"/>
      <w:lvlText w:val="%2."/>
      <w:numFmt w:val="upperLetter"/>
      <w:start w:val="1"/>
    </w:lvl>
    <w:lvl w:ilvl="2">
      <w:lvlJc w:val="left"/>
      <w:lvlText w:val="●"/>
      <w:numFmt w:val="bullet"/>
      <w:start w:val="1"/>
    </w:lvl>
  </w:abstractNum>
  <w:abstractNum w:abstractNumId="90">
    <w:nsid w:val="6A3DD3E8"/>
    <w:multiLevelType w:val="hybridMultilevel"/>
    <w:lvl w:ilvl="0">
      <w:lvlJc w:val="left"/>
      <w:lvlText w:val="●"/>
      <w:numFmt w:val="bullet"/>
      <w:start w:val="1"/>
    </w:lvl>
  </w:abstractNum>
  <w:abstractNum w:abstractNumId="91">
    <w:nsid w:val="71C91298"/>
    <w:multiLevelType w:val="hybridMultilevel"/>
    <w:lvl w:ilvl="0">
      <w:lvlJc w:val="left"/>
      <w:lvlText w:val="●"/>
      <w:numFmt w:val="bullet"/>
      <w:start w:val="1"/>
    </w:lvl>
  </w:abstractNum>
  <w:abstractNum w:abstractNumId="92">
    <w:nsid w:val="9DAF632"/>
    <w:multiLevelType w:val="hybridMultilevel"/>
    <w:lvl w:ilvl="0">
      <w:lvlJc w:val="left"/>
      <w:lvlText w:val="%1."/>
      <w:numFmt w:val="upperLetter"/>
      <w:start w:val="1"/>
    </w:lvl>
  </w:abstractNum>
  <w:abstractNum w:abstractNumId="93">
    <w:nsid w:val="53299938"/>
    <w:multiLevelType w:val="hybridMultilevel"/>
    <w:lvl w:ilvl="0">
      <w:lvlJc w:val="left"/>
      <w:lvlText w:val="%1."/>
      <w:numFmt w:val="upperLetter"/>
      <w:start w:val="2"/>
    </w:lvl>
  </w:abstractNum>
  <w:abstractNum w:abstractNumId="94">
    <w:nsid w:val="1FBFE8E0"/>
    <w:multiLevelType w:val="hybridMultilevel"/>
    <w:lvl w:ilvl="0">
      <w:lvlJc w:val="left"/>
      <w:lvlText w:val="%1."/>
      <w:numFmt w:val="upperLetter"/>
      <w:start w:val="1"/>
    </w:lvl>
  </w:abstractNum>
  <w:abstractNum w:abstractNumId="95">
    <w:nsid w:val="5092CA79"/>
    <w:multiLevelType w:val="hybridMultilevel"/>
    <w:lvl w:ilvl="0">
      <w:lvlJc w:val="left"/>
      <w:lvlText w:val="%1."/>
      <w:numFmt w:val="upperLetter"/>
      <w:start w:val="2"/>
    </w:lvl>
  </w:abstractNum>
  <w:abstractNum w:abstractNumId="96">
    <w:nsid w:val="1D545C4D"/>
    <w:multiLevelType w:val="hybridMultilevel"/>
    <w:lvl w:ilvl="0">
      <w:lvlJc w:val="left"/>
      <w:lvlText w:val="%1."/>
      <w:numFmt w:val="upperLetter"/>
      <w:start w:val="1"/>
    </w:lvl>
    <w:lvl w:ilvl="1">
      <w:lvlJc w:val="left"/>
      <w:lvlText w:val="%2."/>
      <w:numFmt w:val="decimal"/>
      <w:start w:val="1"/>
    </w:lvl>
  </w:abstractNum>
  <w:abstractNum w:abstractNumId="97">
    <w:nsid w:val="59ADEA3D"/>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98">
    <w:nsid w:val="288F1A34"/>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99">
    <w:nsid w:val="2A155DBC"/>
    <w:multiLevelType w:val="hybridMultilevel"/>
    <w:lvl w:ilvl="0">
      <w:lvlJc w:val="left"/>
      <w:lvlText w:val="%1."/>
      <w:numFmt w:val="decimal"/>
      <w:start w:val="1"/>
    </w:lvl>
    <w:lvl w:ilvl="1">
      <w:lvlJc w:val="left"/>
      <w:lvlText w:val="●"/>
      <w:numFmt w:val="bullet"/>
      <w:start w:val="1"/>
    </w:lvl>
  </w:abstractNum>
  <w:abstractNum w:abstractNumId="100">
    <w:nsid w:val="1D9F6E5F"/>
    <w:multiLevelType w:val="hybridMultilevel"/>
    <w:lvl w:ilvl="0">
      <w:lvlJc w:val="left"/>
      <w:lvlText w:val="%1."/>
      <w:numFmt w:val="upperLetter"/>
      <w:start w:val="24"/>
    </w:lvl>
    <w:lvl w:ilvl="1">
      <w:lvlJc w:val="left"/>
      <w:lvlText w:val="%2"/>
      <w:numFmt w:val="upperLetter"/>
      <w:start w:val="1"/>
    </w:lvl>
    <w:lvl w:ilvl="2">
      <w:lvlJc w:val="left"/>
      <w:lvlText w:val="●"/>
      <w:numFmt w:val="bullet"/>
      <w:start w:val="1"/>
    </w:lvl>
  </w:abstractNum>
  <w:abstractNum w:abstractNumId="101">
    <w:nsid w:val="97E1B4E"/>
    <w:multiLevelType w:val="hybridMultilevel"/>
    <w:lvl w:ilvl="0">
      <w:lvlJc w:val="left"/>
      <w:lvlText w:val="●"/>
      <w:numFmt w:val="bullet"/>
      <w:start w:val="1"/>
    </w:lvl>
  </w:abstractNum>
  <w:abstractNum w:abstractNumId="102">
    <w:nsid w:val="51088277"/>
    <w:multiLevelType w:val="hybridMultilevel"/>
    <w:lvl w:ilvl="0">
      <w:lvlJc w:val="left"/>
      <w:lvlText w:val="%1."/>
      <w:numFmt w:val="upperLetter"/>
      <w:start w:val="2"/>
    </w:lvl>
  </w:abstractNum>
  <w:abstractNum w:abstractNumId="103">
    <w:nsid w:val="1CA0C5FA"/>
    <w:multiLevelType w:val="hybridMultilevel"/>
    <w:lvl w:ilvl="0">
      <w:lvlJc w:val="left"/>
      <w:lvlText w:val="%1."/>
      <w:numFmt w:val="decimal"/>
      <w:start w:val="1"/>
    </w:lvl>
    <w:lvl w:ilvl="1">
      <w:lvlJc w:val="left"/>
      <w:lvlText w:val="%2)"/>
      <w:numFmt w:val="lowerLetter"/>
      <w:start w:val="1"/>
    </w:lvl>
  </w:abstractNum>
  <w:abstractNum w:abstractNumId="104">
    <w:nsid w:val="53584BCB"/>
    <w:multiLevelType w:val="hybridMultilevel"/>
    <w:lvl w:ilvl="0">
      <w:lvlJc w:val="left"/>
      <w:lvlText w:val="%1."/>
      <w:numFmt w:val="decimal"/>
      <w:start w:val="1"/>
    </w:lvl>
    <w:lvl w:ilvl="1">
      <w:lvlJc w:val="left"/>
      <w:lvlText w:val="%2)"/>
      <w:numFmt w:val="lowerLetter"/>
      <w:start w:val="1"/>
    </w:lvl>
  </w:abstractNum>
  <w:abstractNum w:abstractNumId="105">
    <w:nsid w:val="415E286C"/>
    <w:multiLevelType w:val="hybridMultilevel"/>
    <w:lvl w:ilvl="0">
      <w:lvlJc w:val="left"/>
      <w:lvlText w:val="(%1)"/>
      <w:numFmt w:val="lowerRoman"/>
      <w:start w:val="1"/>
    </w:lvl>
  </w:abstractNum>
  <w:abstractNum w:abstractNumId="106">
    <w:nsid w:val="7C58FD05"/>
    <w:multiLevelType w:val="hybridMultilevel"/>
    <w:lvl w:ilvl="0">
      <w:lvlJc w:val="left"/>
      <w:lvlText w:val="%1."/>
      <w:numFmt w:val="decimal"/>
      <w:start w:val="1"/>
    </w:lvl>
  </w:abstractNum>
  <w:abstractNum w:abstractNumId="107">
    <w:nsid w:val="23D86AAC"/>
    <w:multiLevelType w:val="hybridMultilevel"/>
    <w:lvl w:ilvl="0">
      <w:lvlJc w:val="left"/>
      <w:lvlText w:val="%1."/>
      <w:numFmt w:val="decimal"/>
      <w:start w:val="3"/>
    </w:lvl>
  </w:abstractNum>
  <w:abstractNum w:abstractNumId="108">
    <w:nsid w:val="45E6D486"/>
    <w:multiLevelType w:val="hybridMultilevel"/>
    <w:lvl w:ilvl="0">
      <w:lvlJc w:val="left"/>
      <w:lvlText w:val="%1."/>
      <w:numFmt w:val="decimal"/>
      <w:start w:val="4"/>
    </w:lvl>
  </w:abstractNum>
  <w:abstractNum w:abstractNumId="109">
    <w:nsid w:val="5C10FE21"/>
    <w:multiLevelType w:val="hybridMultilevel"/>
    <w:lvl w:ilvl="0">
      <w:lvlJc w:val="left"/>
      <w:lvlText w:val="%1."/>
      <w:numFmt w:val="decimal"/>
      <w:start w:val="5"/>
    </w:lvl>
  </w:abstractNum>
  <w:abstractNum w:abstractNumId="110">
    <w:nsid w:val="E7FFA2B"/>
    <w:multiLevelType w:val="hybridMultilevel"/>
    <w:lvl w:ilvl="0">
      <w:lvlJc w:val="left"/>
      <w:lvlText w:val="%1."/>
      <w:numFmt w:val="decimal"/>
      <w:start w:val="6"/>
    </w:lvl>
  </w:abstractNum>
  <w:abstractNum w:abstractNumId="111">
    <w:nsid w:val="3C5991AA"/>
    <w:multiLevelType w:val="hybridMultilevel"/>
    <w:lvl w:ilvl="0">
      <w:lvlJc w:val="left"/>
      <w:lvlText w:val="%1."/>
      <w:numFmt w:val="decimal"/>
      <w:start w:val="7"/>
    </w:lvl>
  </w:abstractNum>
  <w:abstractNum w:abstractNumId="112">
    <w:nsid w:val="4BD8591A"/>
    <w:multiLevelType w:val="hybridMultilevel"/>
    <w:lvl w:ilvl="0">
      <w:lvlJc w:val="left"/>
      <w:lvlText w:val="%1."/>
      <w:numFmt w:val="decimal"/>
      <w:start w:val="8"/>
    </w:lvl>
  </w:abstractNum>
  <w:abstractNum w:abstractNumId="113">
    <w:nsid w:val="78DF6A55"/>
    <w:multiLevelType w:val="hybridMultilevel"/>
    <w:lvl w:ilvl="0">
      <w:lvlJc w:val="left"/>
      <w:lvlText w:val="%1."/>
      <w:numFmt w:val="decimal"/>
      <w:start w:val="9"/>
    </w:lvl>
  </w:abstractNum>
  <w:abstractNum w:abstractNumId="114">
    <w:nsid w:val="39B7AAA2"/>
    <w:multiLevelType w:val="hybridMultilevel"/>
    <w:lvl w:ilvl="0">
      <w:lvlJc w:val="left"/>
      <w:lvlText w:val="%1."/>
      <w:numFmt w:val="decimal"/>
      <w:start w:val="10"/>
    </w:lvl>
  </w:abstractNum>
  <w:abstractNum w:abstractNumId="115">
    <w:nsid w:val="2B0D8DBE"/>
    <w:multiLevelType w:val="hybridMultilevel"/>
    <w:lvl w:ilvl="0">
      <w:lvlJc w:val="left"/>
      <w:lvlText w:val="%1."/>
      <w:numFmt w:val="decimal"/>
      <w:start w:val="11"/>
    </w:lvl>
  </w:abstractNum>
  <w:abstractNum w:abstractNumId="116">
    <w:nsid w:val="6C80EC7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70" Type="http://schemas.openxmlformats.org/officeDocument/2006/relationships/image" Target="media/image153.png"/><Relationship Id="rId172" Type="http://schemas.openxmlformats.org/officeDocument/2006/relationships/image" Target="media/image154.png"/><Relationship Id="rId197" Type="http://schemas.openxmlformats.org/officeDocument/2006/relationships/image" Target="media/image155.png"/><Relationship Id="rId199" Type="http://schemas.openxmlformats.org/officeDocument/2006/relationships/image" Target="media/image156.png"/><Relationship Id="rId213" Type="http://schemas.openxmlformats.org/officeDocument/2006/relationships/image" Target="media/image157.png"/><Relationship Id="rId214" Type="http://schemas.openxmlformats.org/officeDocument/2006/relationships/image" Target="media/image158.png"/><Relationship Id="rId215" Type="http://schemas.openxmlformats.org/officeDocument/2006/relationships/image" Target="media/image159.png"/><Relationship Id="rId216" Type="http://schemas.openxmlformats.org/officeDocument/2006/relationships/image" Target="media/image160.png"/><Relationship Id="rId217" Type="http://schemas.openxmlformats.org/officeDocument/2006/relationships/image" Target="media/image161.png"/><Relationship Id="rId218" Type="http://schemas.openxmlformats.org/officeDocument/2006/relationships/image" Target="media/image162.png"/><Relationship Id="rId219" Type="http://schemas.openxmlformats.org/officeDocument/2006/relationships/image" Target="media/image163.jpeg"/><Relationship Id="rId220" Type="http://schemas.openxmlformats.org/officeDocument/2006/relationships/image" Target="media/image164.jpeg"/><Relationship Id="rId221" Type="http://schemas.openxmlformats.org/officeDocument/2006/relationships/image" Target="media/image165.jpeg"/><Relationship Id="rId222" Type="http://schemas.openxmlformats.org/officeDocument/2006/relationships/image" Target="media/image166.jpeg"/><Relationship Id="rId223" Type="http://schemas.openxmlformats.org/officeDocument/2006/relationships/image" Target="media/image167.jpeg"/><Relationship Id="rId224" Type="http://schemas.openxmlformats.org/officeDocument/2006/relationships/image" Target="media/image168.jpeg"/><Relationship Id="rId225" Type="http://schemas.openxmlformats.org/officeDocument/2006/relationships/image" Target="media/image169.jpeg"/><Relationship Id="rId226" Type="http://schemas.openxmlformats.org/officeDocument/2006/relationships/image" Target="media/image170.jpeg"/><Relationship Id="rId227" Type="http://schemas.openxmlformats.org/officeDocument/2006/relationships/image" Target="media/image171.jpeg"/><Relationship Id="rId228" Type="http://schemas.openxmlformats.org/officeDocument/2006/relationships/image" Target="media/image172.jpeg"/><Relationship Id="rId229" Type="http://schemas.openxmlformats.org/officeDocument/2006/relationships/image" Target="media/image173.jpeg"/><Relationship Id="rId230" Type="http://schemas.openxmlformats.org/officeDocument/2006/relationships/image" Target="media/image174.jpeg"/><Relationship Id="rId231" Type="http://schemas.openxmlformats.org/officeDocument/2006/relationships/image" Target="media/image175.png"/><Relationship Id="rId232" Type="http://schemas.openxmlformats.org/officeDocument/2006/relationships/image" Target="media/image176.png"/><Relationship Id="rId233" Type="http://schemas.openxmlformats.org/officeDocument/2006/relationships/image" Target="media/image177.png"/><Relationship Id="rId234" Type="http://schemas.openxmlformats.org/officeDocument/2006/relationships/image" Target="media/image178.png"/><Relationship Id="rId235" Type="http://schemas.openxmlformats.org/officeDocument/2006/relationships/image" Target="media/image179.png"/><Relationship Id="rId236" Type="http://schemas.openxmlformats.org/officeDocument/2006/relationships/image" Target="media/image180.png"/><Relationship Id="rId237" Type="http://schemas.openxmlformats.org/officeDocument/2006/relationships/image" Target="media/image181.png"/><Relationship Id="rId160" Type="http://schemas.openxmlformats.org/officeDocument/2006/relationships/hyperlink" Target="https://www.sec.gov/Archives/edgar/data/1368622/000110465923094121/tm2324229d1_ex2-1.htm" TargetMode="External"/><Relationship Id="rId161" Type="http://schemas.openxmlformats.org/officeDocument/2006/relationships/hyperlink" Target="http://www.sec.gov/Archives/edgar/data/1368622/000095015007000008/a28119exv3w1.htm" TargetMode="External"/><Relationship Id="rId162" Type="http://schemas.openxmlformats.org/officeDocument/2006/relationships/hyperlink" Target="https://www.sec.gov/Archives/edgar/data/1368622/000155837022018418/avav-20221029xex3d2.htm" TargetMode="External"/><Relationship Id="rId163" Type="http://schemas.openxmlformats.org/officeDocument/2006/relationships/hyperlink" Target="http://www.sec.gov/Archives/edgar/data/1368622/000095013406022859/a22303a3exv4w1.htm" TargetMode="External"/><Relationship Id="rId164" Type="http://schemas.openxmlformats.org/officeDocument/2006/relationships/hyperlink" Target="https://www.sec.gov/Archives/edgar/data/1368622/000155837020007720/avav-20200430xex4d2.htm" TargetMode="External"/><Relationship Id="rId165" Type="http://schemas.openxmlformats.org/officeDocument/2006/relationships/hyperlink" Target="http://www.sec.gov/Archives/edgar/data/1368622/000155837016006514/avav-20160430ex101443c53.htm" TargetMode="External"/><Relationship Id="rId166" Type="http://schemas.openxmlformats.org/officeDocument/2006/relationships/hyperlink" Target="http://www.sec.gov/Archives/edgar/data/1368622/000095012406007190/a22303a2exv10w8.htm" TargetMode="External"/><Relationship Id="rId167" Type="http://schemas.openxmlformats.org/officeDocument/2006/relationships/hyperlink" Target="http://www.sec.gov/Archives/edgar/data/1368622/000110465911055028/a11-27507_1ex10d1.htm" TargetMode="External"/><Relationship Id="rId168" Type="http://schemas.openxmlformats.org/officeDocument/2006/relationships/hyperlink" Target="http://www.sec.gov/Archives/edgar/data/1368622/000155837017004963/avav-20170430ex1010971ed.htm" TargetMode="External"/><Relationship Id="rId169" Type="http://schemas.openxmlformats.org/officeDocument/2006/relationships/hyperlink" Target="http://www.sec.gov/Archives/edgar/data/1368622/000095012406007190/a22303a2exv10w9.htm" TargetMode="External"/><Relationship Id="rId171" Type="http://schemas.openxmlformats.org/officeDocument/2006/relationships/hyperlink" Target="http://www.sec.gov/Archives/edgar/data/1368622/000095012406007190/a22303a2exv10w10.htm" TargetMode="External"/><Relationship Id="rId173" Type="http://schemas.openxmlformats.org/officeDocument/2006/relationships/hyperlink" Target="http://www.sec.gov/Archives/edgar/data/1368622/000110465910040197/a10-14805_1ex10d1.htm" TargetMode="External"/><Relationship Id="rId174" Type="http://schemas.openxmlformats.org/officeDocument/2006/relationships/hyperlink" Target="http://www.sec.gov/Archives/edgar/data/1368622/000155837019005898/avav-20190430ex101499c35.htm" TargetMode="External"/><Relationship Id="rId175" Type="http://schemas.openxmlformats.org/officeDocument/2006/relationships/hyperlink" Target="http://www.sec.gov/Archives/edgar/data/1368622/000155837019005898/avav-20190430ex1015b5bd9.htm" TargetMode="External"/><Relationship Id="rId176" Type="http://schemas.openxmlformats.org/officeDocument/2006/relationships/hyperlink" Target="http://www.sec.gov/Archives/edgar/data/1368622/000155837019005898/avav-20190430ex1016ff6ff.htm" TargetMode="External"/><Relationship Id="rId177" Type="http://schemas.openxmlformats.org/officeDocument/2006/relationships/hyperlink" Target="http://www.sec.gov/Archives/edgar/data/1368622/000155837019005898/avav-20190430ex1017f5d10.htm" TargetMode="External"/><Relationship Id="rId178" Type="http://schemas.openxmlformats.org/officeDocument/2006/relationships/hyperlink" Target="https://www.sec.gov/Archives/edgar/data/1368622/000110465921125869/tm2129735d1_ex10-1.htm" TargetMode="External"/><Relationship Id="rId179" Type="http://schemas.openxmlformats.org/officeDocument/2006/relationships/hyperlink" Target="https://www.sec.gov/Archives/edgar/data/1368622/000110465921125869/tm2129735d1_ex10-2.htm" TargetMode="External"/><Relationship Id="rId180" Type="http://schemas.openxmlformats.org/officeDocument/2006/relationships/hyperlink" Target="https://www.sec.gov/Archives/edgar/data/1368622/000110465921125869/tm2129735d1_ex10-3.htm" TargetMode="External"/><Relationship Id="rId181" Type="http://schemas.openxmlformats.org/officeDocument/2006/relationships/hyperlink" Target="https://www.sec.gov/Archives/edgar/data/1368622/000110465921125869/tm2129735d1_ex10-4.htm" TargetMode="External"/><Relationship Id="rId182" Type="http://schemas.openxmlformats.org/officeDocument/2006/relationships/hyperlink" Target="https://www.sec.gov/Archives/edgar/data/1368622/000110465921125869/tm2129735d1_ex10-5.htm" TargetMode="External"/><Relationship Id="rId183" Type="http://schemas.openxmlformats.org/officeDocument/2006/relationships/hyperlink" Target="https://www.sec.gov/Archives/edgar/data/1368622/000110465921125869/tm2129735d1_ex10-6.htm" TargetMode="External"/><Relationship Id="rId184" Type="http://schemas.openxmlformats.org/officeDocument/2006/relationships/hyperlink" Target="https://www.sec.gov/Archives/edgar/data/1368622/000155837022010392/avav-20220430xex10d18.htm" TargetMode="External"/><Relationship Id="rId185" Type="http://schemas.openxmlformats.org/officeDocument/2006/relationships/hyperlink" Target="https://www.sec.gov/Archives/edgar/data/1368622/000155837023019483/avav-20231028xex10d1.htm" TargetMode="External"/><Relationship Id="rId186" Type="http://schemas.openxmlformats.org/officeDocument/2006/relationships/hyperlink" Target="http://www.sec.gov/Archives/edgar/data/1368622/000104746908007752/a2186536zex-10_15.htm" TargetMode="External"/><Relationship Id="rId187" Type="http://schemas.openxmlformats.org/officeDocument/2006/relationships/hyperlink" Target="https://www.sec.gov/Archives/edgar/data/1368622/000110465914016020/a14-4402_1ex10d1.htm" TargetMode="External"/><Relationship Id="rId188" Type="http://schemas.openxmlformats.org/officeDocument/2006/relationships/hyperlink" Target="https://www.sec.gov/Archives/edgar/data/1368622/000155837020007720/avav-20200430xex10d58.htm" TargetMode="External"/><Relationship Id="rId189" Type="http://schemas.openxmlformats.org/officeDocument/2006/relationships/hyperlink" Target="http://www.sec.gov/Archives/edgar/data/1368622/000104746908007752/a2186536zex-10_16.htm" TargetMode="External"/><Relationship Id="rId190" Type="http://schemas.openxmlformats.org/officeDocument/2006/relationships/hyperlink" Target="http://www.sec.gov/Archives/edgar/data/1368622/000110465914016020/a14-4402_1ex10d2.htm" TargetMode="External"/><Relationship Id="rId191" Type="http://schemas.openxmlformats.org/officeDocument/2006/relationships/hyperlink" Target="https://www.sec.gov/Archives/edgar/data/1368622/000155837021008684/avav-20210430xex10d66.htm" TargetMode="External"/><Relationship Id="rId192" Type="http://schemas.openxmlformats.org/officeDocument/2006/relationships/hyperlink" Target="http://www.sec.gov/Archives/edgar/data/1368622/000110465914016020/a14-4402_1ex10d3.htm" TargetMode="External"/><Relationship Id="rId193" Type="http://schemas.openxmlformats.org/officeDocument/2006/relationships/hyperlink" Target="https://www.sec.gov/Archives/edgar/data/1368622/000155837021008684/avav-20210430xex10d67.htm" TargetMode="External"/><Relationship Id="rId194" Type="http://schemas.openxmlformats.org/officeDocument/2006/relationships/hyperlink" Target="http://www.sec.gov/Archives/edgar/data/1368622/000155837018005457/avav-20180430ex1024f05cd.htm" TargetMode="External"/><Relationship Id="rId195" Type="http://schemas.openxmlformats.org/officeDocument/2006/relationships/hyperlink" Target="http://www.sec.gov/Archives/edgar/data/1368622/000155837018009506/avav-20181027ex1011ddfd7.htm" TargetMode="External"/><Relationship Id="rId196" Type="http://schemas.openxmlformats.org/officeDocument/2006/relationships/hyperlink" Target="http://www.sec.gov/Archives/edgar/data/1368622/000095015006000038/a22303orexv10w23.htm" TargetMode="External"/><Relationship Id="rId198" Type="http://schemas.openxmlformats.org/officeDocument/2006/relationships/hyperlink" Target="https://www.sec.gov/Archives/edgar/data/1368622/000110465916103402/a16-3826_1ex10d3.htm" TargetMode="External"/><Relationship Id="rId200" Type="http://schemas.openxmlformats.org/officeDocument/2006/relationships/hyperlink" Target="http://www.sec.gov/Archives/edgar/data/1368622/000155837018007382/avav-20180728ex101f74d59.htm" TargetMode="External"/><Relationship Id="rId201" Type="http://schemas.openxmlformats.org/officeDocument/2006/relationships/hyperlink" Target="http://www.sec.gov/Archives/edgar/data/1368622/000155837018007382/avav-20180728ex102d526bd.htm" TargetMode="External"/><Relationship Id="rId202" Type="http://schemas.openxmlformats.org/officeDocument/2006/relationships/hyperlink" Target="http://www.sec.gov/Archives/edgar/data/1368622/000155837019001518/avav-20190126ex101b87214.htm" TargetMode="External"/><Relationship Id="rId203" Type="http://schemas.openxmlformats.org/officeDocument/2006/relationships/hyperlink" Target="http://www.sec.gov/Archives/edgar/data/1368622/000110465919040779/a19-12962_1ex10d1.htm" TargetMode="External"/><Relationship Id="rId204" Type="http://schemas.openxmlformats.org/officeDocument/2006/relationships/hyperlink" Target="https://www.sec.gov/Archives/edgar/data/0001368622/000155837021002653/avav-20210130xex10d1.htm" TargetMode="External"/><Relationship Id="rId205" Type="http://schemas.openxmlformats.org/officeDocument/2006/relationships/hyperlink" Target="https://www.sec.gov/Archives/edgar/data/0001368622/000155837021002653/avav-20210130xex10d2.htm" TargetMode="External"/><Relationship Id="rId206" Type="http://schemas.openxmlformats.org/officeDocument/2006/relationships/hyperlink" Target="https://www.sec.gov/Archives/edgar/data/1368622/000155837021002653/avav-20210130xex10d3.htm" TargetMode="External"/><Relationship Id="rId207" Type="http://schemas.openxmlformats.org/officeDocument/2006/relationships/hyperlink" Target="https://www.sec.gov/Archives/edgar/data/1368622/000155837021002653/avav-20210130xex10d4.htm" TargetMode="External"/><Relationship Id="rId208" Type="http://schemas.openxmlformats.org/officeDocument/2006/relationships/hyperlink" Target="https://www.sec.gov/Archives/edgar/data/1368622/000155837022002839/avav-20220129xex10d7.htm" TargetMode="External"/><Relationship Id="rId209" Type="http://schemas.openxmlformats.org/officeDocument/2006/relationships/hyperlink" Target="https://www.sec.gov/Archives/edgar/data/1368622/000155837023011469/avav-20230430xex10d41.htm" TargetMode="External"/><Relationship Id="rId210" Type="http://schemas.openxmlformats.org/officeDocument/2006/relationships/hyperlink" Target="https://www.sec.gov/Archives/edgar/data/1368622/000155837023019483/avav-20231028xex10d2.htm" TargetMode="External"/><Relationship Id="rId211" Type="http://schemas.openxmlformats.org/officeDocument/2006/relationships/hyperlink" Target="https://www.sec.gov/Archives/edgar/data/1368622/000155837021002653/avav-20210130xex10d6.htm" TargetMode="External"/><Relationship Id="rId212" Type="http://schemas.openxmlformats.org/officeDocument/2006/relationships/hyperlink" Target="https://www.sec.gov/ix?doc=/Archives/edgar/data/1368622/000110465923092796/tm232516d2-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2024-06-27T05:37:00Z</dcterms:created>
  <dcterms:modified xsi:type="dcterms:W3CDTF">2024-06-27T05:37:00Z</dcterms:modified>
</cp:coreProperties>
</file>