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October 27, 2012</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AEROVIRONMENT,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95-2705790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181 W. Huntington Drive, Suite 202</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4"/>
              </w:rPr>
              <w:t>Monrovia, California</w:t>
            </w:r>
          </w:p>
        </w:tc>
        <w:tc>
          <w:tcPr>
            <w:tcW w:w="3800" w:type="dxa"/>
            <w:vAlign w:val="bottom"/>
          </w:tcPr>
          <w:p>
            <w:pPr>
              <w:jc w:val="right"/>
              <w:ind w:right="990"/>
              <w:spacing w:after="0"/>
              <w:rPr>
                <w:sz w:val="20"/>
                <w:szCs w:val="20"/>
                <w:color w:val="auto"/>
              </w:rPr>
            </w:pPr>
            <w:r>
              <w:rPr>
                <w:rFonts w:ascii="Arial" w:cs="Arial" w:eastAsia="Arial" w:hAnsi="Arial"/>
                <w:sz w:val="18"/>
                <w:szCs w:val="18"/>
                <w:b w:val="1"/>
                <w:bCs w:val="1"/>
                <w:color w:val="auto"/>
              </w:rPr>
              <w:t>91016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357-9983</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2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(Do not check if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23, 2012, the number of shares outstanding of the registrant’s common stock, $0.0001 par value, was 22,416,677.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4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2"/>
              </w:rPr>
              <w:t>AeroVironment, Inc.</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w w:val="89"/>
              </w:rPr>
              <w:t>Table of Contents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4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480" w:type="dxa"/>
            <w:vAlign w:val="bottom"/>
            <w:gridSpan w:val="3"/>
            <w:shd w:val="clear" w:color="auto" w:fill="CCEEFF"/>
          </w:tcPr>
          <w:p>
            <w:pPr>
              <w:spacing w:after="0"/>
              <w:rPr>
                <w:sz w:val="15"/>
                <w:szCs w:val="15"/>
                <w:color w:val="auto"/>
              </w:rPr>
            </w:pPr>
          </w:p>
        </w:tc>
        <w:tc>
          <w:tcPr>
            <w:tcW w:w="6960" w:type="dxa"/>
            <w:vAlign w:val="bottom"/>
            <w:gridSpan w:val="20"/>
            <w:shd w:val="clear" w:color="auto" w:fill="CCEEFF"/>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780" w:type="dxa"/>
            <w:vAlign w:val="bottom"/>
            <w:gridSpan w:val="19"/>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October 27, 2012 (Unaudited) and April 30, 2012</w:t>
              </w:r>
            </w:hyperlink>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90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for the three and six months ended October 27, 2012 (Unaudited) and October 29, 2011</w:t>
              </w:r>
            </w:hyperlink>
          </w:p>
        </w:tc>
        <w:tc>
          <w:tcPr>
            <w:tcW w:w="5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0" w:type="dxa"/>
            <w:vAlign w:val="bottom"/>
            <w:gridSpan w:val="17"/>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40" w:type="dxa"/>
            <w:vAlign w:val="bottom"/>
            <w:gridSpan w:val="29"/>
          </w:tcPr>
          <w:p>
            <w:pPr>
              <w:spacing w:after="0" w:line="17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Statements of Comprehensive Income for the three and six months ended October 27, 2012 (Unaudited) and October 29,</w:t>
              </w:r>
            </w:hyperlink>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2011 (Unaudited)</w:t>
              </w:r>
            </w:hyperlink>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2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Cash Flows for the six months ended October 27, 2012 (Unaudited) and October 29, 2011 (Unaudited)</w:t>
              </w:r>
            </w:hyperlink>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60" w:type="dxa"/>
            <w:vAlign w:val="bottom"/>
            <w:gridSpan w:val="20"/>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Notes to Consolidated Financial Statements (Unaudited)</w:t>
              </w:r>
            </w:hyperlink>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Item 2.</w:t>
              </w:r>
            </w:hyperlink>
          </w:p>
        </w:tc>
        <w:tc>
          <w:tcPr>
            <w:tcW w:w="480" w:type="dxa"/>
            <w:vAlign w:val="bottom"/>
            <w:tcBorders>
              <w:bottom w:val="single" w:sz="8" w:color="CCEEFF"/>
            </w:tcBorders>
            <w:gridSpan w:val="3"/>
            <w:shd w:val="clear" w:color="auto" w:fill="CCEEFF"/>
          </w:tcPr>
          <w:p>
            <w:pPr>
              <w:spacing w:after="0"/>
              <w:rPr>
                <w:sz w:val="17"/>
                <w:szCs w:val="17"/>
                <w:color w:val="auto"/>
              </w:rPr>
            </w:pPr>
          </w:p>
        </w:tc>
        <w:tc>
          <w:tcPr>
            <w:tcW w:w="64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Management’s Discussion and Analysis of Financial Condition and Results of Operations</w:t>
              </w:r>
            </w:hyperlink>
          </w:p>
        </w:tc>
        <w:tc>
          <w:tcPr>
            <w:tcW w:w="5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3.</w:t>
              </w:r>
            </w:hyperlink>
          </w:p>
        </w:tc>
        <w:tc>
          <w:tcPr>
            <w:tcW w:w="6960" w:type="dxa"/>
            <w:vAlign w:val="bottom"/>
            <w:gridSpan w:val="20"/>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Quantitative and Qualitative Disclosures About Market Risk</w:t>
              </w:r>
            </w:hyperlink>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4.</w:t>
              </w:r>
            </w:hyperlink>
          </w:p>
        </w:tc>
        <w:tc>
          <w:tcPr>
            <w:tcW w:w="480" w:type="dxa"/>
            <w:vAlign w:val="bottom"/>
            <w:gridSpan w:val="3"/>
            <w:shd w:val="clear" w:color="auto" w:fill="CCEEFF"/>
          </w:tcPr>
          <w:p>
            <w:pPr>
              <w:spacing w:after="0"/>
              <w:rPr>
                <w:sz w:val="17"/>
                <w:szCs w:val="17"/>
                <w:color w:val="auto"/>
              </w:rPr>
            </w:pPr>
          </w:p>
        </w:tc>
        <w:tc>
          <w:tcPr>
            <w:tcW w:w="6960" w:type="dxa"/>
            <w:vAlign w:val="bottom"/>
            <w:gridSpan w:val="20"/>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4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 OTHER INFORMATION</w:t>
              </w:r>
            </w:hyperlink>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9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1.</w:t>
              </w:r>
            </w:hyperlink>
          </w:p>
        </w:tc>
        <w:tc>
          <w:tcPr>
            <w:tcW w:w="480" w:type="dxa"/>
            <w:vAlign w:val="bottom"/>
            <w:gridSpan w:val="3"/>
            <w:shd w:val="clear" w:color="auto" w:fill="CCEEFF"/>
          </w:tcPr>
          <w:p>
            <w:pPr>
              <w:spacing w:after="0"/>
              <w:rPr>
                <w:sz w:val="15"/>
                <w:szCs w:val="15"/>
                <w:color w:val="auto"/>
              </w:rPr>
            </w:pPr>
          </w:p>
        </w:tc>
        <w:tc>
          <w:tcPr>
            <w:tcW w:w="6960" w:type="dxa"/>
            <w:vAlign w:val="bottom"/>
            <w:gridSpan w:val="20"/>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1A.</w:t>
              </w:r>
            </w:hyperlink>
          </w:p>
        </w:tc>
        <w:tc>
          <w:tcPr>
            <w:tcW w:w="6960" w:type="dxa"/>
            <w:vAlign w:val="bottom"/>
            <w:gridSpan w:val="20"/>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2.</w:t>
              </w:r>
            </w:hyperlink>
          </w:p>
        </w:tc>
        <w:tc>
          <w:tcPr>
            <w:tcW w:w="480" w:type="dxa"/>
            <w:vAlign w:val="bottom"/>
            <w:gridSpan w:val="3"/>
            <w:shd w:val="clear" w:color="auto" w:fill="CCEEFF"/>
          </w:tcPr>
          <w:p>
            <w:pPr>
              <w:spacing w:after="0"/>
              <w:rPr>
                <w:sz w:val="17"/>
                <w:szCs w:val="17"/>
                <w:color w:val="auto"/>
              </w:rPr>
            </w:pPr>
          </w:p>
        </w:tc>
        <w:tc>
          <w:tcPr>
            <w:tcW w:w="6960" w:type="dxa"/>
            <w:vAlign w:val="bottom"/>
            <w:gridSpan w:val="20"/>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Unregistered Sales of Equity Securities and Use of Proceeds</w:t>
              </w:r>
            </w:hyperlink>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3.</w:t>
              </w:r>
            </w:hyperlink>
          </w:p>
        </w:tc>
        <w:tc>
          <w:tcPr>
            <w:tcW w:w="480" w:type="dxa"/>
            <w:vAlign w:val="bottom"/>
            <w:tcBorders>
              <w:top w:val="single" w:sz="8" w:color="CCEEFF"/>
            </w:tcBorders>
            <w:gridSpan w:val="3"/>
          </w:tcPr>
          <w:p>
            <w:pPr>
              <w:spacing w:after="0"/>
              <w:rPr>
                <w:sz w:val="15"/>
                <w:szCs w:val="15"/>
                <w:color w:val="auto"/>
              </w:rPr>
            </w:pPr>
          </w:p>
        </w:tc>
        <w:tc>
          <w:tcPr>
            <w:tcW w:w="434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Defaults Upon Senior Securities</w:t>
              </w:r>
            </w:hyperlink>
          </w:p>
        </w:tc>
        <w:tc>
          <w:tcPr>
            <w:tcW w:w="2620" w:type="dxa"/>
            <w:vAlign w:val="bottom"/>
            <w:tcBorders>
              <w:top w:val="single" w:sz="8" w:color="CCEEFF"/>
            </w:tcBorders>
            <w:gridSpan w:val="4"/>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gridSpan w:val="3"/>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4.</w:t>
              </w:r>
            </w:hyperlink>
          </w:p>
        </w:tc>
        <w:tc>
          <w:tcPr>
            <w:tcW w:w="480" w:type="dxa"/>
            <w:vAlign w:val="bottom"/>
            <w:gridSpan w:val="3"/>
            <w:shd w:val="clear" w:color="auto" w:fill="CCEEFF"/>
          </w:tcPr>
          <w:p>
            <w:pPr>
              <w:spacing w:after="0"/>
              <w:rPr>
                <w:sz w:val="17"/>
                <w:szCs w:val="17"/>
                <w:color w:val="auto"/>
              </w:rPr>
            </w:pPr>
          </w:p>
        </w:tc>
        <w:tc>
          <w:tcPr>
            <w:tcW w:w="6960" w:type="dxa"/>
            <w:vAlign w:val="bottom"/>
            <w:gridSpan w:val="20"/>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5.</w:t>
              </w:r>
            </w:hyperlink>
          </w:p>
        </w:tc>
        <w:tc>
          <w:tcPr>
            <w:tcW w:w="480" w:type="dxa"/>
            <w:vAlign w:val="bottom"/>
            <w:tcBorders>
              <w:top w:val="single" w:sz="8" w:color="CCEEFF"/>
            </w:tcBorders>
            <w:gridSpan w:val="3"/>
          </w:tcPr>
          <w:p>
            <w:pPr>
              <w:spacing w:after="0"/>
              <w:rPr>
                <w:sz w:val="15"/>
                <w:szCs w:val="15"/>
                <w:color w:val="auto"/>
              </w:rPr>
            </w:pPr>
          </w:p>
        </w:tc>
        <w:tc>
          <w:tcPr>
            <w:tcW w:w="176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Other Information</w:t>
              </w:r>
            </w:hyperlink>
          </w:p>
        </w:tc>
        <w:tc>
          <w:tcPr>
            <w:tcW w:w="5200" w:type="dxa"/>
            <w:vAlign w:val="bottom"/>
            <w:tcBorders>
              <w:top w:val="single" w:sz="8" w:color="CCEEFF"/>
            </w:tcBorders>
            <w:gridSpan w:val="9"/>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gridSpan w:val="3"/>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6.</w:t>
              </w:r>
            </w:hyperlink>
          </w:p>
        </w:tc>
        <w:tc>
          <w:tcPr>
            <w:tcW w:w="48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Exhibits</w:t>
              </w:r>
            </w:hyperlink>
          </w:p>
        </w:tc>
        <w:tc>
          <w:tcPr>
            <w:tcW w:w="6360" w:type="dxa"/>
            <w:vAlign w:val="bottom"/>
            <w:tcBorders>
              <w:bottom w:val="single" w:sz="8" w:color="CCEEFF"/>
            </w:tcBorders>
            <w:gridSpan w:val="16"/>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Signatures</w:t>
              </w:r>
            </w:hyperlink>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Exhibit Index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80" w:type="dxa"/>
            <w:vAlign w:val="bottom"/>
            <w:gridSpan w:val="18"/>
          </w:tcPr>
          <w:p>
            <w:pPr>
              <w:jc w:val="center"/>
              <w:ind w:left="3050"/>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6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rPr>
              <w:t>PART I. FINANCIAL INFORMATION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60" w:type="dxa"/>
            <w:vAlign w:val="bottom"/>
            <w:gridSpan w:val="25"/>
          </w:tcPr>
          <w:p>
            <w:pPr>
              <w:spacing w:after="0"/>
              <w:rPr>
                <w:sz w:val="20"/>
                <w:szCs w:val="20"/>
                <w:color w:val="auto"/>
              </w:rPr>
            </w:pPr>
            <w:r>
              <w:rPr>
                <w:rFonts w:ascii="Arial" w:cs="Arial" w:eastAsia="Arial" w:hAnsi="Arial"/>
                <w:sz w:val="18"/>
                <w:szCs w:val="18"/>
                <w:b w:val="1"/>
                <w:bCs w:val="1"/>
                <w:color w:val="auto"/>
              </w:rPr>
              <w:t>ITEM 1. FINANCIAL STATEMENTS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2"/>
              </w:rPr>
              <w:t>AeroVironment, Inc.</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w w:val="87"/>
              </w:rPr>
              <w:t>Consolidated Balance Sheets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4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October 27,</w:t>
            </w:r>
          </w:p>
        </w:tc>
        <w:tc>
          <w:tcPr>
            <w:tcW w:w="120" w:type="dxa"/>
            <w:vAlign w:val="bottom"/>
          </w:tcPr>
          <w:p>
            <w:pPr>
              <w:spacing w:after="0"/>
              <w:rPr>
                <w:sz w:val="24"/>
                <w:szCs w:val="24"/>
                <w:color w:val="auto"/>
              </w:rPr>
            </w:pPr>
          </w:p>
        </w:tc>
        <w:tc>
          <w:tcPr>
            <w:tcW w:w="13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64,694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77,152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4"/>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$1,185 at October 27, 2012 and $921 at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4"/>
            <w:shd w:val="clear" w:color="auto" w:fill="CCEEFF"/>
          </w:tcPr>
          <w:p>
            <w:pPr>
              <w:ind w:left="340"/>
              <w:spacing w:after="0"/>
              <w:rPr>
                <w:sz w:val="20"/>
                <w:szCs w:val="20"/>
                <w:color w:val="auto"/>
              </w:rPr>
            </w:pPr>
            <w:r>
              <w:rPr>
                <w:rFonts w:ascii="Arial" w:cs="Arial" w:eastAsia="Arial" w:hAnsi="Arial"/>
                <w:sz w:val="18"/>
                <w:szCs w:val="18"/>
                <w:color w:val="auto"/>
              </w:rPr>
              <w:t>April 30, 2012</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48,330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tcPr>
          <w:p>
            <w:pPr>
              <w:ind w:left="160"/>
              <w:spacing w:after="0"/>
              <w:rPr>
                <w:sz w:val="20"/>
                <w:szCs w:val="20"/>
                <w:color w:val="auto"/>
              </w:rPr>
            </w:pPr>
            <w:r>
              <w:rPr>
                <w:rFonts w:ascii="Arial" w:cs="Arial" w:eastAsia="Arial" w:hAnsi="Arial"/>
                <w:sz w:val="18"/>
                <w:szCs w:val="18"/>
                <w:color w:val="auto"/>
              </w:rPr>
              <w:t>Unbilled receivables and retentions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21,064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27,034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44,747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9,508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9,377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263,950</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281,769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64,798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22,137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23,515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w w:val="94"/>
              </w:rPr>
              <w:t>Other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8"/>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369,151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940" w:type="dxa"/>
            <w:vAlign w:val="bottom"/>
            <w:gridSpan w:val="24"/>
            <w:vMerge w:val="continue"/>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tcPr>
          <w:p>
            <w:pPr>
              <w:ind w:left="16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15,430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20,213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shd w:val="clear" w:color="auto" w:fill="CCEEFF"/>
          </w:tcPr>
          <w:p>
            <w:pPr>
              <w:ind w:left="160"/>
              <w:spacing w:after="0"/>
              <w:rPr>
                <w:sz w:val="20"/>
                <w:szCs w:val="20"/>
                <w:color w:val="auto"/>
              </w:rPr>
            </w:pPr>
            <w:r>
              <w:rPr>
                <w:rFonts w:ascii="Arial" w:cs="Arial" w:eastAsia="Arial" w:hAnsi="Arial"/>
                <w:sz w:val="18"/>
                <w:szCs w:val="18"/>
                <w:color w:val="auto"/>
              </w:rPr>
              <w:t>Wages and related accruals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13,405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8,788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shd w:val="clear" w:color="auto" w:fill="CCEEFF"/>
          </w:tcPr>
          <w:p>
            <w:pPr>
              <w:ind w:left="160"/>
              <w:spacing w:after="0"/>
              <w:rPr>
                <w:sz w:val="20"/>
                <w:szCs w:val="20"/>
                <w:color w:val="auto"/>
              </w:rPr>
            </w:pPr>
            <w:r>
              <w:rPr>
                <w:rFonts w:ascii="Arial" w:cs="Arial" w:eastAsia="Arial" w:hAnsi="Arial"/>
                <w:sz w:val="18"/>
                <w:szCs w:val="18"/>
                <w:color w:val="auto"/>
              </w:rPr>
              <w:t>Customer advances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tcPr>
          <w:p>
            <w:pPr>
              <w:ind w:left="1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6,129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9,898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shd w:val="clear" w:color="auto" w:fill="CCEEFF"/>
          </w:tcPr>
          <w:p>
            <w:pPr>
              <w:ind w:left="160"/>
              <w:spacing w:after="0"/>
              <w:rPr>
                <w:sz w:val="20"/>
                <w:szCs w:val="20"/>
                <w:color w:val="auto"/>
              </w:rPr>
            </w:pPr>
            <w:r>
              <w:rPr>
                <w:rFonts w:ascii="Arial" w:cs="Arial" w:eastAsia="Arial" w:hAnsi="Arial"/>
                <w:sz w:val="18"/>
                <w:szCs w:val="18"/>
                <w:color w:val="auto"/>
              </w:rPr>
              <w:t>Liability for uncertain tax positions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41,134</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63,705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Wages and other accruals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w w:val="90"/>
              </w:rPr>
              <w:t>Deferred 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Liability for uncertain tax positions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-6040755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-6040755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7"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Preferred stock, $0.0001 par value: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 shares — 10,000,000; none issued or outstanding</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Common stock, $0.0001 par value: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 shares — 100,000,000</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w w:val="94"/>
              </w:rPr>
              <w:t>Issued and outstanding shares — 22,417,977 at October 27, 2012 and 22,243,903 at April 30, 2012</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128,614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124,954</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(667)</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182,288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174,936</w:t>
            </w:r>
          </w:p>
        </w:tc>
      </w:tr>
      <w:tr>
        <w:trPr>
          <w:trHeight w:val="21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310,237</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299,198</w:t>
            </w:r>
          </w:p>
        </w:tc>
        <w:tc>
          <w:tcPr>
            <w:tcW w:w="100" w:type="dxa"/>
            <w:vAlign w:val="bottom"/>
            <w:tcBorders>
              <w:bottom w:val="single" w:sz="8" w:color="CCEEFF"/>
            </w:tcBorders>
          </w:tcPr>
          <w:p>
            <w:pPr>
              <w:spacing w:after="0"/>
              <w:rPr>
                <w:sz w:val="18"/>
                <w:szCs w:val="18"/>
                <w:color w:val="auto"/>
              </w:rPr>
            </w:pPr>
          </w:p>
        </w:tc>
      </w:tr>
      <w:tr>
        <w:trPr>
          <w:trHeight w:val="210"/>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356,306</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ind w:lef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27,</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October 29,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October 27,</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October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1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52,415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47,858</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81,105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services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27,863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32,514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57,850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80,278</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138,955</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28,215</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28,499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48,774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services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16,427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35,040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44,642</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83,814</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13,176</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12,240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26,797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17,522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13,074</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10,822</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3,804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spacing w:after="0"/>
              <w:rPr>
                <w:sz w:val="20"/>
                <w:szCs w:val="20"/>
                <w:color w:val="auto"/>
              </w:rPr>
            </w:pPr>
            <w:r>
              <w:rPr>
                <w:rFonts w:ascii="Arial" w:cs="Arial" w:eastAsia="Arial" w:hAnsi="Arial"/>
                <w:sz w:val="18"/>
                <w:szCs w:val="18"/>
                <w:color w:val="auto"/>
              </w:rPr>
              <w:t>Earnings per share data:</w:t>
            </w: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0.39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Basic</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22,030,330</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21,763,927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21,980,453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21,743,990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22,383,791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22,255,943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22,353,434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22,244,697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6"/>
          </w:tcPr>
          <w:p>
            <w:pPr>
              <w:ind w:lef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27,</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October 29,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October 27,</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October 29,</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6,587</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gain on investments, net of tax</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6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8,728</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ectPr>
          <w:pgSz w:w="11900" w:h="16838" w:orient="portrait"/>
          <w:cols w:equalWidth="0" w:num="1">
            <w:col w:w="11420"/>
          </w:cols>
          <w:pgMar w:left="240" w:top="140" w:right="239" w:bottom="179"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179"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27,</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October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7,352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5,937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Tax benefit from exercise of stock options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stock-based compensation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Unbilled receivables and retentions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5,970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(18,772)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and equipment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sales of held-to-maturity investments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5,911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sales of available-for-sale investments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64,220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3"/>
              </w:rPr>
              <w:t>Unrealized gains on long-term investments recorded in other comprehensive (loss) income, net of deferred</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taxes of $17 and $30, respectively</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from share-based liability compensation to equity</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AeroVironment, Inc., a Delaware corporation (the “Company”), is engaged in the design, development, production, support and operation of unmanned aircraft systems and efficient energy systems for various industries and governmental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for interim financial information and with the instructions of Form 10-Q and Article 10 of Regulation S-X. Accordingly, they do not include all of the information and footnotes required by accounting principles generally accepted in the United States for complete financial statements. In the opinion of management, all adjustments, consisting only of normal recurring adjustments necessary for a fair presentation with respect to the interim financial statements have been included. The results of operations for the three and six months ended October 27, 2012 are not necessarily indicative of the results for the full year ending April 30, 2013. For further information, refer to the consolidated financial statements and footnotes thereto for the year ended April 30, 2012, included in the Company’s Annual Report on Form 10-K.</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ectPr>
          <w:pgSz w:w="11900" w:h="16838" w:orient="portrait"/>
          <w:cols w:equalWidth="0" w:num="1">
            <w:col w:w="11420"/>
          </w:cols>
          <w:pgMar w:left="240" w:top="125" w:right="239" w:bottom="121" w:gutter="0" w:footer="0" w:header="0"/>
        </w:sectPr>
      </w:pPr>
    </w:p>
    <w:bookmarkStart w:id="4" w:name="page5"/>
    <w:bookmarkEnd w:id="4"/>
    <w:p>
      <w:pPr>
        <w:ind w:right="92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significant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products are sold and divided among two reportable segments to reflect the Company’s strategic goals. Operating segments are defined as components of an enterprise from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(“R&amp;D”) activities and assessing performance. The Company’s reportable segments are business units that offer different products and services and are managed separately.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investments are accounted for as held-to-maturity and available-for-sale and reported at amortized cost and fair value,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billing rates, may create an additional receivable or liability for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example, during the course of its audits, the DCAA may question the Company’s incurred project costs, and if the DCAA believes the Company has accounted for such costs in a manner inconsistent with the requirements under Federal Acquisition Regulations, the DCAA auditor may recommend to the Company’s administrative contracting officer to disallow such costs. The Company can provide no assurance that the DCAA or other government audits will not result in material disallowances for incurred costs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earnings per share is computed using the weighted-average number of common shares outstanding, excluding shares of unvested restricted stock. The dilutive effect of potential common shares outstanding is included in diluted earnings per share and excludes any anti-dilutive effects of options, shares of unvested restricted stock and restricted stock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basic to diluted shares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3300" w:type="dxa"/>
            <w:vAlign w:val="bottom"/>
            <w:gridSpan w:val="4"/>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3120" w:type="dxa"/>
            <w:vAlign w:val="bottom"/>
            <w:gridSpan w:val="5"/>
          </w:tcPr>
          <w:p>
            <w:pPr>
              <w:ind w:left="9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000" w:type="dxa"/>
            <w:vAlign w:val="bottom"/>
          </w:tcPr>
          <w:p>
            <w:pPr>
              <w:spacing w:after="0"/>
              <w:rPr>
                <w:sz w:val="10"/>
                <w:szCs w:val="10"/>
                <w:color w:val="auto"/>
              </w:rPr>
            </w:pPr>
          </w:p>
        </w:tc>
        <w:tc>
          <w:tcPr>
            <w:tcW w:w="16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27,</w:t>
            </w:r>
          </w:p>
        </w:tc>
        <w:tc>
          <w:tcPr>
            <w:tcW w:w="136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October 29,</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27,</w:t>
            </w:r>
          </w:p>
        </w:tc>
        <w:tc>
          <w:tcPr>
            <w:tcW w:w="1380" w:type="dxa"/>
            <w:vAlign w:val="bottom"/>
            <w:tcBorders>
              <w:top w:val="single" w:sz="8" w:color="auto"/>
            </w:tcBorders>
          </w:tcPr>
          <w:p>
            <w:pPr>
              <w:jc w:val="right"/>
              <w:ind w:right="258"/>
              <w:spacing w:after="0" w:line="119" w:lineRule="exact"/>
              <w:rPr>
                <w:sz w:val="20"/>
                <w:szCs w:val="20"/>
                <w:color w:val="auto"/>
              </w:rPr>
            </w:pPr>
            <w:r>
              <w:rPr>
                <w:rFonts w:ascii="Arial" w:cs="Arial" w:eastAsia="Arial" w:hAnsi="Arial"/>
                <w:sz w:val="13"/>
                <w:szCs w:val="13"/>
                <w:b w:val="1"/>
                <w:bCs w:val="1"/>
                <w:color w:val="auto"/>
              </w:rPr>
              <w:t>October 29,</w:t>
            </w:r>
          </w:p>
        </w:tc>
        <w:tc>
          <w:tcPr>
            <w:tcW w:w="100" w:type="dxa"/>
            <w:vAlign w:val="bottom"/>
            <w:gridSpan w:val="2"/>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for basic earnings per share:</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000" w:type="dxa"/>
            <w:vAlign w:val="bottom"/>
          </w:tcPr>
          <w:p>
            <w:pPr>
              <w:ind w:left="180"/>
              <w:spacing w:after="0" w:line="201" w:lineRule="exact"/>
              <w:rPr>
                <w:sz w:val="20"/>
                <w:szCs w:val="20"/>
                <w:color w:val="auto"/>
              </w:rPr>
            </w:pPr>
            <w:r>
              <w:rPr>
                <w:rFonts w:ascii="Arial" w:cs="Arial" w:eastAsia="Arial" w:hAnsi="Arial"/>
                <w:sz w:val="18"/>
                <w:szCs w:val="18"/>
                <w:color w:val="auto"/>
              </w:rPr>
              <w:t>Weighted average common shares outstanding, excluding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unvested restricted stock</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22,030,330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21,763,927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21,980,453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21,743,990</w:t>
            </w:r>
          </w:p>
        </w:tc>
        <w:tc>
          <w:tcPr>
            <w:tcW w:w="80" w:type="dxa"/>
            <w:vAlign w:val="bottom"/>
          </w:tcPr>
          <w:p>
            <w:pPr>
              <w:spacing w:after="0"/>
              <w:rPr>
                <w:sz w:val="20"/>
                <w:szCs w:val="20"/>
                <w:color w:val="auto"/>
              </w:rPr>
            </w:pPr>
          </w:p>
        </w:tc>
      </w:tr>
      <w:tr>
        <w:trPr>
          <w:trHeight w:val="202"/>
        </w:trPr>
        <w:tc>
          <w:tcPr>
            <w:tcW w:w="5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Dilutive effect of employee stock options, unvested restricted</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and restricted stock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353,461</w:t>
            </w:r>
          </w:p>
        </w:tc>
        <w:tc>
          <w:tcPr>
            <w:tcW w:w="3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492,016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372,981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500,707</w:t>
            </w:r>
          </w:p>
        </w:tc>
        <w:tc>
          <w:tcPr>
            <w:tcW w:w="80" w:type="dxa"/>
            <w:vAlign w:val="bottom"/>
            <w:shd w:val="clear" w:color="auto" w:fill="CCEEFF"/>
          </w:tcPr>
          <w:p>
            <w:pPr>
              <w:spacing w:after="0"/>
              <w:rPr>
                <w:sz w:val="20"/>
                <w:szCs w:val="20"/>
                <w:color w:val="auto"/>
              </w:rPr>
            </w:pPr>
          </w:p>
        </w:tc>
      </w:tr>
      <w:tr>
        <w:trPr>
          <w:trHeight w:val="210"/>
        </w:trPr>
        <w:tc>
          <w:tcPr>
            <w:tcW w:w="5000" w:type="dxa"/>
            <w:vAlign w:val="bottom"/>
          </w:tcPr>
          <w:p>
            <w:pPr>
              <w:ind w:left="180"/>
              <w:spacing w:after="0"/>
              <w:rPr>
                <w:sz w:val="20"/>
                <w:szCs w:val="20"/>
                <w:color w:val="auto"/>
              </w:rPr>
            </w:pPr>
            <w:r>
              <w:rPr>
                <w:rFonts w:ascii="Arial" w:cs="Arial" w:eastAsia="Arial" w:hAnsi="Arial"/>
                <w:sz w:val="18"/>
                <w:szCs w:val="18"/>
                <w:color w:val="auto"/>
              </w:rPr>
              <w:t>Denominator for diluted earnings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22,383,791</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22,255,943</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22,353,434</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22,244,697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three and six months ended October 27, 2012 and October 29, 2011, certain shares reserved for issuance upon exercise of stock options, shares of unvested restricted stock and restricted stock units were not included in the computation of diluted earnings per share because their inclusion would have been anti-dilutive. The number of shares reserved for issuance upon exercise of stock options, shares of unvested restricted stock and restricted stock units that met this anti-dilutive criterion for the three months ended October 27, 2012 and October 29, 2011 was approximately 10,000 and 1,000, respectively. The number of shares reserved for issuance upon exercise of stock options, shares of unvested restricted stock and restricted stock units that met this anti-dilutive criterion for the six months ended October 27, 2012 and October 29, 2011 was approximately 5,000 and 2,000,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May 1, 2012, the Company adopted changes in accordance with guidance issued by the Financial Accounting Standards Board (“FASB”), which requires companies to present the total of comprehensive income, the components of net income, and the components of other comprehensive income either in a single continuous statement of comprehensive income, or in two separate but consecutive statements. The Company elected to adopt the two-statement option. The new guidance eliminated the option to present the components of other comprehensive income as part of the statement of equity. Other than the change in presentation, the adoption of these changes had no material impact on the Company’s consolidated financial statements. The new guidance also required entities to present reclassification adjustments from accumulated other comprehensive income by component in both the statement in which net income is presented and the statement in which other comprehensive income is presented. However, in December 2011, the FASB issued guidance that indefinitely defers the guidance related to the presentation of reclassification adjustments.</w:t>
      </w:r>
    </w:p>
    <w:p>
      <w:pPr>
        <w:sectPr>
          <w:pgSz w:w="11900" w:h="16838" w:orient="portrait"/>
          <w:cols w:equalWidth="0" w:num="1">
            <w:col w:w="11420"/>
          </w:cols>
          <w:pgMar w:left="240" w:top="125" w:right="239" w:bottom="0" w:gutter="0" w:footer="0" w:header="0"/>
        </w:sectPr>
      </w:pPr>
    </w:p>
    <w:bookmarkStart w:id="5" w:name="page6"/>
    <w:bookmarkEnd w:id="5"/>
    <w:p>
      <w:pPr>
        <w:ind w:right="20"/>
        <w:spacing w:after="0" w:line="302" w:lineRule="auto"/>
        <w:rPr>
          <w:sz w:val="20"/>
          <w:szCs w:val="20"/>
          <w:color w:val="auto"/>
        </w:rPr>
      </w:pPr>
      <w:r>
        <w:rPr>
          <w:rFonts w:ascii="Arial" w:cs="Arial" w:eastAsia="Arial" w:hAnsi="Arial"/>
          <w:sz w:val="16"/>
          <w:szCs w:val="16"/>
          <w:color w:val="auto"/>
        </w:rPr>
        <w:t>On May 1, 2012, the Company adopted changes in accordance with guidance issued by the FASB to provide a consistent definition of fair value and to ensure that the fair value measurement and disclosure requirements are similar between U.S. generally accepted accounting principles and International Financial Reporting Standards. The new guidance changed certain fair value measurement principles and enhanced the disclosure requirements, particularly for Level 3 fair value measurements. The adoption of these changes did not have a material impact on the Company’s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27,</w:t>
            </w: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546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Held-to-maturity securities:</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securities</w:t>
            </w:r>
          </w:p>
        </w:tc>
        <w:tc>
          <w:tcPr>
            <w:tcW w:w="3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49,263</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27,889</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short-term investments</w:t>
            </w:r>
          </w:p>
        </w:tc>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Long-term investments:</w:t>
            </w:r>
          </w:p>
        </w:tc>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60" w:type="dxa"/>
            <w:vAlign w:val="bottom"/>
            <w:vMerge w:val="continue"/>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Held-to-maturity securities:</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Municipal securities</w:t>
            </w:r>
          </w:p>
        </w:tc>
        <w:tc>
          <w:tcPr>
            <w:tcW w:w="3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58,808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52,261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Auction rate securities</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5,990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6,196</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long-term investments</w:t>
            </w:r>
          </w:p>
        </w:tc>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At October 27, 2012 and April 30, 2012, the balance of held-to-maturity securities consisted of state and local government municipal securities and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bills and notes. Interest earned from these investments is recorded in interest income.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October 27, 2012,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122,502</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123,502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101,524</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27,889</w:t>
            </w: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27,888</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129,413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the Company’s held-to-maturity securities by contractual maturity at October 27, 2012,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58,808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58,819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 of October 27, 2012, the entire balance of available-for-sale securities consisted of four investment grade auction rate municipal bonds with maturities ranging from 7 to 22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October 27, 2012 until a future auction of these securities is successful or a buyer is found outside of the auction process.</w:t>
      </w:r>
    </w:p>
    <w:p>
      <w:pPr>
        <w:spacing w:after="0" w:line="158" w:lineRule="exact"/>
        <w:rPr>
          <w:sz w:val="20"/>
          <w:szCs w:val="20"/>
          <w:color w:val="auto"/>
        </w:rPr>
      </w:pPr>
    </w:p>
    <w:p>
      <w:pPr>
        <w:jc w:val="both"/>
        <w:ind w:right="620"/>
        <w:spacing w:after="0" w:line="286" w:lineRule="auto"/>
        <w:rPr>
          <w:sz w:val="20"/>
          <w:szCs w:val="20"/>
          <w:color w:val="auto"/>
        </w:rPr>
      </w:pPr>
      <w:r>
        <w:rPr>
          <w:rFonts w:ascii="Arial" w:cs="Arial" w:eastAsia="Arial" w:hAnsi="Arial"/>
          <w:sz w:val="17"/>
          <w:szCs w:val="17"/>
          <w:color w:val="auto"/>
        </w:rPr>
        <w:t>As a result of the failed auctions, the fair values of these securities are estimated utilizing a discounted cash flow analysis as of October 27, 2012.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Based on the Company’s ability to access its cash and cash equivalents, expected operating cash flows, and other sources of cash, the Company does not anticipate the current lack of liquidity of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impairment if a further decline in fair value occurs. The auction rate securities have been in an unrealized loss position for more than 12 months. The Company has the ability and the intent to hold these investments until a recovery of fair value, which may be at maturity and as of October 27, 2012, the Company did not consider these investments to be other-than-temporarily impaired.</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October 27, 2012,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April 30, 2012,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 of the Company’s auction rate securities by contractual maturity at October 27, 2012,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through 10 years</w:t>
            </w:r>
          </w:p>
        </w:tc>
        <w:tc>
          <w:tcPr>
            <w:tcW w:w="392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Due after 10 years</w:t>
            </w:r>
          </w:p>
        </w:tc>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5,400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October 27,</w:t>
            </w: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April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tcBorders>
              <w:bottom w:val="single" w:sz="8" w:color="CCEEFF"/>
            </w:tcBorders>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Work in process</w:t>
            </w: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5,830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28,026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Inventories, gross</w:t>
            </w:r>
          </w:p>
        </w:tc>
        <w:tc>
          <w:tcPr>
            <w:tcW w:w="4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48,187</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Inventories, net</w:t>
            </w:r>
          </w:p>
        </w:tc>
        <w:tc>
          <w:tcPr>
            <w:tcW w:w="4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44,747</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200" w:type="dxa"/>
            <w:vAlign w:val="bottom"/>
            <w:vMerge w:val="restart"/>
          </w:tcPr>
          <w:p>
            <w:pPr>
              <w:jc w:val="right"/>
              <w:ind w:right="241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00" w:type="dxa"/>
            <w:vAlign w:val="bottom"/>
            <w:tcBorders>
              <w:bottom w:val="single" w:sz="8" w:color="010101"/>
            </w:tcBorders>
          </w:tcPr>
          <w:p>
            <w:pPr>
              <w:spacing w:after="0"/>
              <w:rPr>
                <w:sz w:val="11"/>
                <w:szCs w:val="11"/>
                <w:color w:val="auto"/>
              </w:rPr>
            </w:pPr>
          </w:p>
        </w:tc>
        <w:tc>
          <w:tcPr>
            <w:tcW w:w="4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24" w:lineRule="exact"/>
        <w:rPr>
          <w:sz w:val="20"/>
          <w:szCs w:val="20"/>
          <w:color w:val="auto"/>
        </w:rPr>
      </w:pPr>
    </w:p>
    <w:p>
      <w:pPr>
        <w:ind w:left="1080" w:right="360" w:hanging="1072"/>
        <w:spacing w:after="0" w:line="277" w:lineRule="auto"/>
        <w:tabs>
          <w:tab w:leader="none" w:pos="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based upon quoted prices (unadjusted) for identical assets or liabilities in active markets that are accessible as of the measurement date.</w:t>
      </w:r>
    </w:p>
    <w:p>
      <w:pPr>
        <w:sectPr>
          <w:pgSz w:w="11900" w:h="16838" w:orient="portrait"/>
          <w:cols w:equalWidth="0" w:num="1">
            <w:col w:w="11460"/>
          </w:cols>
          <w:pgMar w:left="240" w:top="121" w:right="199" w:bottom="126" w:gutter="0" w:footer="0" w:header="0"/>
        </w:sectPr>
      </w:pPr>
    </w:p>
    <w:bookmarkStart w:id="7" w:name="page8"/>
    <w:bookmarkEnd w:id="7"/>
    <w:p>
      <w:pPr>
        <w:ind w:left="1080" w:right="340" w:hanging="1072"/>
        <w:spacing w:after="0" w:line="342" w:lineRule="auto"/>
        <w:tabs>
          <w:tab w:leader="none" w:pos="278"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23"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valuation that are unobservable inputs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at October 27, 2012,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Fair Value Measurement Using</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vMerge w:val="restart"/>
          </w:tcPr>
          <w:p>
            <w:pPr>
              <w:jc w:val="center"/>
              <w:ind w:left="142"/>
              <w:spacing w:after="0"/>
              <w:rPr>
                <w:sz w:val="20"/>
                <w:szCs w:val="20"/>
                <w:color w:val="auto"/>
              </w:rPr>
            </w:pPr>
            <w:r>
              <w:rPr>
                <w:rFonts w:ascii="Arial" w:cs="Arial" w:eastAsia="Arial" w:hAnsi="Arial"/>
                <w:sz w:val="14"/>
                <w:szCs w:val="14"/>
                <w:b w:val="1"/>
                <w:bCs w:val="1"/>
                <w:color w:val="auto"/>
                <w:w w:val="92"/>
              </w:rPr>
              <w:t>Quoted prices in</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left="184"/>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observable</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140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0"/>
              </w:rPr>
              <w:t>inputs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inputs</w:t>
            </w:r>
          </w:p>
        </w:tc>
        <w:tc>
          <w:tcPr>
            <w:tcW w:w="300" w:type="dxa"/>
            <w:vAlign w:val="bottom"/>
          </w:tcPr>
          <w:p>
            <w:pPr>
              <w:spacing w:after="0"/>
              <w:rPr>
                <w:sz w:val="12"/>
                <w:szCs w:val="12"/>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left="142"/>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left="184"/>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3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ind w:right="1222"/>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8"/>
                <w:szCs w:val="18"/>
                <w:color w:val="auto"/>
              </w:rPr>
            </w:pPr>
          </w:p>
        </w:tc>
        <w:tc>
          <w:tcPr>
            <w:tcW w:w="1400" w:type="dxa"/>
            <w:vAlign w:val="bottom"/>
            <w:tcBorders>
              <w:bottom w:val="single" w:sz="8" w:color="auto"/>
            </w:tcBorders>
          </w:tcPr>
          <w:p>
            <w:pPr>
              <w:jc w:val="right"/>
              <w:ind w:right="1222"/>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ind w:right="944"/>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Due to the auction failures of the Company’s auction rate securities that began in the fourth quarter of fiscal 2008, there are still no quoted prices in active markets for identical assets as of October 27, 2012. Therefore, the Company has classified its auction rate securities as Level 3 financial assets. The following table provides a reconciliation between the beginning and ending balances of items measured at fair value on a recurring basis in the table above that used significant unobservable inputs (Level 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Measurements Using</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87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87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tcPr>
          <w:p>
            <w:pPr>
              <w:jc w:val="center"/>
              <w:ind w:right="178"/>
              <w:spacing w:after="0" w:line="142" w:lineRule="exact"/>
              <w:rPr>
                <w:sz w:val="20"/>
                <w:szCs w:val="20"/>
                <w:color w:val="auto"/>
              </w:rPr>
            </w:pPr>
            <w:r>
              <w:rPr>
                <w:rFonts w:ascii="Arial" w:cs="Arial" w:eastAsia="Arial" w:hAnsi="Arial"/>
                <w:sz w:val="14"/>
                <w:szCs w:val="14"/>
                <w:b w:val="1"/>
                <w:bCs w:val="1"/>
                <w:color w:val="auto"/>
                <w:w w:val="91"/>
              </w:rPr>
              <w:t>Auction Rate Securities</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Transfers to Level 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gains (realized or unrealized)</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Purchases, issuances and settlements,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8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27, 2012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The amount of total gains or (losses) for the period included in earnings (or change in net assets) attributable to the</w:t>
            </w: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180"/>
              <w:spacing w:after="0"/>
              <w:rPr>
                <w:sz w:val="20"/>
                <w:szCs w:val="20"/>
                <w:color w:val="auto"/>
              </w:rPr>
            </w:pPr>
            <w:r>
              <w:rPr>
                <w:rFonts w:ascii="Arial" w:cs="Arial" w:eastAsia="Arial" w:hAnsi="Arial"/>
                <w:sz w:val="18"/>
                <w:szCs w:val="18"/>
                <w:color w:val="auto"/>
              </w:rPr>
              <w:t>change in unrealized gains or losses relating to assets still held at October 27, 2012</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 As of October 27, 2012, the inputs used in the Company’s discounted cash flow analysis included current coupon rates ranging from 0.3% to 0.6%, estimated redemption periods of 7 to 22 years and discount rates of 7.7% to 18.9%. The discount rates were based on market rates for municipal bond securities, as adjusted for a risk premium to reflect the lack of liquidity of these investments. Assuming a higher discount rate, a longer estimated redemption period and lower coupon rates would result in a lower fair market value. Conversely, assuming a lower discount rate, a shorter estimated redemption period and higher coupon rates would result in a higher fair market value.</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allowing the Company to recover the cost of $7.1 million. The Company will continue to monitor the value of its auction rate securities at each reporting period for a possible other-than-temporary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Warranty Reserves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six months ended October 27, 2012 and October 29, 2011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27,</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October 29,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27,</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October 29,</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Warranty expense</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1,208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Warranty claims settled</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(2,821)</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6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Customer-Funded Research &amp; Development</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Customer-funded R&amp;D costs are incurred pursuant to contracts (revenue arrangements) to perform R&amp;D activities according to customer specifications. These costs are direct contract costs and are expensed to cost of sales when the corresponding revenue is recognized, which is generally as the R&amp;D services are performed. Revenue from customer-funded R&amp;D was approximately $10.4 million and $17.0 million for the three and six months ended October 27,</w:t>
      </w:r>
    </w:p>
    <w:p>
      <w:pPr>
        <w:sectPr>
          <w:pgSz w:w="11900" w:h="16838" w:orient="portrait"/>
          <w:cols w:equalWidth="0" w:num="1">
            <w:col w:w="11420"/>
          </w:cols>
          <w:pgMar w:left="240" w:top="125" w:right="239" w:bottom="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2012, respectively. Revenue from customer-funded R&amp;D was approximately $4.0 million and $9.2 million for the three and six months ended October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the three and six months ended October 27, 2012, the Company recorded a provision for income taxes of $4.5 million and $3.8 million, respectively, yielding an effective tax rate of 34.0% and 34.1%, respectively. For the three and six months ended October 29, 2011, the Company recorded a provision for income taxes of $3.1 million and $3.3 million, respectively, yielding an effective tax rate of 32.0% and 32.1%, respectively. The variance from statutory rates for the three and six months ended October 29, 2011 was primarily due to research and development tax credits.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 segments are as follows:</w:t>
      </w:r>
    </w:p>
    <w:p>
      <w:pPr>
        <w:spacing w:after="0" w:line="225" w:lineRule="exact"/>
        <w:rPr>
          <w:sz w:val="20"/>
          <w:szCs w:val="20"/>
          <w:color w:val="auto"/>
        </w:rPr>
      </w:pPr>
    </w:p>
    <w:p>
      <w:pPr>
        <w:ind w:left="980" w:right="140" w:hanging="648"/>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Unmanned Aircraft Systems (“UAS”) — The UAS segment focuses primarily on the design, development, production, support and operation of innovative UAS that provide situational awareness and other mission effects to increase the security and operational effectiveness of the Company’s customers.</w:t>
      </w:r>
    </w:p>
    <w:p>
      <w:pPr>
        <w:spacing w:after="0" w:line="181" w:lineRule="exact"/>
        <w:rPr>
          <w:rFonts w:ascii="Arial" w:cs="Arial" w:eastAsia="Arial" w:hAnsi="Arial"/>
          <w:sz w:val="18"/>
          <w:szCs w:val="18"/>
          <w:color w:val="auto"/>
        </w:rPr>
      </w:pPr>
    </w:p>
    <w:p>
      <w:pPr>
        <w:ind w:left="980" w:right="420" w:hanging="648"/>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Energy Systems (“EES”) — The EES segment focuses primarily on the design, development, production, support and operation of innovative efficient electric energy systems that address the growing demand for electric transportation solutions.</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limited financial statement information by segment.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segment results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ind w:left="7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r>
      <w:tr>
        <w:trPr>
          <w:trHeight w:val="119"/>
        </w:trPr>
        <w:tc>
          <w:tcPr>
            <w:tcW w:w="3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October 27,</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October 29,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October 27,</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October 29,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UAS</w:t>
            </w:r>
          </w:p>
        </w:tc>
        <w:tc>
          <w:tcPr>
            <w:tcW w:w="1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65,433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66,931</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114,239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119,136</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14,845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13,441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23,233</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3"/>
              </w:rPr>
              <w:t>80,278</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80,372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138,955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142,369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sales:</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UAS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35,279</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39,707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68,035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71,707</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15,779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18,317</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3"/>
              </w:rPr>
              <w:t>44,642</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83,814</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90,024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UAS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rPr>
              <w:t>30,154</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27,224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46,204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47,429</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3"/>
              </w:rPr>
              <w:t>35,636</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55,141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3"/>
              </w:rPr>
              <w:t>13,176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8,816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17,522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16,402</w:t>
            </w:r>
          </w:p>
        </w:tc>
        <w:tc>
          <w:tcPr>
            <w:tcW w:w="40" w:type="dxa"/>
            <w:vAlign w:val="bottom"/>
          </w:tcPr>
          <w:p>
            <w:pPr>
              <w:spacing w:after="0"/>
              <w:rPr>
                <w:sz w:val="18"/>
                <w:szCs w:val="18"/>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3"/>
              </w:rPr>
              <w:t>13,074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18"/>
                <w:szCs w:val="18"/>
                <w:color w:val="auto"/>
              </w:rPr>
            </w:pPr>
          </w:p>
        </w:tc>
      </w:tr>
      <w:tr>
        <w:trPr>
          <w:trHeight w:val="21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3"/>
              </w:rPr>
              <w:t>13,236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II, Item 1A, “Risk Factors.”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ectPr>
          <w:pgSz w:w="11900" w:h="16838" w:orient="portrait"/>
          <w:cols w:equalWidth="0" w:num="1">
            <w:col w:w="11460"/>
          </w:cols>
          <w:pgMar w:left="240" w:top="125" w:right="199" w:bottom="0" w:gutter="0" w:footer="0" w:header="0"/>
        </w:sectPr>
      </w:pPr>
    </w:p>
    <w:bookmarkStart w:id="9" w:name="page10"/>
    <w:bookmarkEnd w:id="9"/>
    <w:p>
      <w:pPr>
        <w:ind w:right="80"/>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long-term investments,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material changes made to the critical accounting estimates during the periods presented in the consolidated financial statements from those disclosed in the Form 10-K for the fiscal year ended April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Due to our fixed year end date of April 30, our first and fourth quarters each consist of approximately 13 weeks. The second and third quarters each consist of exactly 13 weeks. Our first three quarters end on a Saturday. Our 2013 fiscal year ends on April 30, 2013 and our fiscal quarters end on July 28, 2012, October 27, 2012 and January 26,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operating segments are Unmanned Aircraft Systems, or UAS, and Efficient Energy Systems, or EES. The accounting policies for each of these segments are the same. In addition, a significant portion of our research and development, or R&amp;D, selling, general and administrative, or SG&amp;A, and general overhead resources are shared across our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 (in thousands):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October 27, 2012 Compared to Three Months Ended October 29,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4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October 27,</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October 29,</w:t>
            </w:r>
          </w:p>
        </w:tc>
        <w:tc>
          <w:tcPr>
            <w:tcW w:w="100" w:type="dxa"/>
            <w:vAlign w:val="bottom"/>
          </w:tcPr>
          <w:p>
            <w:pPr>
              <w:spacing w:after="0"/>
              <w:rPr>
                <w:sz w:val="10"/>
                <w:szCs w:val="10"/>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3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65,433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66,931</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14,845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13,441</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80,278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80,372</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sales:</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35,279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39,707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9,363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10,035</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44,642</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49,742</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30,154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27,224</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35,636</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30,630</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9,386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8,816</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income</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three months ended October 27, 2012 was $80.3 million, as compared to $80.4 million for the three months ended October 29,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2011, representing a decrease of $0.1 million. UAS revenue decreased by $1.5 million, or 2%, to $65.4 million for the three months ended October 27, 2012, primarily due to a decrease in UAS service revenue of $11.1 million, partially offset by an increase in customer-funded R&amp;D work of $7.7 million and product deliveries of $1.9 million. The decrease in UAS service revenue was primarily due to fewer retrofits of Raven B systems with our Digital Data Link, or DDL, technology. The increase in customer-funded R&amp;D work was primarily due to additional activity related to the Switchblade program. EES revenue increased by $1.4 million, or 10%, to $14.8 million for the three months ended October 27, 2012. The increase in EES revenue was primarily due to increased deliveries of industrial electric vehicle charging systems, offset by fewer deliveries of electric vehicle test equipment.</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Cost of sales for the three months ended October 27, 2012 was $44.6 million, as compared to $49.7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29, 2011, representing a decrease of $5.1 million, or 10%. As a percentage of revenue, cost of sales decreased from 62% for the three months ended October 29, 2011 to 56% for the three months ended October 27, 2012. UAS cost of sales decreased $4.4 million, or 11%, to $35.3 million for the three months ended October 27, 2012. As a percentage of revenue, cost of sales for UAS decreased from 59% to 54%, primarily due to higher absorption of manufacturing and engineering overhead support costs. EES cost of sales decreased $0.7 million, or 7%, to $9.4 million for the three months ended October 27, 2012. As a percentage of revenue, cost of sales for EES decreased from 75% to 63%, primarily due to lower manufacturing and engineering overhead support costs.</w:t>
      </w:r>
    </w:p>
    <w:p>
      <w:pPr>
        <w:spacing w:after="0" w:line="18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October 27, 2012 was $35.6 million, as compared to $30.6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October 29, 2011, representing an increase of $5.0 million, or 16%. UAS gross margin increased $2.9 million, or 11%, to $30.2 million for the three months ended October 27, 2012. As a percentage of revenue, gross margin for UAS increased from 41% to 46%, primarily due to a higher mix of product deliveries compared to service-related contracts and higher absorption of manufacturing and engineering overhead support costs. EES gross margin increased $2.1</w:t>
      </w:r>
    </w:p>
    <w:p>
      <w:pPr>
        <w:sectPr>
          <w:pgSz w:w="11900" w:h="16838" w:orient="portrait"/>
          <w:cols w:equalWidth="0" w:num="1">
            <w:col w:w="11420"/>
          </w:cols>
          <w:pgMar w:left="240" w:top="341" w:right="239" w:bottom="0" w:gutter="0" w:footer="0" w:header="0"/>
        </w:sectPr>
      </w:pPr>
    </w:p>
    <w:bookmarkStart w:id="10" w:name="page11"/>
    <w:bookmarkEnd w:id="10"/>
    <w:p>
      <w:pPr>
        <w:ind w:right="280"/>
        <w:spacing w:after="0" w:line="342" w:lineRule="auto"/>
        <w:rPr>
          <w:sz w:val="20"/>
          <w:szCs w:val="20"/>
          <w:color w:val="auto"/>
        </w:rPr>
      </w:pPr>
      <w:r>
        <w:rPr>
          <w:rFonts w:ascii="Arial" w:cs="Arial" w:eastAsia="Arial" w:hAnsi="Arial"/>
          <w:sz w:val="16"/>
          <w:szCs w:val="16"/>
          <w:color w:val="auto"/>
        </w:rPr>
        <w:t>million, or 61%, to $5.5 million for the three months ended October 27, 2012. As a percentage of revenue, EES gross margin increased from 25% to 37%, primarily due to a decrease in the sales mix of lower margin products and higher absorption of manufacturing and engineering support overhead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three months ended October 27, 2012 was $13.2 million, or 16% of revenue,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of $12.2 million, or 15% of revenue, for the three months ended October 29, 2011.</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October 27, 2012 was $9.4 million, or 12%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$8.8 million, or 11% of revenue, for the three months ended October 29, 2011.</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three months ended October 27, 2012 was $0.2 million compared to interest income of $0.1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October 29, 2011.</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Our effective income tax rate was 34.0% for the three months ended October 27, 2012, as compared to 32.0% for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October 29, 2011. The increase was primarily due to lower R&amp;D tax credits for the three months ended October 27, 2012.</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Six Months Ended October 27, 2012 Compared to Six Months Ended October 29,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ind w:left="7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4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October 27,</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October 29,</w:t>
            </w:r>
          </w:p>
        </w:tc>
        <w:tc>
          <w:tcPr>
            <w:tcW w:w="100" w:type="dxa"/>
            <w:vAlign w:val="bottom"/>
          </w:tcPr>
          <w:p>
            <w:pPr>
              <w:spacing w:after="0"/>
              <w:rPr>
                <w:sz w:val="10"/>
                <w:szCs w:val="10"/>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3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114,239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119,136</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23,233</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138,955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142,369</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sales:</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68,035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71,707</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15,779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18,317</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83,814</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90,024</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UAS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46,204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47,429</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55,141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52,345</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25,940</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17,522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16,402</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income</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six months ended October 27, 2012 was $139.0 million, as compared to $142.4 million for the six months ended October 29,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a decrease of $3.4 million, or 2%. UAS revenue decreased $4.9 million, or 4%, to $114.2 million for the six months ended October 27, 2012, primarily due to decreased UAS service revenue of $16.0 million, offset by higher customer-funded R&amp;D work of $9.2 million and product deliveries of $2.0 million. The decrease in UAS service revenue was primarily due to fewer retrofits of Raven B systems with our DDL technology. The increase in UAS customer-funded R&amp;D revenue was primarily due to increased activity related to the Switchblade program. EES revenue increased by $1.5 million, or 6%, to $24.7 million for the six months ended October 27, 2012. The increase in EES revenue was primarily due to increased deliveries of industrial electric vehicle charging systems and passenger electric vehicle charging systems, offset by fewer deliveries of electric vehicle test equipment.</w:t>
      </w:r>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six months ended October 27, 2012 was $83.8 million, as compared to $90.0 million for the six months ended October 29,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2011, representing a decrease of $6.2 million, or 7%. As a percentage of revenue, cost of sales decreased from 63% for the six months ended October 29, 2011 to 60% for the six months ended October 27, 2012. UAS cost of sales decreased $3.7 million, or 5%, to $68.0 million for the six months ended October 27, 2012. As a percentage of revenue, cost of sales for UAS remained at 60%. EES cost of sales decreased $2.5 million, or 14%, to $15.8 million for the six months ended October 27, 2012. As a percentage of revenue, cost of sales for EES decreased from 79% to 64%, primarily due to a decrease in the sales mix of lower margin products and higher absorption of manufacturing and engineering support overhead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six months ended October 27, 2012 was $55.1 million, as compared to $52.3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29, 2011, representing an increase of $2.8 million, or 5%. UAS gross margin decreased $1.2 million, or 3%, to $46.2 million for the six months ended October 27, 2012 primarily due to lower sales volume. As a percentage of revenue, gross margin for UAS remained at 40%. EES gross margin increased $4.0 million, or 82%, to $8.9 million for the six months ended October 27, 2012. As a percentage of revenue, EES gross margin increased from 21% to 36%, primarily due to an increase in the sales mix of industrial electric vehicle charging systems and higher absorption of manufacturing and engineering support overhead costs.</w:t>
      </w:r>
    </w:p>
    <w:p>
      <w:pPr>
        <w:spacing w:after="0" w:line="18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six months ended October 27, 2012 was $26.8 million, or 19% of revenue, compared to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$25.9 million, or 18% of revenue, for the six months ended October 29, 2011.</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six months ended October 27, 2012 was $17.5 million, or 13%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$16.4 million, or 12% of revenue, for the six months ended October 29, 2011.</w:t>
      </w:r>
    </w:p>
    <w:p>
      <w:pPr>
        <w:sectPr>
          <w:pgSz w:w="11900" w:h="16838" w:orient="portrait"/>
          <w:cols w:equalWidth="0" w:num="1">
            <w:col w:w="11420"/>
          </w:cols>
          <w:pgMar w:left="240" w:top="125" w:right="239" w:bottom="0" w:gutter="0" w:footer="0" w:header="0"/>
        </w:sectPr>
      </w:pPr>
    </w:p>
    <w:bookmarkStart w:id="11" w:name="page12"/>
    <w:bookmarkEnd w:id="11"/>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six months ended October 27, 2012 was $0.3 million compared to interest income of $0.2 million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October 29, 2011.</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income tax rate was 34.1% for the six months ended October 27, 2012, as compared to 32.1%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29, 2011. The increase was primarily due to lower R&amp;D tax credits for the six months ended October 27, 2012.</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Backlog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define funded backlog as unfilled firm orders for products and services for which funding currently is appropriated to us under the contract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customer. As of October 27, 2012 and April 30, 2012, our funded backlog was approximately $90.2 million and $93.2 million, respectively.</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our funded backlog, we also had unfunded backlog of $76.6 million and $96.1 million as of October 27, 2012 and April 30, 2012,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funded, may be terminated at the convenience of the U.S. government.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In addition, we do not currently anticipate significant investment in property, plant and equipment, and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The global credit situation has imposed high levels of volatility and disruption in the capital markets, severely diminished liquidity and credit availability, and increased counterparty risk. Nevertheless, we anticipate that existing sources of liquidity and cash flows from operations will be sufficient to satisfy our cash needs for the foreseeable future.</w:t>
      </w:r>
    </w:p>
    <w:p>
      <w:pPr>
        <w:spacing w:after="0" w:line="16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primary liquidity needs are for financing working capital, investing in capital expenditures, supporting product development efforts, introducing new products and enhancing existing products and services, and promoting market acceptance and adoption of our products and services. Our future capital requirements, to a certain extent, are also subject to general conditions in or affecting the defense and electric vehicle industries and are subject to general economic, political, financial, competitive, legislative and regulatory factors that are beyond our control. Moreover, to the extent that existing cash, cash equivalents, cash from operations, and cash from short-term borrowing are insufficient to fund our future activities, we may need to raise additional funds through public or private equity or debt financing. To the extent we require additional funding, we cannot be certain that such funding will be available to us on acceptable terms, or at all. Although we are currently not a party to any material agreement or letter of intent with respect to potential investment in, or acquisitions of, businesses, services or technologies, we may enter into these types of arrangements in the future, which could also require us to seek additional equity or debt financing.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Recent global market and economic conditions have been unprecedented and challenging with tighter credit conditions and recession in most major economies. As a result of these market conditions, the cost and availability of credit has been and may continue to be adversely affected by illiquid credit markets and wider credit spreads. Concern about the stability of the markets generally and the strength of counterparties specifically has led many lenders and institutional investors to reduce, and in some cases, cease to provide credit to businesses and consumers. These factors have led to a decrease in spending by businesses and consumers alike, and a corresponding decrease in global infrastructure spending. Continued turbulence in the U.S. and international markets and economies and prolonged declines in business and consumer spending may adversely affect our liquidity and financial condition, and the liquidity and financial condition of our customers, including our ability to access the capital markets to meet liquidity needs. In addition, we maintain significant amounts of cash and cash equivalents at one or more financial institutions that are in excess of federally insured limits. Given the current instability of financial institutions, we cannot be assured that we will not experience losses on these deposits.</w:t>
      </w:r>
    </w:p>
    <w:p>
      <w:pPr>
        <w:spacing w:after="0" w:line="18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cash flow data for the six months ended October 27, 2012 and October 29, 2011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4"/>
          </w:tcPr>
          <w:p>
            <w:pPr>
              <w:ind w:left="7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6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401"/>
              <w:spacing w:after="0" w:line="119" w:lineRule="exact"/>
              <w:rPr>
                <w:sz w:val="20"/>
                <w:szCs w:val="20"/>
                <w:color w:val="auto"/>
              </w:rPr>
            </w:pPr>
            <w:r>
              <w:rPr>
                <w:rFonts w:ascii="Arial" w:cs="Arial" w:eastAsia="Arial" w:hAnsi="Arial"/>
                <w:sz w:val="13"/>
                <w:szCs w:val="13"/>
                <w:b w:val="1"/>
                <w:bCs w:val="1"/>
                <w:color w:val="auto"/>
              </w:rPr>
              <w:t>October 27,</w:t>
            </w:r>
          </w:p>
        </w:tc>
        <w:tc>
          <w:tcPr>
            <w:tcW w:w="4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October 29,</w:t>
            </w:r>
          </w:p>
        </w:tc>
        <w:tc>
          <w:tcPr>
            <w:tcW w:w="100" w:type="dxa"/>
            <w:vAlign w:val="bottom"/>
          </w:tcPr>
          <w:p>
            <w:pPr>
              <w:spacing w:after="0"/>
              <w:rPr>
                <w:sz w:val="10"/>
                <w:szCs w:val="10"/>
                <w:color w:val="auto"/>
              </w:rPr>
            </w:pPr>
          </w:p>
        </w:tc>
      </w:tr>
      <w:tr>
        <w:trPr>
          <w:trHeight w:val="171"/>
        </w:trPr>
        <w:tc>
          <w:tcPr>
            <w:tcW w:w="56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4,788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1"/>
              <w:spacing w:after="0"/>
              <w:rPr>
                <w:sz w:val="20"/>
                <w:szCs w:val="20"/>
                <w:color w:val="auto"/>
              </w:rPr>
            </w:pPr>
            <w:r>
              <w:rPr>
                <w:rFonts w:ascii="Arial" w:cs="Arial" w:eastAsia="Arial" w:hAnsi="Arial"/>
                <w:sz w:val="18"/>
                <w:szCs w:val="18"/>
                <w:color w:val="auto"/>
              </w:rPr>
              <w:t>1,602</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26,364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r>
    </w:tbl>
    <w:p>
      <w:pPr>
        <w:spacing w:after="0" w:line="20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 xml:space="preserve">Cash Provided by Operating Activities. </w:t>
      </w:r>
      <w:r>
        <w:rPr>
          <w:rFonts w:ascii="Arial" w:cs="Arial" w:eastAsia="Arial" w:hAnsi="Arial"/>
          <w:sz w:val="16"/>
          <w:szCs w:val="16"/>
          <w:color w:val="auto"/>
        </w:rPr>
        <w:t>Net cash provided by operating activities for the six months ended October 27, 2012 decreased by $5.0 million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$4.8 million, compared to net cash provided by operating activities of $9.8 million for the six months ended October 29, 2011. The decrease in net cash</w:t>
      </w:r>
    </w:p>
    <w:p>
      <w:pPr>
        <w:sectPr>
          <w:pgSz w:w="11900" w:h="16838" w:orient="portrait"/>
          <w:cols w:equalWidth="0" w:num="1">
            <w:col w:w="11420"/>
          </w:cols>
          <w:pgMar w:left="240" w:top="125" w:right="239" w:bottom="0" w:gutter="0" w:footer="0" w:header="0"/>
        </w:sectPr>
      </w:pPr>
    </w:p>
    <w:bookmarkStart w:id="12" w:name="page13"/>
    <w:bookmarkEnd w:id="12"/>
    <w:p>
      <w:pPr>
        <w:ind w:right="80"/>
        <w:spacing w:after="0" w:line="277" w:lineRule="auto"/>
        <w:rPr>
          <w:sz w:val="20"/>
          <w:szCs w:val="20"/>
          <w:color w:val="auto"/>
        </w:rPr>
      </w:pPr>
      <w:r>
        <w:rPr>
          <w:rFonts w:ascii="Arial" w:cs="Arial" w:eastAsia="Arial" w:hAnsi="Arial"/>
          <w:sz w:val="18"/>
          <w:szCs w:val="18"/>
          <w:color w:val="auto"/>
        </w:rPr>
        <w:t>provided by operating activities was primarily due to higher working capital needs of $9.1 million, partially offset by higher depreciation of $1.8 million and higher income of $0.4 million.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Cash Provided by Investing Activities. </w:t>
      </w:r>
      <w:r>
        <w:rPr>
          <w:rFonts w:ascii="Arial" w:cs="Arial" w:eastAsia="Arial" w:hAnsi="Arial"/>
          <w:sz w:val="18"/>
          <w:szCs w:val="18"/>
          <w:color w:val="auto"/>
        </w:rPr>
        <w:t>Net cash provided by investing activities decreased by $24.8 million to $1.6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27, 2012, compared to net cash provided by investing activities of $26.4 million for the six months ended October 29, 2011. The decrease in net cash provided by investing activities was primarily due to a net increase in investments of $25.7 million offset by lower acquisitions of property and equipment of $0.9 million.</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 xml:space="preserve">Cash Provided by Financing Activities. </w:t>
      </w:r>
      <w:r>
        <w:rPr>
          <w:rFonts w:ascii="Arial" w:cs="Arial" w:eastAsia="Arial" w:hAnsi="Arial"/>
          <w:sz w:val="18"/>
          <w:szCs w:val="18"/>
          <w:color w:val="auto"/>
        </w:rPr>
        <w:t>Net cash provided by financing activities decreased by $0.2 million to $0.2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27, 2012, compared to $0.4 million for the six months ended October 29,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second quarter, there were no material changes in our off-balance sheet arrangements or contractual obligations and commercial commitments from those disclosed in the Form 10-K for the fiscal year ended April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refer to Note 1 “Organization and Significant Accounting Policies” to our unaudited consolidated financial statements in Part I, Item 1 of this quarterly report for a discussion of new accounting pronouncements.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the end of the period covered by this report, our disclosure controls and procedures were effective and were operating at a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our internal control over financial reporting or in other factors identified in connection with the evaluation required by paragraph</w:t>
      </w:r>
    </w:p>
    <w:p>
      <w:pPr>
        <w:spacing w:after="0" w:line="46" w:lineRule="exact"/>
        <w:rPr>
          <w:sz w:val="20"/>
          <w:szCs w:val="20"/>
          <w:color w:val="auto"/>
        </w:rPr>
      </w:pPr>
    </w:p>
    <w:p>
      <w:pPr>
        <w:ind w:right="140" w:firstLine="8"/>
        <w:spacing w:after="0" w:line="26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the quarter ended October 27, 2012, that have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125" w:right="279" w:bottom="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not currently a party to any material legal proceedings. We are, however, subject to lawsuits from time to time in the ordinary course of 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There have been no material changes to the risk factors disclosed under Part I, Item 1A, “Risk Factors,” in our Annual Report on Form 10-K for the fiscal year ended April 30, 2012. Please refer to that section for disclosures regarding the risks and uncertainties related to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9760" w:type="dxa"/>
            <w:vAlign w:val="bottom"/>
            <w:vMerge w:val="restart"/>
          </w:tcPr>
          <w:p>
            <w:pPr>
              <w:ind w:left="4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9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4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240" w:type="dxa"/>
            <w:vAlign w:val="bottom"/>
            <w:tcBorders>
              <w:top w:val="single" w:sz="8" w:color="CCEEFF"/>
            </w:tcBorders>
            <w:shd w:val="clear" w:color="auto" w:fill="CCEEFF"/>
          </w:tcPr>
          <w:p>
            <w:pPr>
              <w:spacing w:after="0"/>
              <w:rPr>
                <w:sz w:val="16"/>
                <w:szCs w:val="16"/>
                <w:color w:val="auto"/>
              </w:rPr>
            </w:pPr>
          </w:p>
        </w:tc>
        <w:tc>
          <w:tcPr>
            <w:tcW w:w="9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Certification of Chief Executive Officer pursuant to Rule 13a-14(a) and Rule 15d-14(a) of the Securities Exchange Act of 1934, as</w:t>
            </w: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202"/>
        </w:trPr>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7"/>
                <w:szCs w:val="17"/>
                <w:color w:val="auto"/>
              </w:rPr>
            </w:pPr>
          </w:p>
        </w:tc>
        <w:tc>
          <w:tcPr>
            <w:tcW w:w="9760" w:type="dxa"/>
            <w:vAlign w:val="bottom"/>
          </w:tcPr>
          <w:p>
            <w:pPr>
              <w:spacing w:after="0" w:line="201" w:lineRule="exact"/>
              <w:rPr>
                <w:sz w:val="20"/>
                <w:szCs w:val="20"/>
                <w:color w:val="auto"/>
              </w:rPr>
            </w:pPr>
            <w:r>
              <w:rPr>
                <w:rFonts w:ascii="Arial" w:cs="Arial" w:eastAsia="Arial" w:hAnsi="Arial"/>
                <w:sz w:val="18"/>
                <w:szCs w:val="18"/>
                <w:color w:val="auto"/>
                <w:w w:val="95"/>
              </w:rPr>
              <w:t>Certification of Chief Financial Officer pursuant to Rule 13a-14(a) and Rule 15d-14(a) of the Securities Exchange Act of 1934, as</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bl>
    <w:p>
      <w:pPr>
        <w:ind w:left="1660" w:right="540" w:hanging="1033"/>
        <w:spacing w:after="0" w:line="250"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100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101.SCH*</w:t>
            </w:r>
          </w:p>
        </w:tc>
        <w:tc>
          <w:tcPr>
            <w:tcW w:w="10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040" w:type="dxa"/>
            <w:vAlign w:val="bottom"/>
          </w:tcPr>
          <w:p>
            <w:pPr>
              <w:ind w:left="28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101.DEF*</w:t>
            </w:r>
          </w:p>
        </w:tc>
        <w:tc>
          <w:tcPr>
            <w:tcW w:w="10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040" w:type="dxa"/>
            <w:vAlign w:val="bottom"/>
          </w:tcPr>
          <w:p>
            <w:pPr>
              <w:ind w:left="28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101.PRE*</w:t>
            </w:r>
          </w:p>
        </w:tc>
        <w:tc>
          <w:tcPr>
            <w:tcW w:w="10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205740</wp:posOffset>
            </wp:positionV>
            <wp:extent cx="1800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200" w:hanging="172"/>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 11 or 12 of the Securities Act of 1933, as amended, are deemed not filed for purposes of Section 18 of the Securities Exchange Act of 1934, as amended, and otherwise are not subject to liability under these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Date: December 4, 2012</w:t>
            </w:r>
          </w:p>
        </w:tc>
        <w:tc>
          <w:tcPr>
            <w:tcW w:w="5080" w:type="dxa"/>
            <w:vAlign w:val="bottom"/>
          </w:tcPr>
          <w:p>
            <w:pPr>
              <w:spacing w:after="0"/>
              <w:rPr>
                <w:sz w:val="20"/>
                <w:szCs w:val="20"/>
                <w:color w:val="auto"/>
              </w:rPr>
            </w:pPr>
            <w:r>
              <w:rPr>
                <w:rFonts w:ascii="Arial" w:cs="Arial" w:eastAsia="Arial" w:hAnsi="Arial"/>
                <w:sz w:val="18"/>
                <w:szCs w:val="18"/>
                <w:color w:val="auto"/>
              </w:rPr>
              <w:t>AEROVIRONMENT, INC.</w:t>
            </w:r>
          </w:p>
        </w:tc>
      </w:tr>
      <w:tr>
        <w:trPr>
          <w:trHeight w:val="432"/>
        </w:trPr>
        <w:tc>
          <w:tcPr>
            <w:tcW w:w="6340" w:type="dxa"/>
            <w:vAlign w:val="bottom"/>
          </w:tcPr>
          <w:p>
            <w:pPr>
              <w:ind w:left="572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Conver</w:t>
            </w:r>
          </w:p>
        </w:tc>
      </w:tr>
      <w:tr>
        <w:trPr>
          <w:trHeight w:val="195"/>
        </w:trPr>
        <w:tc>
          <w:tcPr>
            <w:tcW w:w="634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Timothy E. Conver</w:t>
            </w:r>
          </w:p>
        </w:tc>
      </w:tr>
      <w:tr>
        <w:trPr>
          <w:trHeight w:val="216"/>
        </w:trPr>
        <w:tc>
          <w:tcPr>
            <w:tcW w:w="63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230"/>
        </w:trPr>
        <w:tc>
          <w:tcPr>
            <w:tcW w:w="63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3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Jikun Kim</w:t>
            </w:r>
          </w:p>
        </w:tc>
      </w:tr>
      <w:tr>
        <w:trPr>
          <w:trHeight w:val="195"/>
        </w:trPr>
        <w:tc>
          <w:tcPr>
            <w:tcW w:w="634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Jikun Kim</w:t>
            </w:r>
          </w:p>
        </w:tc>
      </w:tr>
      <w:tr>
        <w:trPr>
          <w:trHeight w:val="216"/>
        </w:trPr>
        <w:tc>
          <w:tcPr>
            <w:tcW w:w="63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63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ectPr>
          <w:pgSz w:w="11900" w:h="16838" w:orient="portrait"/>
          <w:cols w:equalWidth="0" w:num="1">
            <w:col w:w="11420"/>
          </w:cols>
          <w:pgMar w:left="240" w:top="121" w:right="239" w:bottom="42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2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Timothy E. Conver, certify that:</w:t>
      </w:r>
    </w:p>
    <w:p>
      <w:pPr>
        <w:spacing w:after="0" w:line="225" w:lineRule="exact"/>
        <w:rPr>
          <w:sz w:val="20"/>
          <w:szCs w:val="20"/>
          <w:color w:val="auto"/>
        </w:rPr>
      </w:pPr>
    </w:p>
    <w:p>
      <w:pPr>
        <w:ind w:left="340" w:hanging="329"/>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29"/>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29"/>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Jikun Kim, certify that:</w:t>
      </w:r>
    </w:p>
    <w:p>
      <w:pPr>
        <w:spacing w:after="0" w:line="225" w:lineRule="exact"/>
        <w:rPr>
          <w:sz w:val="20"/>
          <w:szCs w:val="20"/>
          <w:color w:val="auto"/>
        </w:rPr>
      </w:pPr>
    </w:p>
    <w:p>
      <w:pPr>
        <w:ind w:left="340" w:hanging="329"/>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29"/>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29"/>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2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8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Quarterly Report on Form 10-Q for the quarter ended October 27, 2012 (the “Periodic Report”) of the Company fully complies with the requirements of Section 13(a) of the Securities Exchange Act of 1934 (15 U.S.C. 78m or 78o(d)) and information contained in the Periodic Report fairly presents, in all material respects, the financial condition and results of operations of the Company.</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Chief Executive Officer and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4, 2012</w:t>
      </w:r>
    </w:p>
    <w:p>
      <w:pPr>
        <w:spacing w:after="0" w:line="225"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decimal"/>
      <w:start w:val="32"/>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2019-12-09T18:29:12Z</dcterms:created>
  <dcterms:modified xsi:type="dcterms:W3CDTF">2019-12-09T18:29:12Z</dcterms:modified>
</cp:coreProperties>
</file>