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263525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177165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640" w:hanging="317"/>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July 27, 2019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640" w:hanging="317"/>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160655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900 Innovators Way</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Simi Valley,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93065</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Title of Class</w:t>
            </w:r>
          </w:p>
        </w:tc>
        <w:tc>
          <w:tcPr>
            <w:tcW w:w="3020" w:type="dxa"/>
            <w:vAlign w:val="bottom"/>
          </w:tcPr>
          <w:p>
            <w:pPr>
              <w:jc w:val="center"/>
              <w:ind w:left="261"/>
              <w:spacing w:after="0"/>
              <w:rPr>
                <w:sz w:val="20"/>
                <w:szCs w:val="20"/>
                <w:color w:val="auto"/>
              </w:rPr>
            </w:pPr>
            <w:r>
              <w:rPr>
                <w:rFonts w:ascii="Arial" w:cs="Arial" w:eastAsia="Arial" w:hAnsi="Arial"/>
                <w:sz w:val="11"/>
                <w:szCs w:val="11"/>
                <w:b w:val="1"/>
                <w:bCs w:val="1"/>
                <w:color w:val="auto"/>
                <w:w w:val="89"/>
              </w:rPr>
              <w:t>Trading Symbol(s)</w:t>
            </w:r>
          </w:p>
        </w:tc>
        <w:tc>
          <w:tcPr>
            <w:tcW w:w="3600" w:type="dxa"/>
            <w:vAlign w:val="bottom"/>
          </w:tcPr>
          <w:p>
            <w:pPr>
              <w:jc w:val="center"/>
              <w:ind w:left="241"/>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3020" w:type="dxa"/>
            <w:vAlign w:val="bottom"/>
            <w:tcBorders>
              <w:top w:val="single" w:sz="8" w:color="auto"/>
            </w:tcBorders>
          </w:tcPr>
          <w:p>
            <w:pPr>
              <w:jc w:val="center"/>
              <w:ind w:left="241"/>
              <w:spacing w:after="0"/>
              <w:rPr>
                <w:sz w:val="20"/>
                <w:szCs w:val="20"/>
                <w:color w:val="auto"/>
              </w:rPr>
            </w:pPr>
            <w:r>
              <w:rPr>
                <w:rFonts w:ascii="Arial" w:cs="Arial" w:eastAsia="Arial" w:hAnsi="Arial"/>
                <w:sz w:val="13"/>
                <w:szCs w:val="13"/>
                <w:b w:val="1"/>
                <w:bCs w:val="1"/>
                <w:color w:val="auto"/>
                <w:w w:val="88"/>
              </w:rPr>
              <w:t>AVAV</w:t>
            </w:r>
          </w:p>
        </w:tc>
        <w:tc>
          <w:tcPr>
            <w:tcW w:w="3600" w:type="dxa"/>
            <w:vAlign w:val="bottom"/>
            <w:tcBorders>
              <w:top w:val="single" w:sz="8" w:color="auto"/>
            </w:tcBorders>
          </w:tcPr>
          <w:p>
            <w:pPr>
              <w:jc w:val="center"/>
              <w:ind w:left="241"/>
              <w:spacing w:after="0"/>
              <w:rPr>
                <w:sz w:val="20"/>
                <w:szCs w:val="20"/>
                <w:color w:val="auto"/>
              </w:rPr>
            </w:pPr>
            <w:r>
              <w:rPr>
                <w:rFonts w:ascii="Arial" w:cs="Arial" w:eastAsia="Arial" w:hAnsi="Arial"/>
                <w:sz w:val="13"/>
                <w:szCs w:val="13"/>
                <w:b w:val="1"/>
                <w:bCs w:val="1"/>
                <w:color w:val="auto"/>
                <w:w w:val="92"/>
              </w:rPr>
              <w:t>The NASDAQ Stock Market LLC</w:t>
            </w:r>
          </w:p>
        </w:tc>
      </w:tr>
    </w:tbl>
    <w:p>
      <w:pPr>
        <w:spacing w:after="0" w:line="168" w:lineRule="exact"/>
        <w:rPr>
          <w:sz w:val="24"/>
          <w:szCs w:val="24"/>
          <w:color w:val="auto"/>
        </w:rPr>
      </w:pPr>
    </w:p>
    <w:p>
      <w:pPr>
        <w:ind w:right="80" w:firstLine="324"/>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10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36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665" w:right="919" w:bottom="1440" w:gutter="0" w:footer="0" w:header="0"/>
        </w:sectPr>
      </w:pPr>
    </w:p>
    <w:p>
      <w:pPr>
        <w:ind w:left="17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320" w:space="720"/>
            <w:col w:w="3020"/>
          </w:cols>
          <w:pgMar w:left="920" w:top="665" w:right="919" w:bottom="1440" w:gutter="0" w:footer="0" w:header="0"/>
          <w:type w:val="continuous"/>
        </w:sectPr>
      </w:pPr>
    </w:p>
    <w:p>
      <w:pPr>
        <w:ind w:left="17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000" w:space="720"/>
            <w:col w:w="3340"/>
          </w:cols>
          <w:pgMar w:left="920" w:top="665" w:right="919" w:bottom="1440" w:gutter="0" w:footer="0" w:header="0"/>
          <w:type w:val="continuous"/>
        </w:sectPr>
      </w:pPr>
    </w:p>
    <w:p>
      <w:pPr>
        <w:ind w:left="67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060"/>
          </w:cols>
          <w:pgMar w:left="920" w:top="665" w:right="919" w:bottom="1440" w:gutter="0" w:footer="0" w:header="0"/>
          <w:type w:val="continuous"/>
        </w:sectPr>
      </w:pPr>
    </w:p>
    <w:p>
      <w:pPr>
        <w:spacing w:after="0" w:line="256" w:lineRule="exact"/>
        <w:rPr>
          <w:sz w:val="24"/>
          <w:szCs w:val="24"/>
          <w:color w:val="auto"/>
        </w:rPr>
      </w:pPr>
    </w:p>
    <w:p>
      <w:pPr>
        <w:ind w:right="28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August 28, 2019, the number of shares outstanding of the registrant’s common stock, $0.0001 par value, was 23,980,491.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441325</wp:posOffset>
            </wp:positionV>
            <wp:extent cx="6388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55245</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20" w:type="dxa"/>
            <w:vAlign w:val="bottom"/>
            <w:gridSpan w:val="10"/>
          </w:tcPr>
          <w:p>
            <w:pPr>
              <w:jc w:val="center"/>
              <w:ind w:right="3200"/>
              <w:spacing w:after="0"/>
              <w:rPr>
                <w:sz w:val="20"/>
                <w:szCs w:val="20"/>
                <w:color w:val="auto"/>
              </w:rPr>
            </w:pPr>
            <w:r>
              <w:rPr>
                <w:rFonts w:ascii="Arial" w:cs="Arial" w:eastAsia="Arial" w:hAnsi="Arial"/>
                <w:sz w:val="18"/>
                <w:szCs w:val="18"/>
                <w:b w:val="1"/>
                <w:bCs w:val="1"/>
                <w:color w:val="auto"/>
                <w:w w:val="92"/>
              </w:rPr>
              <w:t>AeroVironment, Inc.</w:t>
            </w:r>
          </w:p>
        </w:tc>
        <w:tc>
          <w:tcPr>
            <w:tcW w:w="3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gridSpan w:val="10"/>
          </w:tcPr>
          <w:p>
            <w:pPr>
              <w:jc w:val="center"/>
              <w:ind w:right="3180"/>
              <w:spacing w:after="0"/>
              <w:rPr>
                <w:sz w:val="20"/>
                <w:szCs w:val="20"/>
                <w:color w:val="auto"/>
              </w:rPr>
            </w:pPr>
            <w:r>
              <w:rPr>
                <w:rFonts w:ascii="Arial" w:cs="Arial" w:eastAsia="Arial" w:hAnsi="Arial"/>
                <w:sz w:val="18"/>
                <w:szCs w:val="18"/>
                <w:b w:val="1"/>
                <w:bCs w:val="1"/>
                <w:color w:val="auto"/>
                <w:w w:val="89"/>
              </w:rPr>
              <w:t>Table of Contents</w:t>
            </w:r>
          </w:p>
        </w:tc>
        <w:tc>
          <w:tcPr>
            <w:tcW w:w="320" w:type="dxa"/>
            <w:vAlign w:val="bottom"/>
          </w:tcPr>
          <w:p>
            <w:pPr>
              <w:spacing w:after="0"/>
              <w:rPr>
                <w:sz w:val="24"/>
                <w:szCs w:val="24"/>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780" w:type="dxa"/>
            <w:vAlign w:val="bottom"/>
            <w:gridSpan w:val="22"/>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July 27, 2019 (Unaudited) and April 30,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months ended July 27, 2019 (Unaudited) and July</w:t>
              </w:r>
            </w:hyperlink>
          </w:p>
        </w:tc>
        <w:tc>
          <w:tcPr>
            <w:tcW w:w="220" w:type="dxa"/>
            <w:vAlign w:val="bottom"/>
            <w:gridSpan w:val="3"/>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28, 2018 (Unaudited)</w:t>
              </w:r>
            </w:hyperlink>
          </w:p>
        </w:tc>
        <w:tc>
          <w:tcPr>
            <w:tcW w:w="3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three months ended July 27, 2019</w:t>
              </w:r>
            </w:hyperlink>
          </w:p>
        </w:tc>
        <w:tc>
          <w:tcPr>
            <w:tcW w:w="860" w:type="dxa"/>
            <w:vAlign w:val="bottom"/>
            <w:gridSpan w:val="4"/>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and July 28, 2018 (Unaudited)</w:t>
              </w:r>
            </w:hyperlink>
          </w:p>
        </w:tc>
        <w:tc>
          <w:tcPr>
            <w:tcW w:w="430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Stockholders’ Equity for the three months ended July 27, 2019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2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and July 28, 2018 (Unaudited)</w:t>
              </w:r>
            </w:hyperlink>
          </w:p>
        </w:tc>
        <w:tc>
          <w:tcPr>
            <w:tcW w:w="5080" w:type="dxa"/>
            <w:vAlign w:val="bottom"/>
            <w:tcBorders>
              <w:top w:val="single" w:sz="8" w:color="0000EE"/>
            </w:tcBorders>
            <w:gridSpan w:val="9"/>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three months ended July 27, 2019 (Unaudited) and July</w:t>
              </w:r>
            </w:hyperlink>
          </w:p>
        </w:tc>
        <w:tc>
          <w:tcPr>
            <w:tcW w:w="160" w:type="dxa"/>
            <w:vAlign w:val="bottom"/>
            <w:gridSpan w:val="2"/>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28, 2018 (Unaudited)</w:t>
              </w:r>
            </w:hyperlink>
          </w:p>
        </w:tc>
        <w:tc>
          <w:tcPr>
            <w:tcW w:w="3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20" w:type="dxa"/>
            <w:vAlign w:val="bottom"/>
            <w:tcBorders>
              <w:left w:val="single" w:sz="8" w:color="0000EE"/>
            </w:tcBorders>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8740" w:type="dxa"/>
            <w:vAlign w:val="bottom"/>
            <w:gridSpan w:val="2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320" w:type="dxa"/>
            <w:vAlign w:val="bottom"/>
          </w:tcPr>
          <w:p>
            <w:pPr>
              <w:spacing w:after="0"/>
              <w:rPr>
                <w:sz w:val="24"/>
                <w:szCs w:val="24"/>
                <w:color w:val="auto"/>
              </w:rPr>
            </w:pPr>
          </w:p>
        </w:tc>
      </w:tr>
      <w:tr>
        <w:trPr>
          <w:trHeight w:val="466"/>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440" w:type="dxa"/>
            <w:vAlign w:val="bottom"/>
            <w:tcBorders>
              <w:top w:val="single" w:sz="8" w:color="0000EE"/>
            </w:tcBorders>
            <w:gridSpan w:val="3"/>
          </w:tcPr>
          <w:p>
            <w:pPr>
              <w:spacing w:after="0"/>
              <w:rPr>
                <w:sz w:val="24"/>
                <w:szCs w:val="24"/>
                <w:color w:val="auto"/>
              </w:rPr>
            </w:pPr>
          </w:p>
        </w:tc>
        <w:tc>
          <w:tcPr>
            <w:tcW w:w="1800" w:type="dxa"/>
            <w:vAlign w:val="bottom"/>
            <w:tcBorders>
              <w:top w:val="single" w:sz="8" w:color="0000EE"/>
            </w:tcBorders>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98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w:t>
              </w:r>
            </w:hyperlink>
          </w:p>
        </w:tc>
        <w:tc>
          <w:tcPr>
            <w:tcW w:w="77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5.</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July 27,</w:t>
            </w: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85"/>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156"/>
        </w:trPr>
        <w:tc>
          <w:tcPr>
            <w:tcW w:w="6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1"/>
              <w:spacing w:after="0" w:line="155"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137,094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172,708</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163,634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150,487</w:t>
            </w:r>
          </w:p>
        </w:tc>
        <w:tc>
          <w:tcPr>
            <w:tcW w:w="120" w:type="dxa"/>
            <w:vAlign w:val="bottom"/>
          </w:tcPr>
          <w:p>
            <w:pPr>
              <w:spacing w:after="0"/>
              <w:rPr>
                <w:sz w:val="15"/>
                <w:szCs w:val="15"/>
                <w:color w:val="auto"/>
              </w:rPr>
            </w:pPr>
          </w:p>
        </w:tc>
      </w:tr>
      <w:tr>
        <w:trPr>
          <w:trHeight w:val="152"/>
        </w:trPr>
        <w:tc>
          <w:tcPr>
            <w:tcW w:w="672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rPr>
              <w:t>Accounts receivable, net of allowance for doubtful accounts of $1,053 at July 27, 2019 and</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$1,041 at April 30, 2019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42,724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31,051</w:t>
            </w:r>
          </w:p>
        </w:tc>
        <w:tc>
          <w:tcPr>
            <w:tcW w:w="120" w:type="dxa"/>
            <w:vAlign w:val="bottom"/>
            <w:shd w:val="clear" w:color="auto" w:fill="CCEEFF"/>
          </w:tcPr>
          <w:p>
            <w:pPr>
              <w:spacing w:after="0"/>
              <w:rPr>
                <w:sz w:val="17"/>
                <w:szCs w:val="17"/>
                <w:color w:val="auto"/>
              </w:rPr>
            </w:pPr>
          </w:p>
        </w:tc>
      </w:tr>
      <w:tr>
        <w:trPr>
          <w:trHeight w:val="152"/>
        </w:trPr>
        <w:tc>
          <w:tcPr>
            <w:tcW w:w="6720" w:type="dxa"/>
            <w:vAlign w:val="bottom"/>
          </w:tcPr>
          <w:p>
            <w:pPr>
              <w:ind w:left="220"/>
              <w:spacing w:after="0" w:line="152" w:lineRule="exact"/>
              <w:rPr>
                <w:sz w:val="20"/>
                <w:szCs w:val="20"/>
                <w:color w:val="auto"/>
              </w:rPr>
            </w:pPr>
            <w:r>
              <w:rPr>
                <w:rFonts w:ascii="Arial" w:cs="Arial" w:eastAsia="Arial" w:hAnsi="Arial"/>
                <w:sz w:val="16"/>
                <w:szCs w:val="16"/>
                <w:color w:val="auto"/>
                <w:w w:val="96"/>
              </w:rPr>
              <w:t>Unbilled receivables and retentions (inclusive of related party unbilled receivables of $12,649 at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9"/>
        </w:trPr>
        <w:tc>
          <w:tcPr>
            <w:tcW w:w="6720" w:type="dxa"/>
            <w:vAlign w:val="bottom"/>
          </w:tcPr>
          <w:p>
            <w:pPr>
              <w:ind w:left="220"/>
              <w:spacing w:after="0"/>
              <w:rPr>
                <w:sz w:val="20"/>
                <w:szCs w:val="20"/>
                <w:color w:val="auto"/>
              </w:rPr>
            </w:pPr>
            <w:r>
              <w:rPr>
                <w:rFonts w:ascii="Arial" w:cs="Arial" w:eastAsia="Arial" w:hAnsi="Arial"/>
                <w:sz w:val="16"/>
                <w:szCs w:val="16"/>
                <w:color w:val="auto"/>
              </w:rPr>
              <w:t>July 27, 2019 and $9,028 at April 30, 2019)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47,935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53,047</w:t>
            </w:r>
          </w:p>
        </w:tc>
        <w:tc>
          <w:tcPr>
            <w:tcW w:w="120" w:type="dxa"/>
            <w:vAlign w:val="bottom"/>
          </w:tcPr>
          <w:p>
            <w:pPr>
              <w:spacing w:after="0"/>
              <w:rPr>
                <w:sz w:val="17"/>
                <w:szCs w:val="17"/>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56,336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54,056</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7,606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7,418</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 receivable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5"/>
                <w:szCs w:val="15"/>
                <w:color w:val="auto"/>
              </w:rPr>
            </w:pPr>
          </w:p>
        </w:tc>
      </w:tr>
      <w:tr>
        <w:trPr>
          <w:trHeight w:val="169"/>
        </w:trPr>
        <w:tc>
          <w:tcPr>
            <w:tcW w:w="6720" w:type="dxa"/>
            <w:vAlign w:val="bottom"/>
          </w:tcPr>
          <w:p>
            <w:pPr>
              <w:spacing w:after="0" w:line="169" w:lineRule="exact"/>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455,329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469,588</w:t>
            </w:r>
          </w:p>
        </w:tc>
        <w:tc>
          <w:tcPr>
            <w:tcW w:w="120" w:type="dxa"/>
            <w:vAlign w:val="bottom"/>
          </w:tcPr>
          <w:p>
            <w:pPr>
              <w:spacing w:after="0"/>
              <w:rPr>
                <w:sz w:val="14"/>
                <w:szCs w:val="14"/>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4,887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9,386</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17,747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16,905</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9,917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7,699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6,685</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Intangibles, net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16,727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8,080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14,196</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5,821</w:t>
            </w:r>
          </w:p>
        </w:tc>
        <w:tc>
          <w:tcPr>
            <w:tcW w:w="120" w:type="dxa"/>
            <w:vAlign w:val="bottom"/>
            <w:shd w:val="clear" w:color="auto" w:fill="CCEEFF"/>
          </w:tcPr>
          <w:p>
            <w:pPr>
              <w:spacing w:after="0"/>
              <w:rPr>
                <w:sz w:val="15"/>
                <w:szCs w:val="15"/>
                <w:color w:val="auto"/>
              </w:rPr>
            </w:pPr>
          </w:p>
        </w:tc>
      </w:tr>
      <w:tr>
        <w:trPr>
          <w:trHeight w:val="209"/>
        </w:trPr>
        <w:tc>
          <w:tcPr>
            <w:tcW w:w="67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534,582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508,844</w:t>
            </w:r>
          </w:p>
        </w:tc>
        <w:tc>
          <w:tcPr>
            <w:tcW w:w="120" w:type="dxa"/>
            <w:vAlign w:val="bottom"/>
            <w:tcBorders>
              <w:bottom w:val="single" w:sz="8" w:color="CCEEFF"/>
            </w:tcBorders>
          </w:tcPr>
          <w:p>
            <w:pPr>
              <w:spacing w:after="0"/>
              <w:rPr>
                <w:sz w:val="18"/>
                <w:szCs w:val="18"/>
                <w:color w:val="auto"/>
              </w:rPr>
            </w:pPr>
          </w:p>
        </w:tc>
      </w:tr>
      <w:tr>
        <w:trPr>
          <w:trHeight w:val="156"/>
        </w:trPr>
        <w:tc>
          <w:tcPr>
            <w:tcW w:w="672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11,450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15,972</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6"/>
                <w:szCs w:val="16"/>
                <w:color w:val="auto"/>
              </w:rPr>
              <w:t>Wages and related accruals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12,085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18,507</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Customer advances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3,268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2,962</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6"/>
                <w:szCs w:val="16"/>
                <w:color w:val="auto"/>
              </w:rPr>
              <w:t>Current operating lease liabilities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2,771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1,367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12,167</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7,425</w:t>
            </w:r>
          </w:p>
        </w:tc>
        <w:tc>
          <w:tcPr>
            <w:tcW w:w="120" w:type="dxa"/>
            <w:vAlign w:val="bottom"/>
            <w:tcBorders>
              <w:bottom w:val="single" w:sz="8" w:color="CCEEFF"/>
            </w:tcBorders>
          </w:tcPr>
          <w:p>
            <w:pPr>
              <w:spacing w:after="0"/>
              <w:rPr>
                <w:sz w:val="15"/>
                <w:szCs w:val="15"/>
                <w:color w:val="auto"/>
              </w:rPr>
            </w:pPr>
          </w:p>
        </w:tc>
      </w:tr>
      <w:tr>
        <w:trPr>
          <w:trHeight w:val="169"/>
        </w:trPr>
        <w:tc>
          <w:tcPr>
            <w:tcW w:w="67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43,108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44,866</w:t>
            </w:r>
          </w:p>
        </w:tc>
        <w:tc>
          <w:tcPr>
            <w:tcW w:w="120" w:type="dxa"/>
            <w:vAlign w:val="bottom"/>
            <w:shd w:val="clear" w:color="auto" w:fill="CCEEFF"/>
          </w:tcPr>
          <w:p>
            <w:pPr>
              <w:spacing w:after="0"/>
              <w:rPr>
                <w:sz w:val="14"/>
                <w:szCs w:val="14"/>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1,173</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Non-current operating lease liabilities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7,597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2,298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150</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Liability for uncertain tax positions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51</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Preferred stock, $0.0001 par value: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6"/>
                <w:szCs w:val="16"/>
                <w:color w:val="auto"/>
                <w:w w:val="94"/>
              </w:rPr>
              <w:t>Authorized shares—10,000,000; none issued or outstanding at July 27, 2019 and April 30, 2019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260"/>
              <w:spacing w:after="0" w:line="176"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line="176" w:lineRule="exact"/>
              <w:rPr>
                <w:sz w:val="20"/>
                <w:szCs w:val="20"/>
                <w:color w:val="auto"/>
              </w:rPr>
            </w:pPr>
            <w:r>
              <w:rPr>
                <w:rFonts w:ascii="Arial" w:cs="Arial" w:eastAsia="Arial" w:hAnsi="Arial"/>
                <w:sz w:val="16"/>
                <w:szCs w:val="16"/>
                <w:color w:val="auto"/>
              </w:rPr>
              <w:t>—</w:t>
            </w: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Common stock, $0.0001 par value:</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Pr>
          <w:p>
            <w:pPr>
              <w:ind w:left="320"/>
              <w:spacing w:after="0" w:line="176" w:lineRule="exact"/>
              <w:rPr>
                <w:sz w:val="20"/>
                <w:szCs w:val="20"/>
                <w:color w:val="auto"/>
              </w:rPr>
            </w:pPr>
            <w:r>
              <w:rPr>
                <w:rFonts w:ascii="Arial" w:cs="Arial" w:eastAsia="Arial" w:hAnsi="Arial"/>
                <w:sz w:val="16"/>
                <w:szCs w:val="16"/>
                <w:color w:val="auto"/>
              </w:rPr>
              <w:t>Authorized shares—100,000,000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2"/>
        </w:trPr>
        <w:tc>
          <w:tcPr>
            <w:tcW w:w="6720" w:type="dxa"/>
            <w:vAlign w:val="bottom"/>
            <w:shd w:val="clear" w:color="auto" w:fill="CCEEFF"/>
          </w:tcPr>
          <w:p>
            <w:pPr>
              <w:ind w:left="320"/>
              <w:spacing w:after="0" w:line="152" w:lineRule="exact"/>
              <w:rPr>
                <w:sz w:val="20"/>
                <w:szCs w:val="20"/>
                <w:color w:val="auto"/>
              </w:rPr>
            </w:pPr>
            <w:r>
              <w:rPr>
                <w:rFonts w:ascii="Arial" w:cs="Arial" w:eastAsia="Arial" w:hAnsi="Arial"/>
                <w:sz w:val="16"/>
                <w:szCs w:val="16"/>
                <w:color w:val="auto"/>
                <w:w w:val="95"/>
              </w:rPr>
              <w:t>Issued and outstanding shares—23,990,459 shares at July 27, 2019 and 23,946,293 shares at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99"/>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r>
      <w:tr>
        <w:trPr>
          <w:trHeight w:val="176"/>
        </w:trPr>
        <w:tc>
          <w:tcPr>
            <w:tcW w:w="6720" w:type="dxa"/>
            <w:vAlign w:val="bottom"/>
          </w:tcPr>
          <w:p>
            <w:pPr>
              <w:ind w:left="220"/>
              <w:spacing w:after="0" w:line="176" w:lineRule="exact"/>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177,207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176,216</w:t>
            </w:r>
          </w:p>
        </w:tc>
        <w:tc>
          <w:tcPr>
            <w:tcW w:w="120" w:type="dxa"/>
            <w:vAlign w:val="bottom"/>
          </w:tcPr>
          <w:p>
            <w:pPr>
              <w:spacing w:after="0"/>
              <w:rPr>
                <w:sz w:val="15"/>
                <w:szCs w:val="15"/>
                <w:color w:val="auto"/>
              </w:rPr>
            </w:pPr>
          </w:p>
        </w:tc>
      </w:tr>
      <w:tr>
        <w:trPr>
          <w:trHeight w:val="176"/>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5"/>
                <w:szCs w:val="15"/>
                <w:color w:val="auto"/>
              </w:rPr>
            </w:pPr>
          </w:p>
        </w:tc>
      </w:tr>
      <w:tr>
        <w:trPr>
          <w:trHeight w:val="176"/>
        </w:trPr>
        <w:tc>
          <w:tcPr>
            <w:tcW w:w="6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6"/>
                <w:szCs w:val="16"/>
                <w:color w:val="auto"/>
              </w:rPr>
              <w:t>304,126</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286,351</w:t>
            </w:r>
          </w:p>
        </w:tc>
        <w:tc>
          <w:tcPr>
            <w:tcW w:w="120" w:type="dxa"/>
            <w:vAlign w:val="bottom"/>
            <w:tcBorders>
              <w:bottom w:val="single" w:sz="8" w:color="CCEEFF"/>
            </w:tcBorders>
          </w:tcPr>
          <w:p>
            <w:pPr>
              <w:spacing w:after="0"/>
              <w:rPr>
                <w:sz w:val="15"/>
                <w:szCs w:val="15"/>
                <w:color w:val="auto"/>
              </w:rPr>
            </w:pPr>
          </w:p>
        </w:tc>
      </w:tr>
      <w:tr>
        <w:trPr>
          <w:trHeight w:val="169"/>
        </w:trPr>
        <w:tc>
          <w:tcPr>
            <w:tcW w:w="67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Total AeroVironment stockholders’ equity</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481,506</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462,571</w:t>
            </w:r>
          </w:p>
        </w:tc>
        <w:tc>
          <w:tcPr>
            <w:tcW w:w="120" w:type="dxa"/>
            <w:vAlign w:val="bottom"/>
            <w:shd w:val="clear" w:color="auto" w:fill="CCEEFF"/>
          </w:tcPr>
          <w:p>
            <w:pPr>
              <w:spacing w:after="0"/>
              <w:rPr>
                <w:sz w:val="14"/>
                <w:szCs w:val="14"/>
                <w:color w:val="auto"/>
              </w:rPr>
            </w:pPr>
          </w:p>
        </w:tc>
      </w:tr>
      <w:tr>
        <w:trPr>
          <w:trHeight w:val="169"/>
        </w:trPr>
        <w:tc>
          <w:tcPr>
            <w:tcW w:w="6720" w:type="dxa"/>
            <w:vAlign w:val="bottom"/>
          </w:tcPr>
          <w:p>
            <w:pPr>
              <w:ind w:left="220"/>
              <w:spacing w:after="0" w:line="169" w:lineRule="exact"/>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r>
      <w:tr>
        <w:trPr>
          <w:trHeight w:val="176"/>
        </w:trPr>
        <w:tc>
          <w:tcPr>
            <w:tcW w:w="6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Total equity</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481,499</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462,575</w:t>
            </w:r>
          </w:p>
        </w:tc>
        <w:tc>
          <w:tcPr>
            <w:tcW w:w="120" w:type="dxa"/>
            <w:vAlign w:val="bottom"/>
            <w:shd w:val="clear" w:color="auto" w:fill="CCEEFF"/>
          </w:tcPr>
          <w:p>
            <w:pPr>
              <w:spacing w:after="0"/>
              <w:rPr>
                <w:sz w:val="15"/>
                <w:szCs w:val="15"/>
                <w:color w:val="auto"/>
              </w:rPr>
            </w:pPr>
          </w:p>
        </w:tc>
      </w:tr>
      <w:tr>
        <w:trPr>
          <w:trHeight w:val="169"/>
        </w:trPr>
        <w:tc>
          <w:tcPr>
            <w:tcW w:w="6720" w:type="dxa"/>
            <w:vAlign w:val="bottom"/>
          </w:tcPr>
          <w:p>
            <w:pPr>
              <w:spacing w:after="0" w:line="169" w:lineRule="exact"/>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color w:val="auto"/>
              </w:rPr>
              <w:t>534,582</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508,844</w:t>
            </w:r>
          </w:p>
        </w:tc>
        <w:tc>
          <w:tcPr>
            <w:tcW w:w="120" w:type="dxa"/>
            <w:vAlign w:val="bottom"/>
          </w:tcPr>
          <w:p>
            <w:pPr>
              <w:spacing w:after="0"/>
              <w:rPr>
                <w:sz w:val="14"/>
                <w:szCs w:val="14"/>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July 27,</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20"/>
              <w:spacing w:after="0" w:line="119" w:lineRule="exact"/>
              <w:rPr>
                <w:sz w:val="20"/>
                <w:szCs w:val="20"/>
                <w:color w:val="auto"/>
              </w:rPr>
            </w:pPr>
            <w:r>
              <w:rPr>
                <w:rFonts w:ascii="Arial" w:cs="Arial" w:eastAsia="Arial" w:hAnsi="Arial"/>
                <w:sz w:val="13"/>
                <w:szCs w:val="13"/>
                <w:b w:val="1"/>
                <w:bCs w:val="1"/>
                <w:color w:val="auto"/>
              </w:rPr>
              <w:t>July 28,</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65,839</w:t>
            </w:r>
          </w:p>
        </w:tc>
        <w:tc>
          <w:tcPr>
            <w:tcW w:w="1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55,313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Contract services (inclusive of related party revenue of $12,335 and $11,563 for the three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months ended July 27, 2019 and July 28, 2018,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86,911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78,043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30,408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29,811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45,454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25,502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41,272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32,589</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8,709</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6,435</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8,388</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(1,347)</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96"/>
        </w:trPr>
        <w:tc>
          <w:tcPr>
            <w:tcW w:w="6540" w:type="dxa"/>
            <w:vAlign w:val="bottom"/>
          </w:tcPr>
          <w:p>
            <w:pPr>
              <w:spacing w:after="0"/>
              <w:rPr>
                <w:sz w:val="20"/>
                <w:szCs w:val="20"/>
                <w:color w:val="auto"/>
              </w:rPr>
            </w:pPr>
            <w:r>
              <w:rPr>
                <w:rFonts w:ascii="Arial" w:cs="Arial" w:eastAsia="Arial" w:hAnsi="Arial"/>
                <w:sz w:val="16"/>
                <w:szCs w:val="16"/>
                <w:color w:val="auto"/>
              </w:rPr>
              <w:t>Net income from continuing operations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17,099</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6"/>
                <w:szCs w:val="16"/>
                <w:color w:val="auto"/>
              </w:rPr>
              <w:t>Gain on sale of business, net of tax expense of $2,577</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from discontinued operations</w:t>
            </w: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6,993</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AeroVironment</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27,330</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color w:val="auto"/>
              </w:rPr>
              <w:t>Net income per share attributable to AeroVironment—Basic</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AeroVironment—Basic</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color w:val="auto"/>
              </w:rPr>
              <w:t>Net income per share attributable to AeroVironment—Diluted</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AeroVironment—Diluted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color w:val="auto"/>
              </w:rPr>
              <w:t>Weighted-average shares outstanding:</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23,745,199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23,574,595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tcPr>
          <w:p>
            <w:pPr>
              <w:ind w:left="3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24,069,933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24,010,303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6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July 27,</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July 28,</w:t>
            </w:r>
          </w:p>
        </w:tc>
        <w:tc>
          <w:tcPr>
            <w:tcW w:w="140" w:type="dxa"/>
            <w:vAlign w:val="bottom"/>
          </w:tcPr>
          <w:p>
            <w:pPr>
              <w:spacing w:after="0"/>
              <w:rPr>
                <w:sz w:val="10"/>
                <w:szCs w:val="10"/>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27,316</w:t>
            </w:r>
          </w:p>
        </w:tc>
        <w:tc>
          <w:tcPr>
            <w:tcW w:w="1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r>
      <w:tr>
        <w:trPr>
          <w:trHeight w:val="202"/>
        </w:trPr>
        <w:tc>
          <w:tcPr>
            <w:tcW w:w="664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investments, net of deferred tax expense of $51 for the three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months ended July 28, 2018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20"/>
                <w:szCs w:val="20"/>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14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AeroVironment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60" w:type="dxa"/>
            <w:vAlign w:val="bottom"/>
          </w:tcPr>
          <w:p>
            <w:pPr>
              <w:spacing w:after="0"/>
              <w:rPr>
                <w:sz w:val="13"/>
                <w:szCs w:val="13"/>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60" w:type="dxa"/>
            <w:vAlign w:val="bottom"/>
            <w:vMerge w:val="restart"/>
          </w:tcPr>
          <w:p>
            <w:pPr>
              <w:spacing w:after="0"/>
              <w:rPr>
                <w:sz w:val="20"/>
                <w:szCs w:val="20"/>
                <w:color w:val="auto"/>
              </w:rPr>
            </w:pPr>
            <w:r>
              <w:rPr>
                <w:rFonts w:ascii="Arial" w:cs="Arial" w:eastAsia="Arial" w:hAnsi="Arial"/>
                <w:sz w:val="14"/>
                <w:szCs w:val="14"/>
                <w:color w:val="auto"/>
              </w:rPr>
              <w:t>Balance at April 30, 2019</w:t>
            </w:r>
          </w:p>
        </w:tc>
        <w:tc>
          <w:tcPr>
            <w:tcW w:w="860" w:type="dxa"/>
            <w:vAlign w:val="bottom"/>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0" w:type="dxa"/>
            <w:vAlign w:val="bottom"/>
          </w:tcPr>
          <w:p>
            <w:pPr>
              <w:spacing w:after="0"/>
              <w:rPr>
                <w:sz w:val="1"/>
                <w:szCs w:val="1"/>
                <w:color w:val="auto"/>
              </w:rPr>
            </w:pPr>
          </w:p>
        </w:tc>
      </w:tr>
      <w:tr>
        <w:trPr>
          <w:trHeight w:val="123"/>
        </w:trPr>
        <w:tc>
          <w:tcPr>
            <w:tcW w:w="2860" w:type="dxa"/>
            <w:vAlign w:val="bottom"/>
            <w:vMerge w:val="continue"/>
          </w:tcPr>
          <w:p>
            <w:pPr>
              <w:spacing w:after="0"/>
              <w:rPr>
                <w:sz w:val="10"/>
                <w:szCs w:val="10"/>
                <w:color w:val="auto"/>
              </w:rPr>
            </w:pPr>
          </w:p>
        </w:tc>
        <w:tc>
          <w:tcPr>
            <w:tcW w:w="7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6"/>
              </w:rPr>
              <w:t>23,946,293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Adoption of ASU 2018-09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57,861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(11,975)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860" w:type="dxa"/>
            <w:vAlign w:val="bottom"/>
          </w:tcPr>
          <w:p>
            <w:pPr>
              <w:ind w:left="220"/>
              <w:spacing w:after="0"/>
              <w:rPr>
                <w:sz w:val="20"/>
                <w:szCs w:val="20"/>
                <w:color w:val="auto"/>
              </w:rPr>
            </w:pPr>
            <w:r>
              <w:rPr>
                <w:rFonts w:ascii="Arial" w:cs="Arial" w:eastAsia="Arial" w:hAnsi="Arial"/>
                <w:sz w:val="14"/>
                <w:szCs w:val="14"/>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Arial" w:cs="Arial" w:eastAsia="Arial" w:hAnsi="Arial"/>
                <w:sz w:val="14"/>
                <w:szCs w:val="14"/>
                <w:color w:val="auto"/>
              </w:rPr>
              <w:t>Balance at July 27, 2019</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23,990,459</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60" w:type="dxa"/>
            <w:vAlign w:val="bottom"/>
          </w:tcPr>
          <w:p>
            <w:pPr>
              <w:spacing w:after="0"/>
              <w:rPr>
                <w:sz w:val="24"/>
                <w:szCs w:val="2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Amount</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4"/>
                <w:szCs w:val="14"/>
                <w:color w:val="auto"/>
              </w:rPr>
              <w:t>Balance at April 30, 2018</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23,908,736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4"/>
                <w:szCs w:val="14"/>
                <w:color w:val="auto"/>
              </w:rPr>
              <w:t>Unrealized gain on investments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33,412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60" w:type="dxa"/>
            <w:vAlign w:val="bottom"/>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rPr>
                <w:sz w:val="20"/>
                <w:szCs w:val="20"/>
                <w:color w:val="auto"/>
              </w:rPr>
            </w:pPr>
            <w:r>
              <w:rPr>
                <w:rFonts w:ascii="Arial" w:cs="Arial" w:eastAsia="Arial" w:hAnsi="Arial"/>
                <w:sz w:val="14"/>
                <w:szCs w:val="14"/>
                <w:color w:val="auto"/>
              </w:rPr>
              <w:t>(13,453)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60" w:type="dxa"/>
            <w:vAlign w:val="bottom"/>
          </w:tcPr>
          <w:p>
            <w:pPr>
              <w:ind w:left="220"/>
              <w:spacing w:after="0" w:line="149"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6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(11,353)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8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Arial" w:cs="Arial" w:eastAsia="Arial" w:hAnsi="Arial"/>
                <w:sz w:val="14"/>
                <w:szCs w:val="14"/>
                <w:color w:val="auto"/>
              </w:rPr>
              <w:t>Balance at July 28, 2018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23,923,342</w:t>
            </w:r>
          </w:p>
        </w:tc>
        <w:tc>
          <w:tcPr>
            <w:tcW w:w="12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109"/>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2"/>
                <w:szCs w:val="12"/>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2"/>
                <w:szCs w:val="12"/>
                <w:color w:val="auto"/>
              </w:rPr>
            </w:pPr>
          </w:p>
        </w:tc>
        <w:tc>
          <w:tcPr>
            <w:tcW w:w="2540" w:type="dxa"/>
            <w:vAlign w:val="bottom"/>
            <w:gridSpan w:val="9"/>
          </w:tcPr>
          <w:p>
            <w:pPr>
              <w:spacing w:after="0"/>
              <w:rPr>
                <w:sz w:val="20"/>
                <w:szCs w:val="20"/>
                <w:color w:val="auto"/>
              </w:rPr>
            </w:pPr>
            <w:r>
              <w:rPr>
                <w:rFonts w:ascii="Arial" w:cs="Arial" w:eastAsia="Arial" w:hAnsi="Arial"/>
                <w:sz w:val="13"/>
                <w:szCs w:val="13"/>
                <w:b w:val="1"/>
                <w:bCs w:val="1"/>
                <w:color w:val="auto"/>
                <w:w w:val="94"/>
              </w:rPr>
              <w:t>Comprehensive AeroVironment 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3"/>
                <w:szCs w:val="13"/>
                <w:b w:val="1"/>
                <w:bCs w:val="1"/>
                <w:color w:val="auto"/>
                <w:w w:val="90"/>
              </w:rPr>
              <w:t>Equity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09"/>
              <w:spacing w:after="0"/>
              <w:rPr>
                <w:sz w:val="20"/>
                <w:szCs w:val="20"/>
                <w:color w:val="auto"/>
              </w:rPr>
            </w:pPr>
            <w:r>
              <w:rPr>
                <w:rFonts w:ascii="Arial" w:cs="Arial" w:eastAsia="Arial" w:hAnsi="Arial"/>
                <w:sz w:val="13"/>
                <w:szCs w:val="13"/>
                <w:b w:val="1"/>
                <w:bCs w:val="1"/>
                <w:color w:val="auto"/>
              </w:rPr>
              <w:t>Total</w:t>
            </w:r>
          </w:p>
        </w:tc>
      </w:tr>
      <w:tr>
        <w:trPr>
          <w:trHeight w:val="123"/>
        </w:trPr>
        <w:tc>
          <w:tcPr>
            <w:tcW w:w="20" w:type="dxa"/>
            <w:vAlign w:val="bottom"/>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176,216</w:t>
            </w:r>
          </w:p>
        </w:tc>
        <w:tc>
          <w:tcPr>
            <w:tcW w:w="140" w:type="dxa"/>
            <w:vAlign w:val="bottom"/>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286,351</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462,571</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462,575</w:t>
            </w:r>
          </w:p>
        </w:tc>
      </w:tr>
      <w:tr>
        <w:trPr>
          <w:trHeight w:val="149"/>
        </w:trPr>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r>
      <w:tr>
        <w:trPr>
          <w:trHeight w:val="149"/>
        </w:trPr>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17,110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17,099</w:t>
            </w:r>
          </w:p>
        </w:tc>
      </w:tr>
      <w:tr>
        <w:trPr>
          <w:trHeight w:val="149"/>
        </w:trPr>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r>
      <w:tr>
        <w:trPr>
          <w:trHeight w:val="149"/>
        </w:trPr>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3"/>
        </w:trPr>
        <w:tc>
          <w:tcPr>
            <w:tcW w:w="620" w:type="dxa"/>
            <w:vAlign w:val="bottom"/>
            <w:gridSpan w:val="2"/>
          </w:tcPr>
          <w:p>
            <w:pPr>
              <w:jc w:val="right"/>
              <w:spacing w:after="0"/>
              <w:rPr>
                <w:sz w:val="20"/>
                <w:szCs w:val="20"/>
                <w:color w:val="auto"/>
              </w:rPr>
            </w:pPr>
            <w:r>
              <w:rPr>
                <w:rFonts w:ascii="Arial" w:cs="Arial" w:eastAsia="Arial" w:hAnsi="Arial"/>
                <w:sz w:val="14"/>
                <w:szCs w:val="14"/>
                <w:color w:val="auto"/>
              </w:rPr>
              <w:t>(668)</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167"/>
        </w:trPr>
        <w:tc>
          <w:tcPr>
            <w:tcW w:w="620" w:type="dxa"/>
            <w:vAlign w:val="bottom"/>
            <w:gridSpan w:val="2"/>
          </w:tcPr>
          <w:p>
            <w:pPr>
              <w:jc w:val="right"/>
              <w:spacing w:after="0"/>
              <w:rPr>
                <w:sz w:val="20"/>
                <w:szCs w:val="20"/>
                <w:color w:val="auto"/>
              </w:rPr>
            </w:pPr>
            <w:r>
              <w:rPr>
                <w:rFonts w:ascii="Arial" w:cs="Arial" w:eastAsia="Arial" w:hAnsi="Arial"/>
                <w:sz w:val="14"/>
                <w:szCs w:val="14"/>
                <w:color w:val="auto"/>
              </w:rPr>
              <w:t>1,566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142"/>
        </w:trPr>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$ 177,207</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$ 304,126</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w:t>
            </w: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481,506</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481,499</w:t>
            </w: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ind w:right="109"/>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8"/>
                <w:szCs w:val="18"/>
                <w:color w:val="auto"/>
              </w:rPr>
            </w:pPr>
          </w:p>
        </w:tc>
        <w:tc>
          <w:tcPr>
            <w:tcW w:w="2540" w:type="dxa"/>
            <w:vAlign w:val="bottom"/>
            <w:gridSpan w:val="9"/>
          </w:tcPr>
          <w:p>
            <w:pPr>
              <w:spacing w:after="0"/>
              <w:rPr>
                <w:sz w:val="20"/>
                <w:szCs w:val="20"/>
                <w:color w:val="auto"/>
              </w:rPr>
            </w:pPr>
            <w:r>
              <w:rPr>
                <w:rFonts w:ascii="Arial" w:cs="Arial" w:eastAsia="Arial" w:hAnsi="Arial"/>
                <w:sz w:val="13"/>
                <w:szCs w:val="13"/>
                <w:b w:val="1"/>
                <w:bCs w:val="1"/>
                <w:color w:val="auto"/>
                <w:w w:val="94"/>
              </w:rPr>
              <w:t>Comprehensive AeroVironment 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0"/>
              </w:rPr>
              <w:t>Equity</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Total</w:t>
            </w:r>
          </w:p>
        </w:tc>
      </w:tr>
      <w:tr>
        <w:trPr>
          <w:trHeight w:val="211"/>
        </w:trPr>
        <w:tc>
          <w:tcPr>
            <w:tcW w:w="620" w:type="dxa"/>
            <w:vAlign w:val="bottom"/>
            <w:gridSpan w:val="2"/>
          </w:tcPr>
          <w:p>
            <w:pPr>
              <w:jc w:val="right"/>
              <w:spacing w:after="0"/>
              <w:rPr>
                <w:sz w:val="20"/>
                <w:szCs w:val="20"/>
                <w:color w:val="auto"/>
              </w:rPr>
            </w:pPr>
            <w:r>
              <w:rPr>
                <w:rFonts w:ascii="Arial" w:cs="Arial" w:eastAsia="Arial" w:hAnsi="Arial"/>
                <w:sz w:val="14"/>
                <w:szCs w:val="14"/>
                <w:color w:val="auto"/>
              </w:rPr>
              <w:t>170,139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238,913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409,033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409,056</w:t>
            </w: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27,330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27,316</w:t>
            </w: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62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7"/>
        </w:trPr>
        <w:tc>
          <w:tcPr>
            <w:tcW w:w="620" w:type="dxa"/>
            <w:vAlign w:val="bottom"/>
            <w:gridSpan w:val="2"/>
          </w:tcPr>
          <w:p>
            <w:pPr>
              <w:jc w:val="right"/>
              <w:spacing w:after="0"/>
              <w:rPr>
                <w:sz w:val="20"/>
                <w:szCs w:val="20"/>
                <w:color w:val="auto"/>
              </w:rPr>
            </w:pPr>
            <w:r>
              <w:rPr>
                <w:rFonts w:ascii="Arial" w:cs="Arial" w:eastAsia="Arial" w:hAnsi="Arial"/>
                <w:sz w:val="14"/>
                <w:szCs w:val="14"/>
                <w:color w:val="auto"/>
              </w:rPr>
              <w:t>(819)</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(819)</w:t>
            </w:r>
          </w:p>
        </w:tc>
      </w:tr>
      <w:tr>
        <w:trPr>
          <w:trHeight w:val="201"/>
        </w:trPr>
        <w:tc>
          <w:tcPr>
            <w:tcW w:w="2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r>
      <w:tr>
        <w:trPr>
          <w:trHeight w:val="183"/>
        </w:trPr>
        <w:tc>
          <w:tcPr>
            <w:tcW w:w="620" w:type="dxa"/>
            <w:vAlign w:val="bottom"/>
            <w:gridSpan w:val="2"/>
          </w:tcPr>
          <w:p>
            <w:pPr>
              <w:jc w:val="right"/>
              <w:spacing w:after="0"/>
              <w:rPr>
                <w:sz w:val="20"/>
                <w:szCs w:val="20"/>
                <w:color w:val="auto"/>
              </w:rPr>
            </w:pPr>
            <w:r>
              <w:rPr>
                <w:rFonts w:ascii="Arial" w:cs="Arial" w:eastAsia="Arial" w:hAnsi="Arial"/>
                <w:sz w:val="14"/>
                <w:szCs w:val="14"/>
                <w:color w:val="auto"/>
                <w:w w:val="89"/>
              </w:rPr>
              <w:t>$ 170,789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$ 266,243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437,050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437,059</w:t>
            </w: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-3301365</wp:posOffset>
            </wp:positionV>
            <wp:extent cx="578866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8660" cy="10287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-3103880</wp:posOffset>
            </wp:positionV>
            <wp:extent cx="578866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8660" cy="9461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-2915285</wp:posOffset>
            </wp:positionV>
            <wp:extent cx="578866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8660" cy="9461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-2726690</wp:posOffset>
            </wp:positionV>
            <wp:extent cx="578866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8660" cy="9461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-2538095</wp:posOffset>
            </wp:positionV>
            <wp:extent cx="578866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8660" cy="18859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-2254885</wp:posOffset>
            </wp:positionV>
            <wp:extent cx="5788660"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8660" cy="11176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-1440180</wp:posOffset>
            </wp:positionV>
            <wp:extent cx="57886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8660" cy="13716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-1165860</wp:posOffset>
            </wp:positionV>
            <wp:extent cx="57886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8660" cy="13716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-891540</wp:posOffset>
            </wp:positionV>
            <wp:extent cx="57886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8660" cy="13716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-616585</wp:posOffset>
            </wp:positionV>
            <wp:extent cx="57886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8660" cy="13716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-290830</wp:posOffset>
            </wp:positionV>
            <wp:extent cx="57886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86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140"/>
            <w:col w:w="4740"/>
          </w:cols>
          <w:pgMar w:left="1420" w:top="517" w:right="141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July 27,</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July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17,099</w:t>
            </w:r>
          </w:p>
        </w:tc>
        <w:tc>
          <w:tcPr>
            <w:tcW w:w="8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business, net of tax</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from continuing operations</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20,323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620" w:type="dxa"/>
            <w:vAlign w:val="bottom"/>
          </w:tcPr>
          <w:p>
            <w:pPr>
              <w:spacing w:after="0" w:line="130" w:lineRule="exact"/>
              <w:rPr>
                <w:sz w:val="20"/>
                <w:szCs w:val="20"/>
                <w:color w:val="auto"/>
              </w:rPr>
            </w:pPr>
            <w:r>
              <w:rPr>
                <w:rFonts w:ascii="Arial" w:cs="Arial" w:eastAsia="Arial" w:hAnsi="Arial"/>
                <w:sz w:val="14"/>
                <w:szCs w:val="14"/>
                <w:color w:val="auto"/>
                <w:w w:val="98"/>
              </w:rPr>
              <w:t>Adjustments to reconcile net income from continuing operations to cash provided by operating activities from</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20" w:type="dxa"/>
            <w:vAlign w:val="bottom"/>
          </w:tcPr>
          <w:p>
            <w:pPr>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Loss from equity method investment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Other non-cash expense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Losses (gains) on foreign currency transactions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sale of property and equipment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(42,998)</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(9,893)</w:t>
            </w:r>
          </w:p>
        </w:tc>
        <w:tc>
          <w:tcPr>
            <w:tcW w:w="0" w:type="dxa"/>
            <w:vAlign w:val="bottom"/>
          </w:tcPr>
          <w:p>
            <w:pPr>
              <w:spacing w:after="0"/>
              <w:rPr>
                <w:sz w:val="1"/>
                <w:szCs w:val="1"/>
                <w:color w:val="auto"/>
              </w:rPr>
            </w:pPr>
          </w:p>
        </w:tc>
      </w:tr>
      <w:tr>
        <w:trPr>
          <w:trHeight w:val="149"/>
        </w:trPr>
        <w:tc>
          <w:tcPr>
            <w:tcW w:w="662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 of continuing operations</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3,113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 net of cash acquired</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(18,641)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31,994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65,035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(70,463)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(81,646)</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investing activities from continuing operations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49"/>
        </w:trPr>
        <w:tc>
          <w:tcPr>
            <w:tcW w:w="66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Exercise of stock options</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 from continuing operations</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(6,609)</w:t>
            </w: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 of discontinued operations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(7,040)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(30,614)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27,271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172,708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143,517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142,094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170,788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4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294</w:t>
            </w:r>
          </w:p>
        </w:tc>
        <w:tc>
          <w:tcPr>
            <w:tcW w:w="8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line="149" w:lineRule="exact"/>
              <w:rPr>
                <w:sz w:val="20"/>
                <w:szCs w:val="20"/>
                <w:color w:val="auto"/>
              </w:rPr>
            </w:pPr>
            <w:r>
              <w:rPr>
                <w:rFonts w:ascii="Arial" w:cs="Arial" w:eastAsia="Arial" w:hAnsi="Arial"/>
                <w:sz w:val="14"/>
                <w:szCs w:val="14"/>
                <w:color w:val="auto"/>
                <w:w w:val="97"/>
              </w:rPr>
              <w:t>Unrealized gain on investments, net of deferred tax expense of $51 for the three months ended July 28, 2018</w:t>
            </w:r>
          </w:p>
        </w:tc>
        <w:tc>
          <w:tcPr>
            <w:tcW w:w="4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4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662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4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1,253</w:t>
            </w:r>
          </w:p>
        </w:tc>
        <w:tc>
          <w:tcPr>
            <w:tcW w:w="80" w:type="dxa"/>
            <w:vAlign w:val="bottom"/>
          </w:tcPr>
          <w:p>
            <w:pPr>
              <w:spacing w:after="0"/>
              <w:rPr>
                <w:sz w:val="15"/>
                <w:szCs w:val="15"/>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27, 2019 are not necessarily indicative of the results for the full year ending April 30, 2020. For further information, refer to the consolidated financial statements and footnotes thereto for the year ended April 30, 2019, included in the Company’s Annual Report on Form 10-K.</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 —Equity Method Investments for further details.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18— Business Acquisitions for further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Effective May 1, 2019, the Company adopted ASU 2016-02, Leases (Topic 842), along with several additional clarification ASU’s issued during 2018, collectively the “New Lease Standard”. This New Lease Standard requires the</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lessee to recognize the assets and liabilities for the rights and obligations created by leases. The Company elected to adopt the New Lease Standard using the modified retrospective transition approach through a cumulative-effect adjustment to the opening balance of retained earnings in the period of adoption. As such the Company did not recast comparative consolidated financial statements. The Company also elected the package of practical expedients which allows the Company to not reassess existing or expired contracts for existence of a lease, lease classification, or amortization of previously capitalized initial direct leasing cost. Additionally, the Company elected the short-term lease exception to not record right-of-use assets and lease liabilities for leases with a term less than 12 months and the practical expedient to not separate lease and non-lease components. Adoption of the New Lease Standard resulted in the recording of lease assets and lease liabilities on the consolidated balance sheet with no cumulative impact to retained earnings and did not have a material impact on the consolidated statement of cash flows. Refer to Note 10—Leases for additional information required as part of the adoption of the New Lease Standard.</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July 2018, the FASB issued ASU 2018-09, “Codification Improvements” (“ASU 2018-09”). ASU 2018-09 provides technical corrections, clarifications and other improvements across a variety of accounting topics. Among the clarifications, ASU 2018-09 clarifies that an entity should recognize excess tax benefits in the period in which the amount of the deduction is determined. This includes deductions that are taken on the entity’s return in a different period from when the event that gives rise to the tax deduction occurs and the uncertainty about whether the entity will receive a tax deduction and the amount of the tax deduction is resolved. Certain amendments were applicable immediately while others provide transition guidance and are effective in the Company’s first quarter of fiscal year 2020. The Company adopted ASU 2018-09 on May 1, 2019 using the modified retrospective method. The adoption of ASU 2018-09 resulted in a cumulative adjustment to increase retained earnings by $665,000 at May 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Specifically, the Company’s existing intangible assets have been reclassified from other assets to intangibles, net on the consolidated balance sheet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classifies cash accounts which are not available for general use as restricted cash. Pursuant to the terms of the Pulse Purchase Agreement, the Company maintains an escrow account to satisfy the payment of contingent consideration due to the sellers if certain objectives are met. The restricted funds in the escrow account are recorded in other assets on the consolidated balance sheet. As of July 27, 2019 restricted cash was $5,000,000. The Company had no restricted cash as of April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99"/>
        <w:spacing w:after="0" w:line="308" w:lineRule="auto"/>
        <w:rPr>
          <w:sz w:val="20"/>
          <w:szCs w:val="20"/>
          <w:color w:val="auto"/>
        </w:rPr>
      </w:pPr>
      <w:r>
        <w:rPr>
          <w:rFonts w:ascii="Arial" w:cs="Arial" w:eastAsia="Arial" w:hAnsi="Arial"/>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7" w:lineRule="exact"/>
        <w:rPr>
          <w:sz w:val="20"/>
          <w:szCs w:val="20"/>
          <w:color w:val="auto"/>
        </w:rPr>
      </w:pPr>
    </w:p>
    <w:p>
      <w:pPr>
        <w:ind w:right="19"/>
        <w:spacing w:after="0" w:line="268" w:lineRule="auto"/>
        <w:rPr>
          <w:sz w:val="20"/>
          <w:szCs w:val="20"/>
          <w:color w:val="auto"/>
        </w:rPr>
      </w:pPr>
      <w:r>
        <w:rPr>
          <w:rFonts w:ascii="Arial" w:cs="Arial" w:eastAsia="Arial" w:hAnsi="Arial"/>
          <w:sz w:val="17"/>
          <w:szCs w:val="17"/>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88" w:lineRule="exact"/>
        <w:rPr>
          <w:sz w:val="20"/>
          <w:szCs w:val="20"/>
          <w:color w:val="auto"/>
        </w:rPr>
      </w:pPr>
    </w:p>
    <w:p>
      <w:pPr>
        <w:ind w:right="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right="1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color w:val="auto"/>
        </w:rPr>
        <w:t>On July 27, 2019, the Company had approximately $165,237,000 of remaining performance obligations under fully funded contracts with its customers, which the Company also refers to as funded backlog. The Company currently expects to recognize approximately 91% of the remaining performance obligations as revenue in fiscal 2020, an additional 9% in fiscal 2021, and the balance thereafter.</w:t>
      </w:r>
    </w:p>
    <w:p>
      <w:pPr>
        <w:spacing w:after="0" w:line="187" w:lineRule="exact"/>
        <w:rPr>
          <w:sz w:val="20"/>
          <w:szCs w:val="20"/>
          <w:color w:val="auto"/>
        </w:rPr>
      </w:pPr>
    </w:p>
    <w:p>
      <w:pPr>
        <w:ind w:right="13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5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7" w:lineRule="exact"/>
        <w:rPr>
          <w:sz w:val="20"/>
          <w:szCs w:val="20"/>
          <w:color w:val="auto"/>
        </w:rPr>
      </w:pPr>
    </w:p>
    <w:p>
      <w:pPr>
        <w:ind w:right="279"/>
        <w:spacing w:after="0" w:line="312"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nature of the Company’s contracts gives rise to several types of variable consideration, including penalty fees and</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month period ended July 27, 2019 or the three month period ended July 28, 2018. No adjustment on any one contract was material to the Company’s unaudited consolidated financial statements for the three month period ended July 27, 2019 or the three month period ended and July 28,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July 27,</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July 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tcBorders>
              <w:bottom w:val="single" w:sz="8" w:color="CCEEFF"/>
            </w:tcBorders>
            <w:vMerge w:val="continue"/>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Small UAS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TMS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3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July 27,</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7"/>
              </w:rPr>
              <w:t>July 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tcBorders>
              <w:bottom w:val="single" w:sz="8" w:color="CCEEFF"/>
            </w:tcBorders>
            <w:vMerge w:val="continue"/>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FFP</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CPFF</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3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revenue</w:t>
            </w:r>
          </w:p>
        </w:tc>
        <w:tc>
          <w:tcPr>
            <w:tcW w:w="3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80" w:type="dxa"/>
            <w:vAlign w:val="bottom"/>
            <w:vMerge w:val="restart"/>
          </w:tcPr>
          <w:p>
            <w:pPr>
              <w:jc w:val="right"/>
              <w:ind w:right="23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2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27,</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6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49,134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35,908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Non-U.S. government</w:t>
            </w:r>
          </w:p>
        </w:tc>
        <w:tc>
          <w:tcPr>
            <w:tcW w:w="2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37,777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42,135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86,911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78,043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2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27,</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July 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6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38,808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35,352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2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48,103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42,691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86,911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78,043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month period ended July 27, 2019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recognized for the three month periods ended July 27, 2019 and July 28, 2018 that was included in contract liability balances at the beginning of each year were $830,000 and $1,548,000,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Company’s investments are accounted for as held-to-maturity and available-for-sale and reported at amortized cost and cost less impairment, respectively. The Company has elected to measure available-for-sale investments that do not</w:t>
      </w:r>
    </w:p>
    <w:p>
      <w:pPr>
        <w:sectPr>
          <w:pgSz w:w="11900" w:h="16838" w:orient="portrait"/>
          <w:cols w:equalWidth="0" w:num="1">
            <w:col w:w="9080"/>
          </w:cols>
          <w:pgMar w:left="1420" w:top="517" w:right="1399"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517" w:right="13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have readily determinable fair values at cost minus impairment, if any, adjusted for changes resulting from observable price changes in orderly transactions for the identical or a similar investment of the same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revenue recognition policy calls for revenue recognized on all CPFF or T&amp;M government contracts to be recorded at actual rates to the extent it is probable that a significant reversal in the amount of cumulative revenue recognized will not occur. During the fiscal year ended April 30, 2019, the Company settled rates for its incurred cost claims with the DCAA for fiscal years 2016 and 2017 without payment of any consideration. At July 27, 2019 and April 30, 2019, the Company had $345,000 and $93,000 reserved for incurred cost claim audits,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 Assets — Acquired in Business Combinations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in-process research and development, customer relationships, trademarks and tradenames, and non-compete agreements. The Company determines the appropriate useful life by performing an analysis of expected cash flows based on historical experience of the acquired businesses and the Company’s comparable businesses. Intangible assets are amortized over their estimated useful lives using the straight-line method which approximates the pattern in which the economic benefits are consumed.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Goodwill is tested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vMerge w:val="restart"/>
          </w:tcPr>
          <w:p>
            <w:pPr>
              <w:spacing w:after="0"/>
              <w:rPr>
                <w:sz w:val="20"/>
                <w:szCs w:val="20"/>
                <w:color w:val="auto"/>
              </w:rPr>
            </w:pPr>
            <w:r>
              <w:rPr>
                <w:rFonts w:ascii="Arial" w:cs="Arial" w:eastAsia="Arial" w:hAnsi="Arial"/>
                <w:sz w:val="18"/>
                <w:szCs w:val="18"/>
                <w:color w:val="auto"/>
              </w:rPr>
              <w:t>Income from</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27, 2019</w:t>
            </w:r>
          </w:p>
        </w:tc>
        <w:tc>
          <w:tcPr>
            <w:tcW w:w="1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28, 2018</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Continuing operations attributable to AeroVironment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AeroVironment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Denominator for basic earnings per share:</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23,745,199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23,574,595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3"/>
              </w:rPr>
              <w:t>Dilutive effect of employee stock options, restricted stock and restricted stock units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435,708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24,069,933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24,010,303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Potentially dilutive shares not included in the computation of diluted weighted-average common shares because their effect would have been anti-dilutive were 3,675 and 25,392 for the three months ended July 27, 2019 and July 28,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Entities are required to apply the amendments in this update using a modified retrospective approach through a cumulative-effect adjustment to retained earnings as of the effective date. The Company is evaluating the potential impact of this adoption on its consolidated financial statements.</w:t>
      </w:r>
    </w:p>
    <w:p>
      <w:pPr>
        <w:spacing w:after="0" w:line="17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removes or modifies current disclosures while adding certain new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Computing Arrangement That Is a Service Contract </w:t>
      </w:r>
      <w:r>
        <w:rPr>
          <w:rFonts w:ascii="Arial" w:cs="Arial" w:eastAsia="Arial" w:hAnsi="Arial"/>
          <w:sz w:val="18"/>
          <w:szCs w:val="18"/>
          <w:color w:val="auto"/>
        </w:rPr>
        <w:t>(Topic 350-40)</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allows for capitalization of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certain cloud computing arrangements. The guidance is effective for fiscal years beginning after December 15, 2019 and interim periods therein, with early adoption permitted. The Company is evaluating the potential impact of this adoption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which has been recorded in gain on sale of business, net of tax in the consolidated statements of operations for the three months ended July 28, 2018. The Company has disputed $1,085,000 of Webasto’s working capital adjustment claim, which is being submitted to an independent accounting firm for resolution pursuant to the terms of Purchase Agreement. No amounts have been recorded in the consolidated financial statements related to the additional working capital dispute as the Company has assessed the likelihood of a loss to be less than probable.</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entitled to receive additional cash consideration of $6,500,000 (the “Holdback”) upon tendering consents to assignment of two remaining customer contracts to Webasto. The Holdback was not recorded in the</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Company’s consolidated financial statements as the amount was not realized or realizable as of July 27, 2019. The Company’s satisfaction of the requirements for the payment of the Holdback is currently in dispute.</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$444,000 and $399,000 has been recorded in other income, net in the consolidated statements of operations for three months ended July 27, 2019 and July 28, 2018, respectively.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5"/>
              </w:rPr>
              <w:t>Loss from discontinued operations before income taxes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3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Gain on sale of business, net of tax expense of $2,577</w:t>
            </w:r>
          </w:p>
        </w:tc>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3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20" w:type="dxa"/>
            <w:vAlign w:val="bottom"/>
            <w:vMerge w:val="restart"/>
          </w:tcPr>
          <w:p>
            <w:pPr>
              <w:jc w:val="right"/>
              <w:ind w:right="31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517" w:right="1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27,</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63,205</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20" w:type="dxa"/>
            <w:vAlign w:val="bottom"/>
            <w:shd w:val="clear" w:color="auto" w:fill="CCEEFF"/>
          </w:tcPr>
          <w:p>
            <w:pPr>
              <w:spacing w:after="0"/>
              <w:rPr>
                <w:sz w:val="18"/>
                <w:szCs w:val="18"/>
                <w:color w:val="auto"/>
              </w:rPr>
            </w:pPr>
          </w:p>
        </w:tc>
      </w:tr>
      <w:tr>
        <w:trPr>
          <w:trHeight w:val="250"/>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held-to-maturity short-term investments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163,634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150,487</w:t>
            </w:r>
          </w:p>
        </w:tc>
        <w:tc>
          <w:tcPr>
            <w:tcW w:w="120" w:type="dxa"/>
            <w:vAlign w:val="bottom"/>
            <w:tcBorders>
              <w:bottom w:val="single" w:sz="8" w:color="CCEEFF"/>
            </w:tcBorders>
          </w:tcPr>
          <w:p>
            <w:pPr>
              <w:spacing w:after="0"/>
              <w:rPr>
                <w:sz w:val="21"/>
                <w:szCs w:val="21"/>
                <w:color w:val="auto"/>
              </w:rPr>
            </w:pP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limited partnership fund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available-for-sale investments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r>
      <w:tr>
        <w:trPr>
          <w:trHeight w:val="210"/>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July 27, 2019 and April 30, 2019, the balance of held-to-maturity securities consisted of state and local government municipal securities, U.S. government securities, U.S. government agency securities, and highly rated corporate bonds. Interest earned from these investments is recorded in interest income.</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27,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July 27, 2019</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82,695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165,828</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April 30, 2019</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0"/>
                <w:szCs w:val="10"/>
                <w:color w:val="auto"/>
              </w:rPr>
            </w:pPr>
          </w:p>
        </w:tc>
        <w:tc>
          <w:tcPr>
            <w:tcW w:w="11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159,873</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July 27,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163,634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80" w:type="dxa"/>
            <w:vAlign w:val="bottom"/>
            <w:tcBorders>
              <w:bottom w:val="single" w:sz="8" w:color="CCEEFF"/>
            </w:tcBorders>
          </w:tcPr>
          <w:p>
            <w:pPr>
              <w:spacing w:after="0"/>
              <w:rPr>
                <w:sz w:val="18"/>
                <w:szCs w:val="18"/>
                <w:color w:val="auto"/>
              </w:rPr>
            </w:pPr>
          </w:p>
        </w:tc>
      </w:tr>
      <w:tr>
        <w:trPr>
          <w:trHeight w:val="210"/>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165,828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165,985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three months ended July 27, 2019, the Company made its initial capital contribution to a limited partnership fund. This investment does not have readily determinable fair values. The Company has elected to measure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long-term investments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April 30, 2019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Changes in</w:t>
            </w:r>
          </w:p>
        </w:tc>
        <w:tc>
          <w:tcPr>
            <w:tcW w:w="16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 or</w:t>
            </w: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July 27, 2019</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Reflected in Net Income</w:t>
            </w:r>
          </w:p>
        </w:tc>
        <w:tc>
          <w:tcPr>
            <w:tcW w:w="1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Purchases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 limited partnership</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$ 2,693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Total investments without readily determinable fair values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$ 2,693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April 30, 2018, the balance of available-for-sale auction rate securities consisted of two investment grade auction rate municipal bonds with maturities ranging from 1 to 16 years. These investments have characteristics similar to short term investments. During the three months ended July 28, 2018, the remaining investment grade auction rate municipal bonds were redeemed at par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40" w:hanging="318"/>
        <w:spacing w:after="0" w:line="277"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20" w:right="320" w:hanging="318"/>
        <w:spacing w:after="0" w:line="264"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00" w:hanging="298"/>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July 27,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4,295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4,295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7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Business acquisition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gains (realized or 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July 27, 2019</w:t>
            </w: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72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or losses relating to assets still held at July 27, 2019</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Pursuant to the Pulse Purchase Agreement, the sellers may receive up to a maximum of $5,000,000 in additional cash consideration (“contingent consideration”), if specific research and development milestones are achieved by December 10, 2021. The contingent consideration was valued using a probability weighted discounted cash flow model. The analysis considered, among other items, contractual terms of the Pulse Purchase Agreement, the Company’s discount rate, the timing of expected future cash flows and the probability that the milestones required for payment of the contingent consideration will be achieved. See Note 18—Business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19,162</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25,926</w:t>
            </w:r>
          </w:p>
        </w:tc>
        <w:tc>
          <w:tcPr>
            <w:tcW w:w="12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Inventories, gross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(7,824)</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54,056</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December of 2017, the Company and SoftBank formed a joint venture, HAPSMobile, which is a Japanese corporation. As of July 27, 2019, the Company’s ownership stake in HAPSMobile was 5%, with the remaining 95% held</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During the three months ended July 27, 2019 the Company did not purchase any additional shares in the HAPSMobile joint venture, and as a result its ownership percentage was diluted from 10% to approximately 5%.</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months ended July 27, 2019 and July 28, 2018, the Company recorded its ownership percentage of the net loss of HAPSMobile, or $1,347,000 and $602,000, respectively, in equity method investment loss, net of tax in the unaudited consolidated statement of operations. At July 27, 2019 and April 30, 2019, the carrying value of the investment in HAPSMobile of $9,002,000 and $5,612,000, respectively, was recorded in other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months ended July 27, 2019 and July 28, 2018, respectively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July 27,</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6"/>
              <w:spacing w:after="0" w:line="119" w:lineRule="exact"/>
              <w:rPr>
                <w:sz w:val="20"/>
                <w:szCs w:val="20"/>
                <w:color w:val="auto"/>
              </w:rPr>
            </w:pPr>
            <w:r>
              <w:rPr>
                <w:rFonts w:ascii="Arial" w:cs="Arial" w:eastAsia="Arial" w:hAnsi="Arial"/>
                <w:sz w:val="13"/>
                <w:szCs w:val="13"/>
                <w:b w:val="1"/>
                <w:bCs w:val="1"/>
                <w:color w:val="auto"/>
              </w:rPr>
              <w:t>July 28,</w:t>
            </w:r>
          </w:p>
        </w:tc>
        <w:tc>
          <w:tcPr>
            <w:tcW w:w="200" w:type="dxa"/>
            <w:vAlign w:val="bottom"/>
          </w:tcPr>
          <w:p>
            <w:pPr>
              <w:spacing w:after="0"/>
              <w:rPr>
                <w:sz w:val="10"/>
                <w:szCs w:val="10"/>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Warranty expense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r>
      <w:tr>
        <w:trPr>
          <w:trHeight w:val="210"/>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months ended July 28, 2018, the Company revised its estimates based on the results of additional engineering studies and recorded incremental warranty reserve charges totaling $712,000 related to the estimated costs to repair a component of certain small UAS that were delivered in prior periods. At July 27, 2019, the total remaining warranty reserve related to the estimated costs to repair the impacted UAS was $222,000. As of July 27, 2019 a total of $254,000 of costs related to this warranty have been incurred.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Intangibles, gross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Intangibles, net</w:t>
            </w:r>
          </w:p>
        </w:tc>
        <w:tc>
          <w:tcPr>
            <w:tcW w:w="2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amortization period at July 27, 2019 and April 30, 2019 was five years and one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three months ended July 27, 2019 and July 28, 2018 was $552,000 and $69,000, respectively.</w:t>
      </w:r>
    </w:p>
    <w:p>
      <w:pPr>
        <w:spacing w:after="0" w:line="2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Technology, in-process research and development, customer relationships, trademarks and tradenames, and non-compete agreements were recognized in conjunction with the Company’s acquisition of Pulse on June 10, 2019. Refer to Note 18— Business Acquisitions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30"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Year ending</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Company’s goodwill balance (in thousands):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Balance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 to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July 27, 2019</w:t>
      </w:r>
    </w:p>
    <w:p>
      <w:pPr>
        <w:spacing w:after="0" w:line="20" w:lineRule="exact"/>
        <w:rPr>
          <w:sz w:val="20"/>
          <w:szCs w:val="20"/>
          <w:color w:val="auto"/>
        </w:rPr>
      </w:pPr>
      <w:r>
        <w:rPr>
          <w:sz w:val="20"/>
          <w:szCs w:val="20"/>
          <w:color w:val="auto"/>
        </w:rPr>
        <w:br w:type="column"/>
      </w:r>
    </w:p>
    <w:p>
      <w:pPr>
        <w:ind w:left="711" w:hanging="711"/>
        <w:spacing w:after="0"/>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681</w:t>
      </w:r>
    </w:p>
    <w:p>
      <w:pPr>
        <w:spacing w:after="0" w:line="7"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2,860</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3,102</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2,961</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2,834</w:t>
      </w:r>
    </w:p>
    <w:p>
      <w:pPr>
        <w:spacing w:after="0" w:line="9" w:lineRule="exact"/>
        <w:rPr>
          <w:sz w:val="20"/>
          <w:szCs w:val="20"/>
          <w:color w:val="auto"/>
        </w:rPr>
      </w:pPr>
    </w:p>
    <w:p>
      <w:pPr>
        <w:ind w:left="491" w:hanging="491"/>
        <w:spacing w:after="0"/>
        <w:tabs>
          <w:tab w:leader="none" w:pos="491"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68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68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668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51" w:hanging="646"/>
        <w:spacing w:after="0"/>
        <w:tabs>
          <w:tab w:leader="none" w:pos="1051"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11"/>
        <w:spacing w:after="0"/>
        <w:rPr>
          <w:rFonts w:ascii="Arial" w:cs="Arial" w:eastAsia="Arial" w:hAnsi="Arial"/>
          <w:sz w:val="18"/>
          <w:szCs w:val="18"/>
          <w:color w:val="auto"/>
        </w:rPr>
      </w:pPr>
      <w:r>
        <w:rPr>
          <w:rFonts w:ascii="Arial" w:cs="Arial" w:eastAsia="Arial" w:hAnsi="Arial"/>
          <w:sz w:val="15"/>
          <w:szCs w:val="15"/>
          <w:color w:val="auto"/>
        </w:rPr>
        <w:t>8,080</w:t>
      </w:r>
    </w:p>
    <w:p>
      <w:pPr>
        <w:spacing w:after="0" w:line="43" w:lineRule="exact"/>
        <w:rPr>
          <w:rFonts w:ascii="Arial" w:cs="Arial" w:eastAsia="Arial" w:hAnsi="Arial"/>
          <w:sz w:val="18"/>
          <w:szCs w:val="18"/>
          <w:color w:val="auto"/>
        </w:rPr>
      </w:pPr>
    </w:p>
    <w:p>
      <w:pPr>
        <w:ind w:left="105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11" w:hanging="306"/>
        <w:spacing w:after="0"/>
        <w:tabs>
          <w:tab w:leader="none" w:pos="711" w:val="left"/>
        </w:tabs>
        <w:numPr>
          <w:ilvl w:val="0"/>
          <w:numId w:val="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53340</wp:posOffset>
            </wp:positionV>
            <wp:extent cx="488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-108585</wp:posOffset>
            </wp:positionV>
            <wp:extent cx="488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7169" w:space="720"/>
            <w:col w:w="1171"/>
          </w:cols>
          <w:pgMar w:left="1420" w:top="517" w:right="1419" w:bottom="1440" w:gutter="0" w:footer="0" w:header="0"/>
          <w:type w:val="continuous"/>
        </w:sectPr>
      </w:pPr>
    </w:p>
    <w:p>
      <w:pPr>
        <w:spacing w:after="0" w:line="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of goodwill is attributable to the acquisition of Pulse. Refer to Note 18—Business Acquisitions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leases certain buildings, land and equipment. Under the New Lease Standard,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ectPr>
          <w:pgSz w:w="11900" w:h="16838" w:orient="portrait"/>
          <w:cols w:equalWidth="0" w:num="1">
            <w:col w:w="9060"/>
          </w:cols>
          <w:pgMar w:left="1420" w:top="517" w:right="141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does not have any finance leases. The Company does not have any material restrictions or covenants in its lease agreements, sale-leaseback transactions, land easements or residual value guarantees.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July 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Short term lease cost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July 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48"/>
        </w:trPr>
        <w:tc>
          <w:tcPr>
            <w:tcW w:w="6740" w:type="dxa"/>
            <w:vAlign w:val="bottom"/>
            <w:gridSpan w:val="2"/>
          </w:tcPr>
          <w:p>
            <w:pPr>
              <w:jc w:val="right"/>
              <w:ind w:right="2030"/>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July 27, 2019 were as follows (in thousands):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Maturities of operating lease liabilities as of April 30, 2019 were as follows:</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and adjustments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Accumulated Other</w:t>
            </w:r>
          </w:p>
        </w:tc>
      </w:tr>
      <w:tr>
        <w:trPr>
          <w:trHeight w:val="17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$0 deferred taxes, as of April 30, 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Reclassifications out of accumulated other comprehensive income, net of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 net of $0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color w:val="auto"/>
              </w:rPr>
              <w:t>Balance, net of $0 deferred taxes, as of July 27, 2019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Customer-Funded Research &amp; Development</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$15,120,000 and $17,117,000 for the three months ended July 27, 2019 and July 28,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Incentive Awards</w:t>
      </w:r>
    </w:p>
    <w:p>
      <w:pPr>
        <w:spacing w:after="0" w:line="2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w:t>
      </w:r>
    </w:p>
    <w:p>
      <w:pPr>
        <w:sectPr>
          <w:pgSz w:w="11900" w:h="16838" w:orient="portrait"/>
          <w:cols w:equalWidth="0" w:num="1">
            <w:col w:w="9060"/>
          </w:cols>
          <w:pgMar w:left="1420" w:top="517" w:right="14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19"/>
        <w:spacing w:after="0" w:line="302" w:lineRule="auto"/>
        <w:rPr>
          <w:sz w:val="20"/>
          <w:szCs w:val="20"/>
          <w:color w:val="auto"/>
        </w:rPr>
      </w:pPr>
      <w:r>
        <w:rPr>
          <w:rFonts w:ascii="Arial" w:cs="Arial" w:eastAsia="Arial" w:hAnsi="Arial"/>
          <w:sz w:val="16"/>
          <w:szCs w:val="16"/>
          <w:color w:val="auto"/>
        </w:rPr>
        <w:t>PRSUs will be made in fully-vested shares of common stock. For the three months ended July 27, 2019, the Company recorded $131,000 of compensation expense related to the Fiscal 2020 LTIP. The Company recorded no compensation expense related to the Fiscal 2020 LTIP for the three months ended July 28, 2018. At July 27, 2019, the maximum compensation expense that may be recorded for the performance-based portion of the Fiscal 2020 LTIP is $4,696,000.</w:t>
      </w:r>
    </w:p>
    <w:p>
      <w:pPr>
        <w:spacing w:after="0" w:line="154" w:lineRule="exact"/>
        <w:rPr>
          <w:sz w:val="20"/>
          <w:szCs w:val="20"/>
          <w:color w:val="auto"/>
        </w:rPr>
      </w:pPr>
    </w:p>
    <w:p>
      <w:pPr>
        <w:ind w:right="39"/>
        <w:spacing w:after="0" w:line="268" w:lineRule="auto"/>
        <w:rPr>
          <w:sz w:val="20"/>
          <w:szCs w:val="20"/>
          <w:color w:val="auto"/>
        </w:rPr>
      </w:pPr>
      <w:r>
        <w:rPr>
          <w:rFonts w:ascii="Arial" w:cs="Arial" w:eastAsia="Arial" w:hAnsi="Arial"/>
          <w:sz w:val="17"/>
          <w:szCs w:val="17"/>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July 27, 2019 and July 28, 2018, the Company recorded $33,000 and $44,000 of compensation expense related to the Fiscal 2019 LTIP, respectively. At July 27, 2019, the maximum compensation expense that may be recorded for the performance-based portion of the Fiscal 2019 LTIP is $2,933,000.</w:t>
      </w:r>
    </w:p>
    <w:p>
      <w:pPr>
        <w:spacing w:after="0" w:line="188" w:lineRule="exact"/>
        <w:rPr>
          <w:sz w:val="20"/>
          <w:szCs w:val="20"/>
          <w:color w:val="auto"/>
        </w:rPr>
      </w:pPr>
    </w:p>
    <w:p>
      <w:pPr>
        <w:ind w:right="39"/>
        <w:spacing w:after="0" w:line="268" w:lineRule="auto"/>
        <w:rPr>
          <w:sz w:val="20"/>
          <w:szCs w:val="20"/>
          <w:color w:val="auto"/>
        </w:rPr>
      </w:pPr>
      <w:r>
        <w:rPr>
          <w:rFonts w:ascii="Arial" w:cs="Arial" w:eastAsia="Arial" w:hAnsi="Arial"/>
          <w:sz w:val="17"/>
          <w:szCs w:val="17"/>
          <w:color w:val="auto"/>
        </w:rPr>
        <w:t>During the three months ended July 29, 2017, the Company also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months ended July 27, 2019 and July 28, 2018, the Company recorded $8,000 and $490,000 of compensation expense related to the Fiscal 2018 LTIP, respectively. At July 27, 2019, the maximum compensation expense that may be recorded for the performance-based portion of the Fiscal 2018 LTIP is $2,180,000.</w:t>
      </w:r>
    </w:p>
    <w:p>
      <w:pPr>
        <w:spacing w:after="0" w:line="188"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During the three months ended July 29, 2017, the Company also granted awards under the Restated 2006 Plan to key employees (“Fiscal 2017 LTIP”). Awards under the Fiscal 2017 LTIP consist of: (i) time-based restricted stock awards which vested in equal tranches in July 2017, July 2018 and July 2019, and (ii) PRSUs which vested based on the Company’s achievement of revenue and operating income targets for the three-year period ending April 30, 2019. During the three months ended July 27, 2019, the Company issued a total of 14,814 fully-vested shares of common stock to settle the PRSUs in the Fiscal 2017 LTIP. No compensation expense was recorded during the three months ended July 27, 2019 for the Fiscal 2017 LTIP.</w:t>
      </w:r>
    </w:p>
    <w:p>
      <w:pPr>
        <w:spacing w:after="0" w:line="189"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At July 27, 2019 and April 30, 2019, the Company recorded cumulative stock-based compensation expense from the Fiscal 2020 LTIP, Fiscal 2019 LTIP and Fiscal 2018 LTIP of $1,600,000 and $1,429,000,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ind w:right="19"/>
        <w:spacing w:after="0" w:line="302" w:lineRule="auto"/>
        <w:rPr>
          <w:sz w:val="20"/>
          <w:szCs w:val="20"/>
          <w:color w:val="auto"/>
        </w:rPr>
      </w:pPr>
      <w:r>
        <w:rPr>
          <w:rFonts w:ascii="Arial" w:cs="Arial" w:eastAsia="Arial" w:hAnsi="Arial"/>
          <w:sz w:val="16"/>
          <w:szCs w:val="16"/>
          <w:color w:val="auto"/>
        </w:rPr>
        <w:t>For the three months ended July 27, 2019, the Company recorded a provision for income taxes of $2,133,000, yielding an effective tax rate of 10.4%. For the three months ended July 28, 2018, the Company recorded a provision for income taxes of $2,567,000, yielding an effective tax rate of 10.9%. The variance from statutory rates for the three months ended July 27, 2019 was primarily due to federal R&amp;D credits, foreign derived intangible income deduction and the recording</w:t>
      </w:r>
    </w:p>
    <w:p>
      <w:pPr>
        <w:sectPr>
          <w:pgSz w:w="11900" w:h="16838" w:orient="portrait"/>
          <w:cols w:equalWidth="0" w:num="1">
            <w:col w:w="9039"/>
          </w:cols>
          <w:pgMar w:left="1420" w:top="517" w:right="1440" w:bottom="1440" w:gutter="0" w:footer="0" w:header="0"/>
        </w:sect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19"/>
        <w:spacing w:after="0" w:line="312" w:lineRule="auto"/>
        <w:rPr>
          <w:sz w:val="20"/>
          <w:szCs w:val="20"/>
          <w:color w:val="auto"/>
        </w:rPr>
      </w:pPr>
      <w:r>
        <w:rPr>
          <w:rFonts w:ascii="Arial" w:cs="Arial" w:eastAsia="Arial" w:hAnsi="Arial"/>
          <w:sz w:val="16"/>
          <w:szCs w:val="16"/>
          <w:color w:val="auto"/>
        </w:rPr>
        <w:t>of discrete excess tax benefits, resulting from the vesting of restricted stock awards and exercises of stock options. The variance from statutory rates for the three months ended July 28, 2018 was primarily due to federal R&amp;D credits and the recording of discrete excess tax benefits resulting from the vesting of restricted stock awards and exercises of stock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w:t>
      </w:r>
    </w:p>
    <w:p>
      <w:pPr>
        <w:spacing w:after="0" w:line="216" w:lineRule="exact"/>
        <w:rPr>
          <w:sz w:val="20"/>
          <w:szCs w:val="20"/>
          <w:color w:val="auto"/>
        </w:rPr>
      </w:pPr>
    </w:p>
    <w:p>
      <w:pPr>
        <w:ind w:right="599"/>
        <w:spacing w:after="0" w:line="302"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months ended July 27, 2019 or July 28, 2018. As of July 27, 2019 and April 30, 2019, approximately $21,200,000 million remained authorized for future repurchases under this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19"/>
        <w:spacing w:after="0" w:line="254" w:lineRule="auto"/>
        <w:rPr>
          <w:sz w:val="20"/>
          <w:szCs w:val="20"/>
          <w:color w:val="auto"/>
        </w:rPr>
      </w:pPr>
      <w:r>
        <w:rPr>
          <w:rFonts w:ascii="Arial" w:cs="Arial" w:eastAsia="Arial" w:hAnsi="Arial"/>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and related efforts, the Company will use its best efforts, up to a maximum net value of $134,354,000, to design and build prototype solar powered high altitude aircraft and ground control stations for HAPSMobile and conduct low altitude and high altitude flight tests of the prototype aircraft.</w:t>
      </w:r>
    </w:p>
    <w:p>
      <w:pPr>
        <w:spacing w:after="0" w:line="192" w:lineRule="exact"/>
        <w:rPr>
          <w:sz w:val="20"/>
          <w:szCs w:val="20"/>
          <w:color w:val="auto"/>
        </w:rPr>
      </w:pPr>
    </w:p>
    <w:p>
      <w:pPr>
        <w:ind w:right="39"/>
        <w:spacing w:after="0" w:line="293" w:lineRule="auto"/>
        <w:rPr>
          <w:sz w:val="20"/>
          <w:szCs w:val="20"/>
          <w:color w:val="auto"/>
        </w:rPr>
      </w:pPr>
      <w:r>
        <w:rPr>
          <w:rFonts w:ascii="Arial" w:cs="Arial" w:eastAsia="Arial" w:hAnsi="Arial"/>
          <w:sz w:val="16"/>
          <w:szCs w:val="16"/>
          <w:color w:val="auto"/>
        </w:rPr>
        <w:t>The Company recorded revenue under the DDA and preliminary design agreements between the Company and SoftBank of $12,335,000 and $11,563,000 for the three months ended July 27, 2019 and July 28, 2018, respectively. At July 27, 2019 and April 30, 2019, the Company had unbilled related party receivables from HAPSMobile of $12,649,000 and $9,028,000 recorded in unbilled receivables and retentions on the consolidated balance sheets, respectively. During the year ended April 30, 2019, the Company owned a 10% stake in accordance with the JVA which was diluted to approximately 5% during the first three months ended July 27, 2019. Refer to Note 6—Equity Method Investments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Settlements</w:t>
      </w:r>
    </w:p>
    <w:p>
      <w:pPr>
        <w:spacing w:after="0" w:line="229" w:lineRule="exact"/>
        <w:rPr>
          <w:sz w:val="20"/>
          <w:szCs w:val="20"/>
          <w:color w:val="auto"/>
        </w:rPr>
      </w:pPr>
    </w:p>
    <w:p>
      <w:pPr>
        <w:ind w:right="219"/>
        <w:spacing w:after="0" w:line="279" w:lineRule="auto"/>
        <w:rPr>
          <w:sz w:val="20"/>
          <w:szCs w:val="20"/>
          <w:color w:val="auto"/>
        </w:rPr>
      </w:pPr>
      <w:r>
        <w:rPr>
          <w:rFonts w:ascii="Arial" w:cs="Arial" w:eastAsia="Arial" w:hAnsi="Arial"/>
          <w:sz w:val="17"/>
          <w:szCs w:val="17"/>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Acquisitions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Aerospace, less any amounts paid or reserved, 18 months after the closing of the transactions in accordance with the terms of the Pulse Purchase Agreement. The closing cash consideration included the payoff of the outstanding indebtedness of Pulse Aerospace as of the closing date. The Company financed the acquisition entirely from available cash on hand.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consideration paid at closing, the acquisition of Pulse includes contingent consideration arrangements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require additional consideration to be paid by the Company to the sellers of Pulse if two specified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are achieved by December 10, 2021. Amounts are payable upon the achievement of the milestones.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undiscounted amounts the Company could pay under each of the contingent consideration agreements is zero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 ($5,000,000 in total if both milestones are achieved). The fair value of the contingent consideration recognized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date of $4,263,000 was estimated by applying the income approach. That measure is based on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3 inputs not observable in the market. Key assumptions include (1) a discount rate of 4.5% and (2) the probability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of the milestones will be achieved.</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July 27, 2019, there were no changes in the key assumptions for the contingent consideration recognized as a result of the acquisition of Pulse. As of July 27, 2019, the fair value of the contingent consideration was $4,295,000. The increase in fair value is attributable to the accretion of the liability discount.</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Pulse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Retention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Pulse did not contribute significant revenues or net income to the Company for the period from June 10, 2019 to July 27, 2019. The following unaudited pro forma summary presents consolidated information of the Company as if the business acquisition had occurred on May 1, 2018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r>
      <w:tr>
        <w:trPr>
          <w:trHeight w:val="211"/>
        </w:trPr>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July 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28,</w:t>
            </w:r>
          </w:p>
        </w:tc>
      </w:tr>
      <w:tr>
        <w:trPr>
          <w:trHeight w:val="201"/>
        </w:trPr>
        <w:tc>
          <w:tcPr>
            <w:tcW w:w="490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87,138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79,313</w:t>
            </w:r>
          </w:p>
        </w:tc>
        <w:tc>
          <w:tcPr>
            <w:tcW w:w="120" w:type="dxa"/>
            <w:vAlign w:val="bottom"/>
            <w:shd w:val="clear" w:color="auto" w:fill="CCEEFF"/>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AeroVironment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60"/>
              <w:spacing w:after="0"/>
              <w:rPr>
                <w:sz w:val="20"/>
                <w:szCs w:val="20"/>
                <w:color w:val="auto"/>
              </w:rPr>
            </w:pPr>
            <w:r>
              <w:rPr>
                <w:rFonts w:ascii="Arial" w:cs="Arial" w:eastAsia="Arial" w:hAnsi="Arial"/>
                <w:sz w:val="18"/>
                <w:szCs w:val="18"/>
                <w:color w:val="auto"/>
                <w:w w:val="98"/>
              </w:rPr>
              <w:t>17,393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26,369</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incurred approximately $341,000 of acquisition-related costs. These expenses are included in selling, general and administrative expense on the Company’s consolidated income statement for the three months ended July 27, 2019.</w:t>
      </w:r>
    </w:p>
    <w:p>
      <w:pPr>
        <w:spacing w:after="0" w:line="124"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43" w:lineRule="exact"/>
        <w:rPr>
          <w:sz w:val="20"/>
          <w:szCs w:val="20"/>
          <w:color w:val="auto"/>
        </w:rPr>
      </w:pPr>
    </w:p>
    <w:p>
      <w:pPr>
        <w:ind w:left="860" w:right="120" w:hanging="850"/>
        <w:spacing w:after="0" w:line="282" w:lineRule="auto"/>
        <w:tabs>
          <w:tab w:leader="none" w:pos="84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2019, as updated by our subsequent filings under the Securities and Exchange Act of 1934, as amended (“the Exchange Act”).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investments are accounted for as held-to-maturity and available-for-sale and reported at amortized cost and cost less impairment, respectively. We have elected to measure available-for-sale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Goodwill represents the excess of the cost of an acquired entity over the fair value of the acquired net assets. Goodwill is tested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in-process research and development, customer relationships,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impairment of long-lived assets, intangible assets acquired,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the first quarter of our fiscal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8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Revenue for small unmanned aircraft systems (“UAS”) product contracts with both the U.S. government and foreign governments under the new standard revenue are recognized at the point in time when the transfer of control passes to the customer, which is generally when title and risk of loss transfer. Revenue for Tactical Missile Systems (“TMS”)</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contracts is now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ended July 27, 2019 and July 28, 2018, changes in accounting estimates on contracts recognized over time are presented below.</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July 27, 2019 and July 28, 2018, favorable and unfavorable cumulative catch-up adjustments included in revenue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5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July 27,</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July 28,</w:t>
            </w:r>
          </w:p>
        </w:tc>
        <w:tc>
          <w:tcPr>
            <w:tcW w:w="100" w:type="dxa"/>
            <w:vAlign w:val="bottom"/>
          </w:tcPr>
          <w:p>
            <w:pPr>
              <w:spacing w:after="0"/>
              <w:rPr>
                <w:sz w:val="10"/>
                <w:szCs w:val="10"/>
                <w:color w:val="auto"/>
              </w:rPr>
            </w:pPr>
          </w:p>
        </w:tc>
      </w:tr>
      <w:tr>
        <w:trPr>
          <w:trHeight w:val="171"/>
        </w:trPr>
        <w:tc>
          <w:tcPr>
            <w:tcW w:w="4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0"/>
        </w:trPr>
        <w:tc>
          <w:tcPr>
            <w:tcW w:w="4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July 27, 2019, favorable cumulative catch-up adjustments of $0.3 million were primarily due to final cost adjustments on 19 contracts, which individually were not material. For the same period, unfavorable cumulative catch-up adjustments of $0.3 million were primarily related to higher than expected costs on nine contracts, which individually were not material.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July 28, 2018, favorable cumulative catch-up adjustments of $0.7 million were primarily due to final cost adjustments on six contracts, which individually were not material. For the same period, unfavorable cumulative catch-up adjustments of $0.3 million were primarily related to higher than expected costs on six contracts, which individually were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2020 fiscal year ends on April 30, 2020 and our fiscal quarters end on July 27, 2019, October 26, 2019 and January 25, 2020,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tables set forth our results of operations for the three months ended July 27, 2019 and July 28, 2018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July 27,</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July 28,</w:t>
            </w:r>
          </w:p>
        </w:tc>
        <w:tc>
          <w:tcPr>
            <w:tcW w:w="100" w:type="dxa"/>
            <w:vAlign w:val="bottom"/>
          </w:tcPr>
          <w:p>
            <w:pPr>
              <w:spacing w:after="0"/>
              <w:rPr>
                <w:sz w:val="10"/>
                <w:szCs w:val="10"/>
                <w:color w:val="auto"/>
              </w:rPr>
            </w:pPr>
          </w:p>
        </w:tc>
      </w:tr>
      <w:tr>
        <w:trPr>
          <w:trHeight w:val="171"/>
        </w:trPr>
        <w:tc>
          <w:tcPr>
            <w:tcW w:w="54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5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86,911</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78,043</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100" w:type="dxa"/>
            <w:vAlign w:val="bottom"/>
            <w:shd w:val="clear" w:color="auto" w:fill="CCEEFF"/>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32,589</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tcPr>
          <w:p>
            <w:pPr>
              <w:spacing w:after="0"/>
              <w:rPr>
                <w:sz w:val="18"/>
                <w:szCs w:val="18"/>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tcPr>
          <w:p>
            <w:pPr>
              <w:spacing w:after="0"/>
              <w:rPr>
                <w:sz w:val="18"/>
                <w:szCs w:val="18"/>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 net of tax</w:t>
            </w: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July 27, 2019 was $86.9 million, as compared to $78.0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July 28, 2018, representing an increase of $8.9 million, or 11%. The increase in revenue was due to an increase in product deliveries of $10.5 million, partially offset by a decrease in service revenue of $1.7 million. The increase in product deliveries was primarily due to an increase in product deliveries of small UAS, partially offset by a decrease in product deliveries of TMS. During the three months ended July 27, 2019, we continued to experience expansion in small UAS product deliveries to international customers. The decrease in service revenue was primarily due to a decrease in customer-funded R&amp;D revenue primarily associated with TMS variant programs.</w:t>
      </w:r>
    </w:p>
    <w:p>
      <w:pPr>
        <w:spacing w:after="0" w:line="17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July 27, 2019 was $45.6 million, as compared to $45.5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July 28, 2018, representing an increase of $0.2 million, or 0.4%. The increase in cost of sales was a result of an increase in product costs of sales of $0.6 million, partially offset by a decrease in service cost of sales of $0.4 million.</w:t>
      </w:r>
    </w:p>
    <w:p>
      <w:pPr>
        <w:ind w:right="60"/>
        <w:spacing w:after="0" w:line="292" w:lineRule="auto"/>
        <w:rPr>
          <w:sz w:val="20"/>
          <w:szCs w:val="20"/>
          <w:color w:val="auto"/>
        </w:rPr>
      </w:pPr>
      <w:r>
        <w:rPr>
          <w:rFonts w:ascii="Arial" w:cs="Arial" w:eastAsia="Arial" w:hAnsi="Arial"/>
          <w:sz w:val="16"/>
          <w:szCs w:val="16"/>
          <w:color w:val="auto"/>
        </w:rPr>
        <w:t>The increase in product costs of sales was primarily due to an increase in product deliveries, partially offset by a decrease in warranty related costs and sustaining engineering costs to support our existing products. The decrease in service costs was primarily due to a decrease in service revenues. As a percentage of revenue, cost of sales decreased from 58% to 53%, primarily due to the increased sales volume, which resulted in a decrease in the per unit fixed manufacturing and engineering overhead support cost, and an increase in the proportion of product revenue to total revenue.</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three months ended July 27, 2019 was $41.3 million, as compared to $32.6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July 28, 2018, representing an increase of $8.7 million, or 27%. The increase in gross margin was primarily due to an increase in product margin of $9.9 million, partially offset by a decrease in service margin of $1.2 million. The increase in product margin was primarily due to an increase in product deliveries and favorable product mix. The decrease in service margin was primarily due to a decrease in service revenue. As a percentage of revenue, gross margin increased from 42% to 47%, primarily due to the increased sales volume and an increase in the proportion of product revenue to total revenue.</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(“SG&amp;A”) expense for the three months ended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 2019 was $13.7 million, or 16% of revenue, compared to SG&amp;A expense of $12.0 million, or 15% of revenue, for the three months ended July 28, 2018. The increase in SG&amp;A expense was primarily due to an increase in legal fees as well as a number of miscellaneous expenses that were not individually significant.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27, 2019 was $8.7 million, or 10%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R&amp;D expense of $6.4 million, or 8% of revenue, for the three months ended July 28, 2018. R&amp;D expense increased by $2.3 million, or 35%, for the three months ended July 27, 2019, primarily due to an increase in development activities for certain strategic initiatives.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July 27, 2019 was $1.3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$0.9 million for the three months ended July 28, 2018. The increase in interest income was due to an increase in the interest rates earned on our investment portfolio.</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July 27, 2019 was $0.4 million compared to other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$8.4 million for the three months ended July 28, 2018. The decrease in other income, net was primarily due to a one-time gain from a litigation settlement during the first quarter of fiscal 2019.</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effective income tax rate was 10.4% for the three months ended July 27, 2019,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10.9% for the three months ended July 28, 2018. The decrease in the effective income tax rate was primarily due to an increase in estimated federal R&amp;D credits.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Activity, net of tax. </w:t>
      </w:r>
      <w:r>
        <w:rPr>
          <w:rFonts w:ascii="Arial" w:cs="Arial" w:eastAsia="Arial" w:hAnsi="Arial"/>
          <w:sz w:val="18"/>
          <w:szCs w:val="18"/>
          <w:color w:val="auto"/>
        </w:rPr>
        <w:t>Equity method investment activity, net of tax for the three months ended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 2019 was a loss of $1.3 million compared to a loss of $0.6 million for the three months ended July 28, 2018. The increase was due to the equity method loss associated with our investment in the HAPSMobile joint venture formed in December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July 27, 2019, our funded backlog was approximately $165.2 million.</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to our funded backlog, we also had unfunded backlog of $50.9 million as of July 27, 2019. Unfunded backlog does not meet the definition of a performance obligation under ASC Topic 606. We define unfunded backlog as the total remaining potential order amounts under cost reimbursable and fixed price contracts with multiple one-year options and indefinite delivery, indefinite quantity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seven companies in 2018, including AeroVironment, and we cannot be certain that we will receive task orders issued against the contract.</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not material in value alone or in aggregate, during the three months ended July 27, 2019, we made certain commitments outside of the ordinary course of business. We made our initial capital contribution of $2.7 million to a limited partnership fund. Under the terms of the limited partnership agreement, we have committed to make capital contributions totaling $10.0 million to the fund. An additional capital contribution of $2.3 million was made during our second quarter of fiscal 2020. In addition, pursuant to the Pulse Purchase Agreement, we maintain $5.0 million in an escrow account which will be paid to the sellers upon the achievement of specific research and development milestones. These milestones must be achieved by December 10,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our cash flow data for the three months ended July 27, 2019 and July 28, 2018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81"/>
              <w:spacing w:after="0" w:line="119" w:lineRule="exact"/>
              <w:rPr>
                <w:sz w:val="20"/>
                <w:szCs w:val="20"/>
                <w:color w:val="auto"/>
              </w:rPr>
            </w:pPr>
            <w:r>
              <w:rPr>
                <w:rFonts w:ascii="Arial" w:cs="Arial" w:eastAsia="Arial" w:hAnsi="Arial"/>
                <w:sz w:val="13"/>
                <w:szCs w:val="13"/>
                <w:b w:val="1"/>
                <w:bCs w:val="1"/>
                <w:color w:val="auto"/>
              </w:rPr>
              <w:t>July 27,</w:t>
            </w: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July 28,</w:t>
            </w:r>
          </w:p>
        </w:tc>
        <w:tc>
          <w:tcPr>
            <w:tcW w:w="12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3"/>
          </w:tcPr>
          <w:p>
            <w:pPr>
              <w:jc w:val="right"/>
              <w:ind w:right="678"/>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3,113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(33,152)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30,084</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Operating Activities. </w:t>
      </w:r>
      <w:r>
        <w:rPr>
          <w:rFonts w:ascii="Arial" w:cs="Arial" w:eastAsia="Arial" w:hAnsi="Arial"/>
          <w:sz w:val="18"/>
          <w:szCs w:val="18"/>
          <w:color w:val="auto"/>
        </w:rPr>
        <w:t>Net cash provided by operating activities for the three months ended July 27,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$1.9 million to $3.1 million, compared to net cash provided by operating activities of $5.0 million for the three months ended July 28, 2018. The decrease in net cash provided by operating activities was primarily due to a decrease in net income from continuing operations of $3.2 million.</w:t>
      </w:r>
    </w:p>
    <w:p>
      <w:pPr>
        <w:spacing w:after="0" w:line="18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Cash (Used in) Provided by Investing Activities. </w:t>
      </w:r>
      <w:r>
        <w:rPr>
          <w:rFonts w:ascii="Arial" w:cs="Arial" w:eastAsia="Arial" w:hAnsi="Arial"/>
          <w:sz w:val="16"/>
          <w:szCs w:val="16"/>
          <w:color w:val="auto"/>
        </w:rPr>
        <w:t>Net cash used in investing activities increased by $63.2 million to $33.2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July 27, 2019, compared to net cash provided by investing activities of $30.1 million for the three months ended July 28, 2018. The increase in net cash used in investing activities was primarily due to proceeds received from the sale of our EES Business of $32.0 million in the first quarter of fiscal 2019; cash used in the purchase of Pulse Aerospace, LLC, net of cash acquired of $18.6 million; an increase in purchases net of redemptions of available-for-sale investments of $4.9 million; an increase in cash used for the HAPS equity method investment of $4.6 million; and an increase in purchases net of redemptions of held-to-maturity investments of $2.7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b w:val="1"/>
          <w:bCs w:val="1"/>
          <w:i w:val="1"/>
          <w:iCs w:val="1"/>
          <w:color w:val="auto"/>
        </w:rPr>
        <w:t xml:space="preserve">Cash Used in Financing Activities. </w:t>
      </w:r>
      <w:r>
        <w:rPr>
          <w:rFonts w:ascii="Arial" w:cs="Arial" w:eastAsia="Arial" w:hAnsi="Arial"/>
          <w:sz w:val="17"/>
          <w:szCs w:val="17"/>
          <w:color w:val="auto"/>
        </w:rPr>
        <w:t>Net cash used in financing activities decreased by $0.2 million to $0.6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July 27, 2019, compared to net cash used by financing activities of $0.8 million for the three months ended July 28, 2018. The decrease in cash used in financing activities was primarily due to a decrease in tax withholding payment related to net settlement of equity awards of $0.2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three months ended July 27, 2019, there were no material changes in our contractual obligations and commercial commitments from those disclosed in our Annual Report on Form 10-K for the fiscal year ended April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As of July 27, 2019, we had no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Item 303(a)(4)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three months ended July 27,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27, 2019, the end of the period covered by this Quarterly Report on Form 10-Q.</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July 27, 2019,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July 27, 2019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9"/>
        <w:spacing w:after="0" w:line="272" w:lineRule="auto"/>
        <w:rPr>
          <w:sz w:val="20"/>
          <w:szCs w:val="20"/>
          <w:color w:val="auto"/>
        </w:rPr>
      </w:pPr>
      <w:r>
        <w:rPr>
          <w:rFonts w:ascii="Arial" w:cs="Arial" w:eastAsia="Arial" w:hAnsi="Arial"/>
          <w:sz w:val="17"/>
          <w:szCs w:val="17"/>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from all claims in the lawsuit. The case is currently proceeding through discovery, including depositions. Mr. Anderson is seeking special damages, general damages, punitive damages, attorneys’ fees and other relief the court deems just and proper. We believe the complaint contains legal claims that are without merit and will defend ourselves vigorously.</w:t>
      </w:r>
    </w:p>
    <w:p>
      <w:pPr>
        <w:spacing w:after="0" w:line="178" w:lineRule="exact"/>
        <w:rPr>
          <w:sz w:val="20"/>
          <w:szCs w:val="20"/>
          <w:color w:val="auto"/>
        </w:rPr>
      </w:pPr>
    </w:p>
    <w:p>
      <w:pPr>
        <w:ind w:right="19"/>
        <w:spacing w:after="0" w:line="285" w:lineRule="auto"/>
        <w:rPr>
          <w:sz w:val="20"/>
          <w:szCs w:val="20"/>
          <w:color w:val="auto"/>
        </w:rPr>
      </w:pPr>
      <w:r>
        <w:rPr>
          <w:rFonts w:ascii="Arial" w:cs="Arial" w:eastAsia="Arial" w:hAnsi="Arial"/>
          <w:sz w:val="16"/>
          <w:szCs w:val="16"/>
          <w:color w:val="auto"/>
        </w:rPr>
        <w:t>On February 22, 2019, Webasto filed a lawsuit, which was subsequently amended on April 5, 2019, against us in Delaware Superior Court, arising from the sale of the EES division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May 20, 2019, we filed a motion to dismiss/stay claims regarding the recall and a claim related to Webasto’s post-closing cancellation of an assigned contract based on the argument that claims involving those two third-parties along with AeroVironment and Webasto can only be litigated in California through arbitration. At a hearing on July17, 2019, the Court denied the motion, but indicated it was willing to reconsider the arguments made in the motion if the proceedings in California involving these two third-parties took place. On August 14, 2019, Benchmark Electronics, Inc. (“Benchmark”), the company that assembled the products subject to the recall, served a demand for arbitration to AeroVironment and Webasto pursuant to its contracts with AeroVironment and Webasto, respectively.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will begin on September 16, 2019. We intend to mount a vigorous defense.</w:t>
      </w:r>
    </w:p>
    <w:p>
      <w:pPr>
        <w:spacing w:after="0" w:line="389" w:lineRule="exact"/>
        <w:rPr>
          <w:sz w:val="20"/>
          <w:szCs w:val="20"/>
          <w:color w:val="auto"/>
        </w:rPr>
      </w:pPr>
    </w:p>
    <w:p>
      <w:pPr>
        <w:jc w:val="both"/>
        <w:ind w:right="199"/>
        <w:spacing w:after="0" w:line="312"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519"/>
        <w:spacing w:after="0" w:line="264"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2019. Please refer to that section for disclosures regarding the risks and uncertainties related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9"/>
        <w:spacing w:after="0" w:line="297"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Program does not obligate us to acquire any particular amount of common stock and may be suspended at any time by our Board of Directors. No shares were repurchased in the three months ended July 27, 2019. As of July 27, 2019, approximately $21.2 million remained authorized for future repurchases under the Share Repurchase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740" w:type="dxa"/>
            <w:vAlign w:val="bottom"/>
            <w:gridSpan w:val="9"/>
          </w:tcPr>
          <w:p>
            <w:pPr>
              <w:ind w:left="2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40" w:type="dxa"/>
            <w:vAlign w:val="bottom"/>
            <w:tcBorders>
              <w:top w:val="single" w:sz="8" w:color="auto"/>
            </w:tcBorders>
            <w:gridSpan w:val="11"/>
          </w:tcPr>
          <w:p>
            <w:pPr>
              <w:spacing w:after="0" w:line="189" w:lineRule="exact"/>
              <w:rPr>
                <w:rFonts w:ascii="Arial" w:cs="Arial" w:eastAsia="Arial" w:hAnsi="Arial"/>
                <w:sz w:val="18"/>
                <w:szCs w:val="18"/>
                <w:color w:val="0000EE"/>
              </w:rPr>
            </w:pPr>
            <w:hyperlink r:id="rId67">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3.2(2)</w:t>
            </w:r>
          </w:p>
        </w:tc>
        <w:tc>
          <w:tcPr>
            <w:tcW w:w="180" w:type="dxa"/>
            <w:vAlign w:val="bottom"/>
          </w:tcPr>
          <w:p>
            <w:pPr>
              <w:spacing w:after="0"/>
              <w:rPr>
                <w:sz w:val="19"/>
                <w:szCs w:val="19"/>
                <w:color w:val="auto"/>
              </w:rPr>
            </w:pPr>
          </w:p>
        </w:tc>
        <w:tc>
          <w:tcPr>
            <w:tcW w:w="44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Third Amended and Restated Bylaws of AeroVironment, Inc.</w:t>
              </w:r>
            </w:hyperlink>
          </w:p>
        </w:tc>
        <w:tc>
          <w:tcPr>
            <w:tcW w:w="980" w:type="dxa"/>
            <w:vAlign w:val="bottom"/>
            <w:tcBorders>
              <w:top w:val="single" w:sz="8" w:color="0000EE"/>
            </w:tcBorders>
            <w:gridSpan w:val="2"/>
          </w:tcPr>
          <w:p>
            <w:pPr>
              <w:spacing w:after="0"/>
              <w:rPr>
                <w:sz w:val="19"/>
                <w:szCs w:val="19"/>
                <w:color w:val="auto"/>
              </w:rPr>
            </w:pPr>
          </w:p>
        </w:tc>
        <w:tc>
          <w:tcPr>
            <w:tcW w:w="264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10.1(3)</w:t>
            </w: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Consulting Agreement by and between AeroVironment, Inc. and Kirk J. Flittie, effective July 13,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7"/>
              </w:rPr>
              <w:t>10.2ǂ</w:t>
            </w: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4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Amendment No.8 to the Design and Development Agreement by and between AeroVironment, Inc. and</w:t>
              </w:r>
            </w:hyperlink>
          </w:p>
        </w:tc>
        <w:tc>
          <w:tcPr>
            <w:tcW w:w="5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HAPSMobile, Inc., dated as of June 20, 2019.</w:t>
              </w:r>
            </w:hyperlink>
          </w:p>
        </w:tc>
        <w:tc>
          <w:tcPr>
            <w:tcW w:w="47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9"/>
                <w:szCs w:val="19"/>
                <w:color w:val="auto"/>
              </w:rPr>
            </w:pPr>
          </w:p>
        </w:tc>
        <w:tc>
          <w:tcPr>
            <w:tcW w:w="75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Executive Officer pursuant to Rule 13a-14(a) and Rule 15d-14(a) of the Securities</w:t>
              </w:r>
            </w:hyperlink>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Certification of Chief Financial Officer pursuant to Rule 13a-14(a) and Rule 15d-14(a) of the Securities</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60" w:type="dxa"/>
            <w:vAlign w:val="bottom"/>
            <w:tcBorders>
              <w:top w:val="single" w:sz="8" w:color="0000EE"/>
            </w:tcBorders>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6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6"/>
              </w:rPr>
              <w:t>32#</w:t>
            </w:r>
          </w:p>
        </w:tc>
        <w:tc>
          <w:tcPr>
            <w:tcW w:w="180" w:type="dxa"/>
            <w:vAlign w:val="bottom"/>
          </w:tcPr>
          <w:p>
            <w:pPr>
              <w:spacing w:after="0"/>
              <w:rPr>
                <w:sz w:val="19"/>
                <w:szCs w:val="19"/>
                <w:color w:val="auto"/>
              </w:rPr>
            </w:pPr>
          </w:p>
        </w:tc>
        <w:tc>
          <w:tcPr>
            <w:tcW w:w="77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Executive Officer and Chief Financial Officer pursuant to 18 U.S.C. Section 1350, as</w:t>
              </w:r>
            </w:hyperlink>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80" w:type="dxa"/>
            <w:vAlign w:val="bottom"/>
            <w:gridSpan w:val="5"/>
            <w:shd w:val="clear" w:color="auto" w:fill="0000EE"/>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2"/>
                <w:szCs w:val="22"/>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Files because its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20" w:right="220" w:hanging="318"/>
        <w:spacing w:after="0" w:line="223" w:lineRule="exact"/>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8"/>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rFonts w:ascii="Arial" w:cs="Arial" w:eastAsia="Arial" w:hAnsi="Arial"/>
          <w:sz w:val="18"/>
          <w:szCs w:val="18"/>
          <w:color w:val="auto"/>
        </w:rPr>
      </w:pPr>
    </w:p>
    <w:p>
      <w:pPr>
        <w:ind w:left="320" w:right="260" w:hanging="318"/>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herein to Exhibit 10.1 to the Company’s Current Report on Form 8-K/A filed July 17, 2019 (File No. 001-33261).</w:t>
      </w:r>
    </w:p>
    <w:p>
      <w:pPr>
        <w:spacing w:after="0" w:line="170" w:lineRule="exact"/>
        <w:rPr>
          <w:sz w:val="20"/>
          <w:szCs w:val="20"/>
          <w:color w:val="auto"/>
        </w:rPr>
      </w:pPr>
    </w:p>
    <w:p>
      <w:pPr>
        <w:ind w:left="320" w:right="300" w:hanging="318"/>
        <w:spacing w:after="0" w:line="277" w:lineRule="auto"/>
        <w:tabs>
          <w:tab w:leader="none" w:pos="302"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Item 601(b)(2) of Regulation S-K, certain immaterial provisions of the agreement that would likely cause competitive harm to the Company if publicly disclosed have been redacted or omitted.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right="99" w:hanging="318"/>
        <w:spacing w:after="0" w:line="302" w:lineRule="auto"/>
        <w:tabs>
          <w:tab w:leader="none" w:pos="3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September 4, 2019</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23495</wp:posOffset>
            </wp:positionV>
            <wp:extent cx="2632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23495</wp:posOffset>
            </wp:positionV>
            <wp:extent cx="2632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7" w:name="page38"/>
    <w:bookmarkEnd w:id="37"/>
    <w:p>
      <w:pPr>
        <w:ind w:left="9141"/>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1"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DESIGN AND DEVELOPMENT AGREEMENT (STEP 2)</w:t>
      </w:r>
    </w:p>
    <w:p>
      <w:pPr>
        <w:spacing w:after="0" w:line="225" w:lineRule="exact"/>
        <w:rPr>
          <w:sz w:val="20"/>
          <w:szCs w:val="20"/>
          <w:color w:val="auto"/>
        </w:rPr>
      </w:pPr>
    </w:p>
    <w:p>
      <w:pPr>
        <w:ind w:left="1" w:right="20"/>
        <w:spacing w:after="0" w:line="298" w:lineRule="auto"/>
        <w:rPr>
          <w:sz w:val="20"/>
          <w:szCs w:val="20"/>
          <w:color w:val="auto"/>
        </w:rPr>
      </w:pPr>
      <w:r>
        <w:rPr>
          <w:rFonts w:ascii="Arial" w:cs="Arial" w:eastAsia="Arial" w:hAnsi="Arial"/>
          <w:sz w:val="16"/>
          <w:szCs w:val="16"/>
          <w:color w:val="auto"/>
        </w:rPr>
        <w:t>This Amendment No. 8 to the Design and Development Agreement (Step2)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and Amendment No.7 as of April 24, 2019, between HAPSMobile and AV) (collectively, the “</w:t>
      </w:r>
      <w:r>
        <w:rPr>
          <w:rFonts w:ascii="Arial" w:cs="Arial" w:eastAsia="Arial" w:hAnsi="Arial"/>
          <w:sz w:val="16"/>
          <w:szCs w:val="16"/>
          <w:b w:val="1"/>
          <w:bCs w:val="1"/>
          <w:color w:val="auto"/>
        </w:rPr>
        <w:t>DDA</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1" w:right="40"/>
        <w:spacing w:after="0" w:line="257" w:lineRule="auto"/>
        <w:rPr>
          <w:sz w:val="20"/>
          <w:szCs w:val="20"/>
          <w:color w:val="auto"/>
        </w:rPr>
      </w:pPr>
      <w:r>
        <w:rPr>
          <w:rFonts w:ascii="Arial" w:cs="Arial" w:eastAsia="Arial" w:hAnsi="Arial"/>
          <w:sz w:val="18"/>
          <w:szCs w:val="18"/>
          <w:color w:val="auto"/>
        </w:rPr>
        <w:t>The Parties wished to raise a change of schedule related to estimated completion date change to Integrated Test Reports ([***]) in Attachment A to the DDA (the “</w:t>
      </w:r>
      <w:r>
        <w:rPr>
          <w:rFonts w:ascii="Arial" w:cs="Arial" w:eastAsia="Arial" w:hAnsi="Arial"/>
          <w:sz w:val="18"/>
          <w:szCs w:val="18"/>
          <w:b w:val="1"/>
          <w:bCs w:val="1"/>
          <w:color w:val="auto"/>
        </w:rPr>
        <w:t>Change</w:t>
      </w:r>
      <w:r>
        <w:rPr>
          <w:rFonts w:ascii="Arial" w:cs="Arial" w:eastAsia="Arial" w:hAnsi="Arial"/>
          <w:sz w:val="18"/>
          <w:szCs w:val="18"/>
          <w:color w:val="auto"/>
        </w:rPr>
        <w:t>”) following the Change Control procedures set forth in Article 2.4 and 3.4 in the DDA and Attachment G to the DDA, and the Parties agreed to classify the Change as a Class I Change, as defined in Attachment G to the DDA, and that there will be no cost related to the Change. Therefore, to formalize and reflect the Change, the Parties hereby agree with the amendments to the DDA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ind w:left="361" w:hanging="361"/>
        <w:spacing w:after="0" w:line="277" w:lineRule="auto"/>
        <w:tabs>
          <w:tab w:leader="none" w:pos="3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entry line number 6 (not counting the header line) of Section 2 of Attachment A (DELIVERABLES) to the DDA (“Integrated Test Reports”) is hereby amended as follows:</w:t>
      </w:r>
    </w:p>
    <w:p>
      <w:pPr>
        <w:spacing w:after="0" w:line="165" w:lineRule="exact"/>
        <w:rPr>
          <w:sz w:val="20"/>
          <w:szCs w:val="20"/>
          <w:color w:val="auto"/>
        </w:rPr>
      </w:pPr>
    </w:p>
    <w:tbl>
      <w:tblPr>
        <w:tblLayout w:type="fixed"/>
        <w:tblInd w:w="11" w:type="dxa"/>
        <w:tblCellMar>
          <w:top w:w="0" w:type="dxa"/>
          <w:left w:w="0" w:type="dxa"/>
          <w:bottom w:w="0" w:type="dxa"/>
          <w:right w:w="0" w:type="dxa"/>
        </w:tblCellMar>
      </w:tblPr>
      <w:tr>
        <w:trPr>
          <w:trHeight w:val="279"/>
        </w:trPr>
        <w:tc>
          <w:tcPr>
            <w:tcW w:w="1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Deliverables</w:t>
            </w:r>
          </w:p>
        </w:tc>
        <w:tc>
          <w:tcPr>
            <w:tcW w:w="398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Deliverable Description</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Relevant</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3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WBS</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398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8"/>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39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r>
        <w:trPr>
          <w:trHeight w:val="263"/>
        </w:trPr>
        <w:tc>
          <w:tcPr>
            <w:tcW w:w="1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Integrated Test Reports</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Acceptance test reports for aircraft &amp; Ground</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2.3.2.3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900" w:type="dxa"/>
            <w:vAlign w:val="bottom"/>
            <w:tcBorders>
              <w:left w:val="single" w:sz="8" w:color="auto"/>
              <w:right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3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Control Station.</w:t>
            </w:r>
          </w:p>
        </w:tc>
        <w:tc>
          <w:tcPr>
            <w:tcW w:w="10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r>
      <w:tr>
        <w:trPr>
          <w:trHeight w:val="68"/>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398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ind w:left="321" w:right="40" w:hanging="321"/>
        <w:spacing w:after="0" w:line="259"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terms and conditions not specifically modified or amended herein remain in full force and effect as provided for in the DDA. Hereby the Parties expressly confirm that no change applies to the Incurred Cost set forth in ATTACHMENT F despite the Change. Capitalized terms, unless otherwise defined herein, shall have the meaning set forth in the DDA. This Amendment may only be modified or amended by a written document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 WITNESS WHEREOF the Parties hereto have signed and executed this Amendment on the date(s)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rPr>
              <w:t>SIGNED for and on behalf of</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SIGNED for and on behalf of</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HAPSMobile Inc.</w:t>
            </w: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AeroVironment, Inc.</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/s/ Yoshihito Shimazaki</w:t>
            </w:r>
          </w:p>
        </w:tc>
        <w:tc>
          <w:tcPr>
            <w:tcW w:w="800" w:type="dxa"/>
            <w:vAlign w:val="bottom"/>
          </w:tcPr>
          <w:p>
            <w:pPr>
              <w:ind w:left="20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Trace Stevenson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8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Yoshihito Shimazaki</w:t>
            </w:r>
          </w:p>
        </w:tc>
        <w:tc>
          <w:tcPr>
            <w:tcW w:w="800" w:type="dxa"/>
            <w:vAlign w:val="bottom"/>
          </w:tcPr>
          <w:p>
            <w:pPr>
              <w:ind w:left="200"/>
              <w:spacing w:after="0" w:line="195" w:lineRule="exact"/>
              <w:rPr>
                <w:sz w:val="20"/>
                <w:szCs w:val="20"/>
                <w:color w:val="auto"/>
              </w:rPr>
            </w:pPr>
            <w:r>
              <w:rPr>
                <w:rFonts w:ascii="Arial" w:cs="Arial" w:eastAsia="Arial" w:hAnsi="Arial"/>
                <w:sz w:val="18"/>
                <w:szCs w:val="18"/>
                <w:color w:val="auto"/>
              </w:rPr>
              <w:t>Name:</w:t>
            </w: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 Stevenson</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Board of Director, Senior Vice President</w:t>
            </w:r>
          </w:p>
        </w:tc>
        <w:tc>
          <w:tcPr>
            <w:tcW w:w="800" w:type="dxa"/>
            <w:vAlign w:val="bottom"/>
          </w:tcPr>
          <w:p>
            <w:pPr>
              <w:ind w:left="20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Vice President Emerging Business and Deputy GM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2019.06.20</w:t>
            </w:r>
          </w:p>
        </w:tc>
        <w:tc>
          <w:tcPr>
            <w:tcW w:w="800" w:type="dxa"/>
            <w:vAlign w:val="bottom"/>
          </w:tcPr>
          <w:p>
            <w:pPr>
              <w:ind w:left="200"/>
              <w:spacing w:after="0"/>
              <w:rPr>
                <w:sz w:val="20"/>
                <w:szCs w:val="20"/>
                <w:color w:val="auto"/>
              </w:rPr>
            </w:pPr>
            <w:r>
              <w:rPr>
                <w:rFonts w:ascii="Arial" w:cs="Arial" w:eastAsia="Arial" w:hAnsi="Arial"/>
                <w:sz w:val="18"/>
                <w:szCs w:val="18"/>
                <w:color w:val="auto"/>
              </w:rPr>
              <w:t>Date:</w:t>
            </w:r>
          </w:p>
        </w:tc>
        <w:tc>
          <w:tcPr>
            <w:tcW w:w="4320" w:type="dxa"/>
            <w:vAlign w:val="bottom"/>
          </w:tcPr>
          <w:p>
            <w:pPr>
              <w:spacing w:after="0"/>
              <w:rPr>
                <w:sz w:val="20"/>
                <w:szCs w:val="20"/>
                <w:color w:val="auto"/>
              </w:rPr>
            </w:pPr>
            <w:r>
              <w:rPr>
                <w:rFonts w:ascii="Arial" w:cs="Arial" w:eastAsia="Arial" w:hAnsi="Arial"/>
                <w:sz w:val="18"/>
                <w:szCs w:val="18"/>
                <w:color w:val="auto"/>
              </w:rPr>
              <w:t>2019.06.20</w:t>
            </w:r>
          </w:p>
        </w:tc>
      </w:tr>
      <w:tr>
        <w:trPr>
          <w:trHeight w:val="850"/>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w:t>
            </w:r>
          </w:p>
        </w:tc>
        <w:tc>
          <w:tcPr>
            <w:tcW w:w="432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gridSpan w:val="3"/>
          </w:tcPr>
          <w:p>
            <w:pPr>
              <w:ind w:left="1440"/>
              <w:spacing w:after="0"/>
              <w:rPr>
                <w:sz w:val="20"/>
                <w:szCs w:val="20"/>
                <w:color w:val="auto"/>
              </w:rPr>
            </w:pPr>
            <w:r>
              <w:rPr>
                <w:rFonts w:ascii="Arial" w:cs="Arial" w:eastAsia="Arial" w:hAnsi="Arial"/>
                <w:sz w:val="18"/>
                <w:szCs w:val="18"/>
                <w:color w:val="auto"/>
              </w:rPr>
              <w:t>[***] Information has been omitted pursuant to Item 601(b)(2) of Regulation S-K</w:t>
            </w:r>
          </w:p>
        </w:tc>
      </w:tr>
      <w:tr>
        <w:trPr>
          <w:trHeight w:val="561"/>
        </w:trPr>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1"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20" w:firstLine="486"/>
        <w:spacing w:after="0" w:line="219" w:lineRule="auto"/>
        <w:rPr>
          <w:sz w:val="20"/>
          <w:szCs w:val="20"/>
          <w:color w:val="auto"/>
        </w:rPr>
      </w:pPr>
      <w:r>
        <w:rPr>
          <w:rFonts w:ascii="Arial" w:cs="Arial" w:eastAsia="Arial" w:hAnsi="Arial"/>
          <w:sz w:val="18"/>
          <w:szCs w:val="18"/>
          <w:color w:val="auto"/>
        </w:rPr>
        <w:t>The Quarterly Report on Form 10-Q for the quarter ended July 27, 2019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2019</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ǂ"/>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67" Type="http://schemas.openxmlformats.org/officeDocument/2006/relationships/hyperlink" Target="http://www.sec.gov/Archives/edgar/data/1368622/000095015007000008/a28119exv3w1.htm" TargetMode="External"/><Relationship Id="rId68" Type="http://schemas.openxmlformats.org/officeDocument/2006/relationships/hyperlink" Target="http://www.sec.gov/Archives/edgar/data/1368622/000104746915005880/a2225241zex-3_3.htm" TargetMode="External"/><Relationship Id="rId69" Type="http://schemas.openxmlformats.org/officeDocument/2006/relationships/hyperlink" Target="http://www.sec.gov/Archives/edgar/data/1368622/000110465919040779/a19-1296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2019-12-28T06:27:23Z</dcterms:created>
  <dcterms:modified xsi:type="dcterms:W3CDTF">2019-12-28T06:27:23Z</dcterms:modified>
</cp:coreProperties>
</file>