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177165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October 30, 2021</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58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160655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20" w:type="dxa"/>
        <w:tblCellMar>
          <w:top w:w="0" w:type="dxa"/>
          <w:left w:w="0" w:type="dxa"/>
          <w:bottom w:w="0" w:type="dxa"/>
          <w:right w:w="0" w:type="dxa"/>
        </w:tblCellMar>
      </w:tblPr>
      <w:tr>
        <w:trPr>
          <w:trHeight w:val="166"/>
        </w:trPr>
        <w:tc>
          <w:tcPr>
            <w:tcW w:w="45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4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89"/>
              </w:rPr>
              <w:t>241 18</w:t>
            </w:r>
            <w:r>
              <w:rPr>
                <w:rFonts w:ascii="Arial" w:cs="Arial" w:eastAsia="Arial" w:hAnsi="Arial"/>
                <w:sz w:val="21"/>
                <w:szCs w:val="21"/>
                <w:b w:val="1"/>
                <w:bCs w:val="1"/>
                <w:color w:val="auto"/>
                <w:w w:val="89"/>
                <w:vertAlign w:val="superscript"/>
              </w:rPr>
              <w:t>th</w:t>
            </w:r>
            <w:r>
              <w:rPr>
                <w:rFonts w:ascii="Arial" w:cs="Arial" w:eastAsia="Arial" w:hAnsi="Arial"/>
                <w:sz w:val="14"/>
                <w:szCs w:val="14"/>
                <w:b w:val="1"/>
                <w:bCs w:val="1"/>
                <w:color w:val="auto"/>
                <w:w w:val="89"/>
              </w:rPr>
              <w:t xml:space="preserve"> Street, Suite 415</w:t>
            </w:r>
          </w:p>
        </w:tc>
        <w:tc>
          <w:tcPr>
            <w:tcW w:w="3240" w:type="dxa"/>
            <w:vAlign w:val="bottom"/>
          </w:tcPr>
          <w:p>
            <w:pPr>
              <w:spacing w:after="0"/>
              <w:rPr>
                <w:sz w:val="24"/>
                <w:szCs w:val="24"/>
                <w:color w:val="auto"/>
              </w:rPr>
            </w:pPr>
          </w:p>
        </w:tc>
      </w:tr>
      <w:tr>
        <w:trPr>
          <w:trHeight w:val="16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5"/>
              </w:rPr>
              <w:t>Arlington, Virginia</w:t>
            </w:r>
          </w:p>
        </w:tc>
        <w:tc>
          <w:tcPr>
            <w:tcW w:w="3240" w:type="dxa"/>
            <w:vAlign w:val="bottom"/>
          </w:tcPr>
          <w:p>
            <w:pPr>
              <w:jc w:val="right"/>
              <w:ind w:right="788"/>
              <w:spacing w:after="0"/>
              <w:rPr>
                <w:sz w:val="20"/>
                <w:szCs w:val="20"/>
                <w:color w:val="auto"/>
              </w:rPr>
            </w:pPr>
            <w:r>
              <w:rPr>
                <w:rFonts w:ascii="Arial" w:cs="Arial" w:eastAsia="Arial" w:hAnsi="Arial"/>
                <w:sz w:val="14"/>
                <w:szCs w:val="14"/>
                <w:b w:val="1"/>
                <w:bCs w:val="1"/>
                <w:color w:val="auto"/>
              </w:rPr>
              <w:t>22202</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Title of each class</w:t>
            </w:r>
          </w:p>
        </w:tc>
        <w:tc>
          <w:tcPr>
            <w:tcW w:w="2960" w:type="dxa"/>
            <w:vAlign w:val="bottom"/>
          </w:tcPr>
          <w:p>
            <w:pPr>
              <w:jc w:val="center"/>
              <w:ind w:left="242"/>
              <w:spacing w:after="0"/>
              <w:rPr>
                <w:sz w:val="20"/>
                <w:szCs w:val="20"/>
                <w:color w:val="auto"/>
              </w:rPr>
            </w:pPr>
            <w:r>
              <w:rPr>
                <w:rFonts w:ascii="Arial" w:cs="Arial" w:eastAsia="Arial" w:hAnsi="Arial"/>
                <w:sz w:val="11"/>
                <w:szCs w:val="11"/>
                <w:b w:val="1"/>
                <w:bCs w:val="1"/>
                <w:color w:val="auto"/>
                <w:w w:val="89"/>
              </w:rPr>
              <w:t>Trading Symbol(s)</w:t>
            </w:r>
          </w:p>
        </w:tc>
        <w:tc>
          <w:tcPr>
            <w:tcW w:w="3560" w:type="dxa"/>
            <w:vAlign w:val="bottom"/>
          </w:tcPr>
          <w:p>
            <w:pPr>
              <w:jc w:val="center"/>
              <w:ind w:left="222"/>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88"/>
              </w:rPr>
              <w:t>AVAV</w:t>
            </w:r>
          </w:p>
        </w:tc>
        <w:tc>
          <w:tcPr>
            <w:tcW w:w="35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93"/>
              </w:rPr>
              <w:t>The NASDAQ Stock Market LLC</w:t>
            </w:r>
          </w:p>
        </w:tc>
      </w:tr>
    </w:tbl>
    <w:p>
      <w:pPr>
        <w:spacing w:after="0" w:line="168" w:lineRule="exact"/>
        <w:rPr>
          <w:sz w:val="24"/>
          <w:szCs w:val="24"/>
          <w:color w:val="auto"/>
        </w:rPr>
      </w:pPr>
    </w:p>
    <w:p>
      <w:pPr>
        <w:jc w:val="both"/>
        <w:ind w:right="22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right="20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ind w:left="17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7" w:lineRule="exact"/>
        <w:rPr>
          <w:sz w:val="24"/>
          <w:szCs w:val="24"/>
          <w:color w:val="auto"/>
        </w:rPr>
      </w:pPr>
    </w:p>
    <w:p>
      <w:pPr>
        <w:sectPr>
          <w:pgSz w:w="11900" w:h="16838" w:orient="portrait"/>
          <w:cols w:equalWidth="0" w:num="2">
            <w:col w:w="6200" w:space="720"/>
            <w:col w:w="3000"/>
          </w:cols>
          <w:pgMar w:left="980" w:top="665" w:right="999" w:bottom="1440" w:gutter="0" w:footer="0" w:header="0"/>
          <w:type w:val="continuous"/>
        </w:sectPr>
      </w:pPr>
    </w:p>
    <w:p>
      <w:pPr>
        <w:ind w:left="17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900" w:space="720"/>
            <w:col w:w="3300"/>
          </w:cols>
          <w:pgMar w:left="980" w:top="665" w:right="999" w:bottom="1440" w:gutter="0" w:footer="0" w:header="0"/>
          <w:type w:val="continuous"/>
        </w:sectPr>
      </w:pPr>
    </w:p>
    <w:p>
      <w:pPr>
        <w:ind w:left="66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56" w:lineRule="exact"/>
        <w:rPr>
          <w:sz w:val="24"/>
          <w:szCs w:val="24"/>
          <w:color w:val="auto"/>
        </w:rPr>
      </w:pPr>
    </w:p>
    <w:p>
      <w:pPr>
        <w:ind w:right="14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right="2160"/>
        <w:spacing w:after="0" w:line="260"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December 1, 2021, the number of shares outstanding of the registrant’s common stock, $0.0001 par value, was 24,813,218.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427990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gridSpan w:val="13"/>
          </w:tcPr>
          <w:p>
            <w:pPr>
              <w:jc w:val="center"/>
              <w:ind w:right="3100"/>
              <w:spacing w:after="0"/>
              <w:rPr>
                <w:sz w:val="20"/>
                <w:szCs w:val="20"/>
                <w:color w:val="auto"/>
              </w:rPr>
            </w:pPr>
            <w:r>
              <w:rPr>
                <w:rFonts w:ascii="Arial" w:cs="Arial" w:eastAsia="Arial" w:hAnsi="Arial"/>
                <w:sz w:val="18"/>
                <w:szCs w:val="18"/>
                <w:b w:val="1"/>
                <w:bCs w:val="1"/>
                <w:color w:val="auto"/>
                <w:w w:val="93"/>
              </w:rPr>
              <w:t>AeroVironment, Inc.</w:t>
            </w:r>
          </w:p>
        </w:tc>
        <w:tc>
          <w:tcPr>
            <w:tcW w:w="38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gridSpan w:val="13"/>
          </w:tcPr>
          <w:p>
            <w:pPr>
              <w:jc w:val="center"/>
              <w:ind w:right="310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r>
      <w:tr>
        <w:trPr>
          <w:trHeight w:val="405"/>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40" w:type="dxa"/>
            <w:vAlign w:val="bottom"/>
            <w:gridSpan w:val="3"/>
          </w:tcPr>
          <w:p>
            <w:pPr>
              <w:spacing w:after="0"/>
              <w:rPr>
                <w:sz w:val="24"/>
                <w:szCs w:val="24"/>
                <w:color w:val="auto"/>
              </w:rPr>
            </w:pPr>
          </w:p>
        </w:tc>
        <w:tc>
          <w:tcPr>
            <w:tcW w:w="7580" w:type="dxa"/>
            <w:vAlign w:val="bottom"/>
            <w:gridSpan w:val="23"/>
          </w:tcPr>
          <w:p>
            <w:pPr>
              <w:spacing w:after="0"/>
              <w:rPr>
                <w:sz w:val="20"/>
                <w:szCs w:val="20"/>
                <w:color w:val="auto"/>
              </w:rPr>
            </w:pPr>
            <w:r>
              <w:rPr>
                <w:rFonts w:ascii="Arial" w:cs="Arial" w:eastAsia="Arial" w:hAnsi="Arial"/>
                <w:sz w:val="18"/>
                <w:szCs w:val="18"/>
                <w:color w:val="0000EE"/>
              </w:rPr>
              <w:t>Financial Statements</w:t>
            </w:r>
            <w:r>
              <w:rPr>
                <w:rFonts w:ascii="Arial" w:cs="Arial" w:eastAsia="Arial" w:hAnsi="Arial"/>
                <w:sz w:val="18"/>
                <w:szCs w:val="18"/>
                <w:color w:val="000000"/>
              </w:rPr>
              <w:t>:</w:t>
            </w:r>
          </w:p>
        </w:tc>
        <w:tc>
          <w:tcPr>
            <w:tcW w:w="3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Balance Sheets as of October 30, 2021 (Unaudited) and April 30, 2021</w:t>
              </w:r>
            </w:hyperlink>
          </w:p>
        </w:tc>
        <w:tc>
          <w:tcPr>
            <w:tcW w:w="1300" w:type="dxa"/>
            <w:vAlign w:val="bottom"/>
            <w:gridSpan w:val="6"/>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six months ended October 30, 2021</w:t>
              </w:r>
            </w:hyperlink>
          </w:p>
        </w:tc>
        <w:tc>
          <w:tcPr>
            <w:tcW w:w="760" w:type="dxa"/>
            <w:vAlign w:val="bottom"/>
            <w:gridSpan w:val="4"/>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and October 31, 2020 (Unaudited)</w:t>
              </w:r>
            </w:hyperlink>
          </w:p>
        </w:tc>
        <w:tc>
          <w:tcPr>
            <w:tcW w:w="3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0" w:type="dxa"/>
            <w:vAlign w:val="bottom"/>
            <w:gridSpan w:val="22"/>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Comprehensive Income (Loss) for the three and six months ended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580" w:type="dxa"/>
            <w:vAlign w:val="bottom"/>
            <w:tcBorders>
              <w:top w:val="single" w:sz="8" w:color="0000EE"/>
            </w:tcBorders>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October 30, 2021 (Unaudited) and October 31, 2020 (Unaudited)</w:t>
              </w:r>
            </w:hyperlink>
          </w:p>
        </w:tc>
        <w:tc>
          <w:tcPr>
            <w:tcW w:w="64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0" w:type="dxa"/>
            <w:vAlign w:val="bottom"/>
            <w:gridSpan w:val="22"/>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Statements of Stockholders’ Equity for the three and six months ended October 30,</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780" w:type="dxa"/>
            <w:vAlign w:val="bottom"/>
            <w:tcBorders>
              <w:top w:val="single" w:sz="8" w:color="0000EE"/>
            </w:tcBorders>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2021 (Unaudited) and October 31, 2020 (Unaudited)</w:t>
              </w:r>
            </w:hyperlink>
          </w:p>
        </w:tc>
        <w:tc>
          <w:tcPr>
            <w:tcW w:w="4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0" w:type="dxa"/>
            <w:vAlign w:val="bottom"/>
            <w:gridSpan w:val="22"/>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Consolidated Statements of Cash Flows for the six months ended October 30, 2021 (Unaudited) and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020" w:type="dxa"/>
            <w:vAlign w:val="bottom"/>
            <w:tcBorders>
              <w:top w:val="single" w:sz="8" w:color="0000EE"/>
            </w:tcBorders>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October 31, 2020 (Unaudited)</w:t>
              </w:r>
            </w:hyperlink>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3520" w:type="dxa"/>
            <w:vAlign w:val="bottom"/>
            <w:gridSpan w:val="11"/>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440" w:type="dxa"/>
            <w:vAlign w:val="bottom"/>
            <w:gridSpan w:val="3"/>
          </w:tcPr>
          <w:p>
            <w:pPr>
              <w:spacing w:after="0"/>
              <w:rPr>
                <w:sz w:val="19"/>
                <w:szCs w:val="19"/>
                <w:color w:val="auto"/>
              </w:rPr>
            </w:pP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1120" w:type="dxa"/>
            <w:vAlign w:val="bottom"/>
            <w:gridSpan w:val="5"/>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w:t>
              </w:r>
            </w:hyperlink>
          </w:p>
        </w:tc>
        <w:tc>
          <w:tcPr>
            <w:tcW w:w="440" w:type="dxa"/>
            <w:vAlign w:val="bottom"/>
            <w:gridSpan w:val="3"/>
          </w:tcPr>
          <w:p>
            <w:pPr>
              <w:spacing w:after="0"/>
              <w:rPr>
                <w:sz w:val="19"/>
                <w:szCs w:val="19"/>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Quantitative and Qualitative Disclosures About Market Risk</w:t>
              </w:r>
            </w:hyperlink>
          </w:p>
        </w:tc>
        <w:tc>
          <w:tcPr>
            <w:tcW w:w="3220" w:type="dxa"/>
            <w:vAlign w:val="bottom"/>
            <w:gridSpan w:val="8"/>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20" w:type="dxa"/>
            <w:vAlign w:val="bottom"/>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w:t>
              </w:r>
            </w:hyperlink>
          </w:p>
        </w:tc>
        <w:tc>
          <w:tcPr>
            <w:tcW w:w="440" w:type="dxa"/>
            <w:vAlign w:val="bottom"/>
            <w:gridSpan w:val="3"/>
          </w:tcPr>
          <w:p>
            <w:pPr>
              <w:spacing w:after="0"/>
              <w:rPr>
                <w:sz w:val="19"/>
                <w:szCs w:val="19"/>
                <w:color w:val="auto"/>
              </w:rPr>
            </w:pPr>
          </w:p>
        </w:tc>
        <w:tc>
          <w:tcPr>
            <w:tcW w:w="7580" w:type="dxa"/>
            <w:vAlign w:val="bottom"/>
            <w:gridSpan w:val="2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66"/>
        </w:trPr>
        <w:tc>
          <w:tcPr>
            <w:tcW w:w="27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OTHER INFORMATION</w:t>
              </w:r>
            </w:hyperlink>
          </w:p>
        </w:tc>
        <w:tc>
          <w:tcPr>
            <w:tcW w:w="576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r>
      <w:tr>
        <w:trPr>
          <w:trHeight w:val="466"/>
        </w:trPr>
        <w:tc>
          <w:tcPr>
            <w:tcW w:w="520" w:type="dxa"/>
            <w:vAlign w:val="bottom"/>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1.</w:t>
              </w:r>
            </w:hyperlink>
          </w:p>
        </w:tc>
        <w:tc>
          <w:tcPr>
            <w:tcW w:w="440" w:type="dxa"/>
            <w:vAlign w:val="bottom"/>
            <w:gridSpan w:val="3"/>
          </w:tcPr>
          <w:p>
            <w:pPr>
              <w:spacing w:after="0"/>
              <w:rPr>
                <w:sz w:val="24"/>
                <w:szCs w:val="24"/>
                <w:color w:val="auto"/>
              </w:rPr>
            </w:pPr>
          </w:p>
        </w:tc>
        <w:tc>
          <w:tcPr>
            <w:tcW w:w="7580" w:type="dxa"/>
            <w:vAlign w:val="bottom"/>
            <w:gridSpan w:val="2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1A.</w:t>
              </w:r>
            </w:hyperlink>
          </w:p>
        </w:tc>
        <w:tc>
          <w:tcPr>
            <w:tcW w:w="7580" w:type="dxa"/>
            <w:vAlign w:val="bottom"/>
            <w:gridSpan w:val="2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58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440" w:type="dxa"/>
            <w:vAlign w:val="bottom"/>
            <w:gridSpan w:val="3"/>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5"/>
          </w:tcPr>
          <w:p>
            <w:pPr>
              <w:spacing w:after="0"/>
              <w:rPr>
                <w:sz w:val="19"/>
                <w:szCs w:val="19"/>
                <w:color w:val="auto"/>
              </w:rPr>
            </w:pPr>
          </w:p>
        </w:tc>
        <w:tc>
          <w:tcPr>
            <w:tcW w:w="3240" w:type="dxa"/>
            <w:vAlign w:val="bottom"/>
            <w:gridSpan w:val="9"/>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20" w:type="dxa"/>
            <w:vAlign w:val="bottom"/>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440" w:type="dxa"/>
            <w:vAlign w:val="bottom"/>
            <w:gridSpan w:val="3"/>
          </w:tcPr>
          <w:p>
            <w:pPr>
              <w:spacing w:after="0"/>
              <w:rPr>
                <w:sz w:val="19"/>
                <w:szCs w:val="19"/>
                <w:color w:val="auto"/>
              </w:rPr>
            </w:pPr>
          </w:p>
        </w:tc>
        <w:tc>
          <w:tcPr>
            <w:tcW w:w="758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5.</w:t>
              </w:r>
            </w:hyperlink>
          </w:p>
        </w:tc>
        <w:tc>
          <w:tcPr>
            <w:tcW w:w="440" w:type="dxa"/>
            <w:vAlign w:val="bottom"/>
            <w:gridSpan w:val="3"/>
          </w:tcPr>
          <w:p>
            <w:pPr>
              <w:spacing w:after="0"/>
              <w:rPr>
                <w:sz w:val="19"/>
                <w:szCs w:val="19"/>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5820" w:type="dxa"/>
            <w:vAlign w:val="bottom"/>
            <w:gridSpan w:val="16"/>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6.</w:t>
              </w:r>
            </w:hyperlink>
          </w:p>
        </w:tc>
        <w:tc>
          <w:tcPr>
            <w:tcW w:w="440" w:type="dxa"/>
            <w:vAlign w:val="bottom"/>
            <w:gridSpan w:val="3"/>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19"/>
                <w:szCs w:val="19"/>
                <w:color w:val="auto"/>
              </w:rPr>
            </w:pPr>
          </w:p>
        </w:tc>
        <w:tc>
          <w:tcPr>
            <w:tcW w:w="6260" w:type="dxa"/>
            <w:vAlign w:val="bottom"/>
            <w:gridSpan w:val="18"/>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960" w:type="dxa"/>
            <w:vAlign w:val="bottom"/>
            <w:gridSpan w:val="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October 30,</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9"/>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line="162" w:lineRule="exact"/>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104,770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148,741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line="162" w:lineRule="exact"/>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6,311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31,971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600" w:type="dxa"/>
            <w:vAlign w:val="bottom"/>
            <w:shd w:val="clear" w:color="auto" w:fill="CCEEFF"/>
          </w:tcPr>
          <w:p>
            <w:pPr>
              <w:ind w:left="220"/>
              <w:spacing w:after="0" w:line="138" w:lineRule="exact"/>
              <w:rPr>
                <w:sz w:val="20"/>
                <w:szCs w:val="20"/>
                <w:color w:val="auto"/>
              </w:rPr>
            </w:pPr>
            <w:r>
              <w:rPr>
                <w:rFonts w:ascii="Arial" w:cs="Arial" w:eastAsia="Arial" w:hAnsi="Arial"/>
                <w:sz w:val="16"/>
                <w:szCs w:val="16"/>
                <w:color w:val="auto"/>
                <w:w w:val="97"/>
              </w:rPr>
              <w:t>Accounts receivable, net of allowance for doubtful accounts of $566 at October 30, 2021 and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26,552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62,647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$595 at April 30, 2021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00" w:type="dxa"/>
            <w:vAlign w:val="bottom"/>
          </w:tcPr>
          <w:p>
            <w:pPr>
              <w:ind w:left="220"/>
              <w:spacing w:after="0" w:line="138" w:lineRule="exact"/>
              <w:rPr>
                <w:sz w:val="20"/>
                <w:szCs w:val="20"/>
                <w:color w:val="auto"/>
              </w:rPr>
            </w:pPr>
            <w:r>
              <w:rPr>
                <w:rFonts w:ascii="Arial" w:cs="Arial" w:eastAsia="Arial" w:hAnsi="Arial"/>
                <w:sz w:val="16"/>
                <w:szCs w:val="16"/>
                <w:color w:val="auto"/>
                <w:w w:val="95"/>
              </w:rPr>
              <w:t>Unbilled receivables and retentions (inclusive of related party unbilled receivables of $9,215 at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119,031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71,632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00" w:type="dxa"/>
            <w:vAlign w:val="bottom"/>
          </w:tcPr>
          <w:p>
            <w:pPr>
              <w:ind w:left="220"/>
              <w:spacing w:after="0"/>
              <w:rPr>
                <w:sz w:val="20"/>
                <w:szCs w:val="20"/>
                <w:color w:val="auto"/>
              </w:rPr>
            </w:pPr>
            <w:r>
              <w:rPr>
                <w:rFonts w:ascii="Arial" w:cs="Arial" w:eastAsia="Arial" w:hAnsi="Arial"/>
                <w:sz w:val="16"/>
                <w:szCs w:val="16"/>
                <w:color w:val="auto"/>
              </w:rPr>
              <w:t>October 30, 2021 and $544 at April 30, 2021)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81,944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71,646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line="162" w:lineRule="exact"/>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11,708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13,761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line="155" w:lineRule="exact"/>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364,077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401,638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Long-term investments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11,271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12,156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line="162" w:lineRule="exact"/>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68,217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58,896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26,058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22,902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line="162" w:lineRule="exact"/>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2,900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2,061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Intangibles, net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110,620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106,268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line="162" w:lineRule="exact"/>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335,888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314,205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6,276</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10,440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6"/>
                <w:szCs w:val="16"/>
                <w:color w:val="auto"/>
              </w:rPr>
              <w:t>925,307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928,566</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00" w:type="dxa"/>
            <w:vAlign w:val="bottom"/>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line="162" w:lineRule="exact"/>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21,443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24,841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line="162" w:lineRule="exact"/>
              <w:rPr>
                <w:sz w:val="20"/>
                <w:szCs w:val="20"/>
                <w:color w:val="auto"/>
              </w:rPr>
            </w:pPr>
            <w:r>
              <w:rPr>
                <w:rFonts w:ascii="Arial" w:cs="Arial" w:eastAsia="Arial" w:hAnsi="Arial"/>
                <w:sz w:val="16"/>
                <w:szCs w:val="16"/>
                <w:color w:val="auto"/>
              </w:rPr>
              <w:t>Wages and related accruals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21,697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28,068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Customer advances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10,322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7,183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line="162" w:lineRule="exact"/>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10,000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10,000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Current operating lease liabilities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6,440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6,154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line="162" w:lineRule="exact"/>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214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861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Other current liabilities</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31,313</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19,078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101,429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6"/>
                <w:szCs w:val="16"/>
                <w:color w:val="auto"/>
              </w:rPr>
              <w:t>96,185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Long-term debt, net of current portion</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182,769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187,512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line="162" w:lineRule="exact"/>
              <w:rPr>
                <w:sz w:val="20"/>
                <w:szCs w:val="20"/>
                <w:color w:val="auto"/>
              </w:rPr>
            </w:pPr>
            <w:r>
              <w:rPr>
                <w:rFonts w:ascii="Arial" w:cs="Arial" w:eastAsia="Arial" w:hAnsi="Arial"/>
                <w:sz w:val="16"/>
                <w:szCs w:val="16"/>
                <w:color w:val="auto"/>
              </w:rPr>
              <w:t>Non-current operating lease liabilities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21,665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19,103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 non-current liabilities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10,302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10,141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line="162" w:lineRule="exact"/>
              <w:rPr>
                <w:sz w:val="20"/>
                <w:szCs w:val="20"/>
                <w:color w:val="auto"/>
              </w:rPr>
            </w:pPr>
            <w:r>
              <w:rPr>
                <w:rFonts w:ascii="Arial" w:cs="Arial" w:eastAsia="Arial" w:hAnsi="Arial"/>
                <w:sz w:val="16"/>
                <w:szCs w:val="16"/>
                <w:color w:val="auto"/>
              </w:rPr>
              <w:t>Liability for uncertain tax positions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3,518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3,518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5,390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600" w:type="dxa"/>
            <w:vAlign w:val="bottom"/>
          </w:tcPr>
          <w:p>
            <w:pPr>
              <w:spacing w:after="0" w:line="162" w:lineRule="exact"/>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line="162" w:lineRule="exact"/>
              <w:rPr>
                <w:sz w:val="20"/>
                <w:szCs w:val="20"/>
                <w:color w:val="auto"/>
              </w:rPr>
            </w:pPr>
            <w:r>
              <w:rPr>
                <w:rFonts w:ascii="Arial" w:cs="Arial" w:eastAsia="Arial" w:hAnsi="Arial"/>
                <w:sz w:val="16"/>
                <w:szCs w:val="16"/>
                <w:color w:val="auto"/>
              </w:rPr>
              <w:t>Preferred stock, $0.0001 par value: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600" w:type="dxa"/>
            <w:vAlign w:val="bottom"/>
            <w:shd w:val="clear" w:color="auto" w:fill="CCEEFF"/>
          </w:tcPr>
          <w:p>
            <w:pPr>
              <w:ind w:left="340"/>
              <w:spacing w:after="0" w:line="138" w:lineRule="exact"/>
              <w:rPr>
                <w:sz w:val="20"/>
                <w:szCs w:val="20"/>
                <w:color w:val="auto"/>
              </w:rPr>
            </w:pPr>
            <w:r>
              <w:rPr>
                <w:rFonts w:ascii="Arial" w:cs="Arial" w:eastAsia="Arial" w:hAnsi="Arial"/>
                <w:sz w:val="16"/>
                <w:szCs w:val="16"/>
                <w:color w:val="auto"/>
              </w:rPr>
              <w:t>Authorized shares—10,000,000; none issued or outstanding at October 30, 2021 and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April 30, 2021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line="162" w:lineRule="exact"/>
              <w:rPr>
                <w:sz w:val="20"/>
                <w:szCs w:val="20"/>
                <w:color w:val="auto"/>
              </w:rPr>
            </w:pPr>
            <w:r>
              <w:rPr>
                <w:rFonts w:ascii="Arial" w:cs="Arial" w:eastAsia="Arial" w:hAnsi="Arial"/>
                <w:sz w:val="16"/>
                <w:szCs w:val="16"/>
                <w:color w:val="auto"/>
              </w:rPr>
              <w:t>Common stock, $0.0001 par value: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340"/>
              <w:spacing w:after="0" w:line="162" w:lineRule="exact"/>
              <w:rPr>
                <w:sz w:val="20"/>
                <w:szCs w:val="20"/>
                <w:color w:val="auto"/>
              </w:rPr>
            </w:pPr>
            <w:r>
              <w:rPr>
                <w:rFonts w:ascii="Arial" w:cs="Arial" w:eastAsia="Arial" w:hAnsi="Arial"/>
                <w:sz w:val="16"/>
                <w:szCs w:val="16"/>
                <w:color w:val="auto"/>
              </w:rPr>
              <w:t>Authorized shares—100,000,000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600" w:type="dxa"/>
            <w:vAlign w:val="bottom"/>
          </w:tcPr>
          <w:p>
            <w:pPr>
              <w:ind w:left="340"/>
              <w:spacing w:after="0" w:line="138" w:lineRule="exact"/>
              <w:rPr>
                <w:sz w:val="20"/>
                <w:szCs w:val="20"/>
                <w:color w:val="auto"/>
              </w:rPr>
            </w:pPr>
            <w:r>
              <w:rPr>
                <w:rFonts w:ascii="Arial" w:cs="Arial" w:eastAsia="Arial" w:hAnsi="Arial"/>
                <w:sz w:val="16"/>
                <w:szCs w:val="16"/>
                <w:color w:val="auto"/>
                <w:w w:val="91"/>
              </w:rPr>
              <w:t>Issued and outstanding shares—24,805,829 shares at October 30, 2021 and 24,777,295 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00" w:type="dxa"/>
            <w:vAlign w:val="bottom"/>
          </w:tcPr>
          <w:p>
            <w:pPr>
              <w:ind w:left="340"/>
              <w:spacing w:after="0"/>
              <w:rPr>
                <w:sz w:val="20"/>
                <w:szCs w:val="20"/>
                <w:color w:val="auto"/>
              </w:rPr>
            </w:pPr>
            <w:r>
              <w:rPr>
                <w:rFonts w:ascii="Arial" w:cs="Arial" w:eastAsia="Arial" w:hAnsi="Arial"/>
                <w:sz w:val="16"/>
                <w:szCs w:val="16"/>
                <w:color w:val="auto"/>
              </w:rPr>
              <w:t>at April 30, 2021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261,612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260,327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line="162" w:lineRule="exact"/>
              <w:rPr>
                <w:sz w:val="20"/>
                <w:szCs w:val="20"/>
                <w:color w:val="auto"/>
              </w:rPr>
            </w:pPr>
            <w:r>
              <w:rPr>
                <w:rFonts w:ascii="Arial" w:cs="Arial" w:eastAsia="Arial" w:hAnsi="Arial"/>
                <w:sz w:val="16"/>
                <w:szCs w:val="16"/>
                <w:color w:val="auto"/>
              </w:rPr>
              <w:t>Accumulated other comprehensive (loss) income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200"/>
              <w:spacing w:after="0" w:line="162" w:lineRule="exact"/>
              <w:rPr>
                <w:sz w:val="20"/>
                <w:szCs w:val="20"/>
                <w:color w:val="auto"/>
              </w:rPr>
            </w:pPr>
            <w:r>
              <w:rPr>
                <w:rFonts w:ascii="Arial" w:cs="Arial" w:eastAsia="Arial" w:hAnsi="Arial"/>
                <w:sz w:val="16"/>
                <w:szCs w:val="16"/>
                <w:color w:val="auto"/>
              </w:rPr>
              <w:t>(1,677)</w:t>
            </w: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6"/>
                <w:szCs w:val="16"/>
                <w:color w:val="auto"/>
              </w:rPr>
              <w:t>343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339,965</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351,421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6"/>
                <w:szCs w:val="16"/>
                <w:color w:val="auto"/>
              </w:rPr>
              <w:t>Total AeroVironment, Inc. stockholders’ equity</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6"/>
                <w:szCs w:val="16"/>
                <w:color w:val="auto"/>
              </w:rPr>
              <w:t>599,902</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612,093</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CEEFF"/>
          </w:tcPr>
          <w:p>
            <w:pPr>
              <w:ind w:left="220"/>
              <w:spacing w:after="0" w:line="155" w:lineRule="exact"/>
              <w:rPr>
                <w:sz w:val="20"/>
                <w:szCs w:val="20"/>
                <w:color w:val="auto"/>
              </w:rPr>
            </w:pPr>
            <w:r>
              <w:rPr>
                <w:rFonts w:ascii="Arial" w:cs="Arial" w:eastAsia="Arial" w:hAnsi="Arial"/>
                <w:sz w:val="16"/>
                <w:szCs w:val="16"/>
                <w:color w:val="auto"/>
              </w:rPr>
              <w:t>Noncontrolling interest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6"/>
                <w:szCs w:val="16"/>
                <w:color w:val="auto"/>
              </w:rPr>
              <w:t>332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rPr>
              <w:t>600,234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612,107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6"/>
                <w:szCs w:val="16"/>
                <w:color w:val="auto"/>
              </w:rPr>
              <w:t>925,307</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928,566</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October 30,</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w w:val="97"/>
              </w:rPr>
              <w:t>October 31,</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October 30,</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w w:val="97"/>
              </w:rPr>
              <w:t>October 31,</w:t>
            </w:r>
          </w:p>
        </w:tc>
        <w:tc>
          <w:tcPr>
            <w:tcW w:w="40" w:type="dxa"/>
            <w:vAlign w:val="bottom"/>
          </w:tcPr>
          <w:p>
            <w:pPr>
              <w:spacing w:after="0"/>
              <w:rPr>
                <w:sz w:val="10"/>
                <w:szCs w:val="10"/>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70,998</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65,528</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124,114</w:t>
            </w:r>
          </w:p>
        </w:tc>
        <w:tc>
          <w:tcPr>
            <w:tcW w:w="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123,885</w:t>
            </w:r>
          </w:p>
        </w:tc>
        <w:tc>
          <w:tcPr>
            <w:tcW w:w="40" w:type="dxa"/>
            <w:vAlign w:val="bottom"/>
          </w:tcPr>
          <w:p>
            <w:pPr>
              <w:spacing w:after="0"/>
              <w:rPr>
                <w:sz w:val="17"/>
                <w:szCs w:val="17"/>
                <w:color w:val="auto"/>
              </w:rPr>
            </w:pPr>
          </w:p>
        </w:tc>
      </w:tr>
      <w:tr>
        <w:trPr>
          <w:trHeight w:val="19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 (inclusive of related party revenue of $10,342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$11,452 for the three months ended October 30, 2021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October 31, 2020, respectively; and $20,694 and $27,838 for the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six months ended October 30, 2021 and October 31, 2020,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56,230</w:t>
            </w:r>
          </w:p>
        </w:tc>
        <w:tc>
          <w:tcPr>
            <w:tcW w:w="40" w:type="dxa"/>
            <w:vAlign w:val="bottom"/>
            <w:shd w:val="clear" w:color="auto" w:fill="CCEEFF"/>
          </w:tcPr>
          <w:p>
            <w:pPr>
              <w:spacing w:after="0"/>
              <w:rPr>
                <w:sz w:val="18"/>
                <w:szCs w:val="18"/>
                <w:color w:val="auto"/>
              </w:rPr>
            </w:pPr>
          </w:p>
        </w:tc>
      </w:tr>
      <w:tr>
        <w:trPr>
          <w:trHeight w:val="199"/>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122,008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92,665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223,017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180,115</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38,937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34,209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71,527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66,293</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40,616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17,605</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80,312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37,560</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79,553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51,814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151,839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103,853</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32,061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52,587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57,592</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18,670</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42,455</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71,178</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76,262</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51,947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26,988</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14,297</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28,005</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23,079</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26,195</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Other (loss) income: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income, net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(10,048)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(10,394)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7"/>
                <w:szCs w:val="17"/>
                <w:color w:val="auto"/>
              </w:rPr>
            </w:pP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before income taxes</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(8,088)</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14,085</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26,623</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(Benefit from) provision for income taxes</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(9,511)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(10,468)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3,698</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income (loss), net of tax</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(9,522)</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(10,810)</w:t>
            </w:r>
          </w:p>
        </w:tc>
      </w:tr>
      <w:tr>
        <w:trPr>
          <w:trHeight w:val="196"/>
        </w:trPr>
        <w:tc>
          <w:tcPr>
            <w:tcW w:w="4760" w:type="dxa"/>
            <w:vAlign w:val="bottom"/>
          </w:tcPr>
          <w:p>
            <w:pPr>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2,072</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(11,362)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12,115</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 interest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40" w:type="dxa"/>
            <w:vAlign w:val="bottom"/>
            <w:shd w:val="clear" w:color="auto" w:fill="CCEEFF"/>
          </w:tcPr>
          <w:p>
            <w:pPr>
              <w:spacing w:after="0"/>
              <w:rPr>
                <w:sz w:val="17"/>
                <w:szCs w:val="17"/>
                <w:color w:val="auto"/>
              </w:rPr>
            </w:pPr>
          </w:p>
        </w:tc>
      </w:tr>
      <w:tr>
        <w:trPr>
          <w:trHeight w:val="236"/>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 attributable to AeroVironment,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2,525</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2,094</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(11,456)</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12,174</w:t>
            </w:r>
          </w:p>
        </w:tc>
        <w:tc>
          <w:tcPr>
            <w:tcW w:w="40" w:type="dxa"/>
            <w:vAlign w:val="bottom"/>
            <w:tcBorders>
              <w:bottom w:val="single" w:sz="8" w:color="CCEEFF"/>
            </w:tcBorders>
          </w:tcPr>
          <w:p>
            <w:pPr>
              <w:spacing w:after="0"/>
              <w:rPr>
                <w:sz w:val="20"/>
                <w:szCs w:val="20"/>
                <w:color w:val="auto"/>
              </w:rPr>
            </w:pPr>
          </w:p>
        </w:tc>
      </w:tr>
      <w:tr>
        <w:trPr>
          <w:trHeight w:val="183"/>
        </w:trPr>
        <w:tc>
          <w:tcPr>
            <w:tcW w:w="47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(loss) per share attributable to AeroVironment, Inc.</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760" w:type="dxa"/>
            <w:vAlign w:val="bottom"/>
          </w:tcPr>
          <w:p>
            <w:pPr>
              <w:ind w:left="3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0.09</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(0.47)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0.51</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24,641,614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23,936,950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24,630,838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23,914,737</w:t>
            </w:r>
          </w:p>
        </w:tc>
        <w:tc>
          <w:tcPr>
            <w:tcW w:w="40" w:type="dxa"/>
            <w:vAlign w:val="bottom"/>
            <w:shd w:val="clear" w:color="auto" w:fill="CCEEFF"/>
          </w:tcPr>
          <w:p>
            <w:pPr>
              <w:spacing w:after="0"/>
              <w:rPr>
                <w:sz w:val="17"/>
                <w:szCs w:val="17"/>
                <w:color w:val="auto"/>
              </w:rPr>
            </w:pPr>
          </w:p>
        </w:tc>
      </w:tr>
      <w:tr>
        <w:trPr>
          <w:trHeight w:val="206"/>
        </w:trPr>
        <w:tc>
          <w:tcPr>
            <w:tcW w:w="4760" w:type="dxa"/>
            <w:vAlign w:val="bottom"/>
          </w:tcPr>
          <w:p>
            <w:pPr>
              <w:ind w:left="34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24,885,870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4"/>
              </w:rPr>
              <w:t>24,196,912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24,630,838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24,190,316</w:t>
            </w:r>
          </w:p>
        </w:tc>
        <w:tc>
          <w:tcPr>
            <w:tcW w:w="40" w:type="dxa"/>
            <w:vAlign w:val="bottom"/>
          </w:tcPr>
          <w:p>
            <w:pPr>
              <w:spacing w:after="0"/>
              <w:rPr>
                <w:sz w:val="17"/>
                <w:szCs w:val="17"/>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98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October 30,</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October 30,</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October 31,</w:t>
            </w:r>
          </w:p>
        </w:tc>
        <w:tc>
          <w:tcPr>
            <w:tcW w:w="120" w:type="dxa"/>
            <w:vAlign w:val="bottom"/>
          </w:tcPr>
          <w:p>
            <w:pPr>
              <w:spacing w:after="0"/>
              <w:rPr>
                <w:sz w:val="10"/>
                <w:szCs w:val="10"/>
                <w:color w:val="auto"/>
              </w:rPr>
            </w:pPr>
          </w:p>
        </w:tc>
      </w:tr>
      <w:tr>
        <w:trPr>
          <w:trHeight w:val="171"/>
        </w:trPr>
        <w:tc>
          <w:tcPr>
            <w:tcW w:w="4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9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Unrealized gain (loss) on available-for-sale investments, net of</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(expense) benefit of $0 and $(3) for the three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months ended October 30, 2021 and October 31, 2020,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respectively; and $0 and $1 for the six months ended October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30, 2021 and October 31, 2020, respectively</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(13,382)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r>
      <w:tr>
        <w:trPr>
          <w:trHeight w:val="209"/>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Comprehensive income (loss) attributable to AeroVironment, Inc.</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(13,476)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October 30, 2021 and October 31, 2020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48"/>
        </w:trPr>
        <w:tc>
          <w:tcPr>
            <w:tcW w:w="2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2"/>
                <w:szCs w:val="12"/>
                <w:color w:val="auto"/>
              </w:rPr>
            </w:pPr>
          </w:p>
        </w:tc>
        <w:tc>
          <w:tcPr>
            <w:tcW w:w="900" w:type="dxa"/>
            <w:vAlign w:val="bottom"/>
          </w:tcPr>
          <w:p>
            <w:pPr>
              <w:jc w:val="center"/>
              <w:ind w:right="149"/>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3"/>
        </w:trPr>
        <w:tc>
          <w:tcPr>
            <w:tcW w:w="2540" w:type="dxa"/>
            <w:vAlign w:val="bottom"/>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760" w:type="dxa"/>
            <w:vAlign w:val="bottom"/>
            <w:gridSpan w:val="7"/>
          </w:tcPr>
          <w:p>
            <w:pPr>
              <w:spacing w:after="0"/>
              <w:rPr>
                <w:sz w:val="20"/>
                <w:szCs w:val="20"/>
                <w:color w:val="auto"/>
              </w:rPr>
            </w:pPr>
            <w:r>
              <w:rPr>
                <w:rFonts w:ascii="Arial" w:cs="Arial" w:eastAsia="Arial" w:hAnsi="Arial"/>
                <w:sz w:val="13"/>
                <w:szCs w:val="13"/>
                <w:b w:val="1"/>
                <w:bCs w:val="1"/>
                <w:color w:val="auto"/>
                <w:w w:val="93"/>
              </w:rPr>
              <w:t>ComprehensiveAeroVironment, Inc.Controlling</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28"/>
        </w:trPr>
        <w:tc>
          <w:tcPr>
            <w:tcW w:w="2540" w:type="dxa"/>
            <w:vAlign w:val="bottom"/>
          </w:tcPr>
          <w:p>
            <w:pPr>
              <w:spacing w:after="0"/>
              <w:rPr>
                <w:sz w:val="11"/>
                <w:szCs w:val="11"/>
                <w:color w:val="auto"/>
              </w:rPr>
            </w:pPr>
          </w:p>
        </w:tc>
        <w:tc>
          <w:tcPr>
            <w:tcW w:w="7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Income (Loss)</w:t>
            </w:r>
          </w:p>
        </w:tc>
        <w:tc>
          <w:tcPr>
            <w:tcW w:w="240" w:type="dxa"/>
            <w:vAlign w:val="bottom"/>
          </w:tcPr>
          <w:p>
            <w:pPr>
              <w:spacing w:after="0"/>
              <w:rPr>
                <w:sz w:val="11"/>
                <w:szCs w:val="11"/>
                <w:color w:val="auto"/>
              </w:rPr>
            </w:pPr>
          </w:p>
        </w:tc>
        <w:tc>
          <w:tcPr>
            <w:tcW w:w="900" w:type="dxa"/>
            <w:vAlign w:val="bottom"/>
          </w:tcPr>
          <w:p>
            <w:pPr>
              <w:jc w:val="center"/>
              <w:ind w:right="149"/>
              <w:spacing w:after="0" w:line="129"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1"/>
                <w:szCs w:val="11"/>
                <w:color w:val="auto"/>
              </w:rPr>
            </w:pPr>
          </w:p>
        </w:tc>
        <w:tc>
          <w:tcPr>
            <w:tcW w:w="68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89"/>
              </w:rPr>
              <w:t>Interest</w:t>
            </w:r>
          </w:p>
        </w:tc>
        <w:tc>
          <w:tcPr>
            <w:tcW w:w="80" w:type="dxa"/>
            <w:vAlign w:val="bottom"/>
          </w:tcPr>
          <w:p>
            <w:pPr>
              <w:spacing w:after="0"/>
              <w:rPr>
                <w:sz w:val="11"/>
                <w:szCs w:val="11"/>
                <w:color w:val="auto"/>
              </w:rPr>
            </w:pPr>
          </w:p>
        </w:tc>
        <w:tc>
          <w:tcPr>
            <w:tcW w:w="620" w:type="dxa"/>
            <w:vAlign w:val="bottom"/>
          </w:tcPr>
          <w:p>
            <w:pPr>
              <w:jc w:val="right"/>
              <w:ind w:right="18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24,777,295</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right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$ 260,327</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$ 351,421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w:t>
            </w: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612,093</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right w:val="single" w:sz="8" w:color="CCEEFF"/>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94"/>
              </w:rPr>
              <w:t>612,107</w:t>
            </w:r>
          </w:p>
        </w:tc>
      </w:tr>
      <w:tr>
        <w:trPr>
          <w:trHeight w:val="148"/>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Net (loss)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(11,456)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(11,456)</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(11,362)</w:t>
            </w:r>
          </w:p>
        </w:tc>
      </w:tr>
      <w:tr>
        <w:trPr>
          <w:trHeight w:val="148"/>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r>
      <w:tr>
        <w:trPr>
          <w:trHeight w:val="148"/>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(2,017)</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(2,017)</w:t>
            </w:r>
          </w:p>
        </w:tc>
      </w:tr>
      <w:tr>
        <w:trPr>
          <w:trHeight w:val="148"/>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119</w:t>
            </w:r>
          </w:p>
        </w:tc>
      </w:tr>
      <w:tr>
        <w:trPr>
          <w:trHeight w:val="148"/>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52,226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r>
      <w:tr>
        <w:trPr>
          <w:trHeight w:val="130"/>
        </w:trPr>
        <w:tc>
          <w:tcPr>
            <w:tcW w:w="254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7"/>
        </w:trPr>
        <w:tc>
          <w:tcPr>
            <w:tcW w:w="2540" w:type="dxa"/>
            <w:vAlign w:val="bottom"/>
          </w:tcPr>
          <w:p>
            <w:pPr>
              <w:ind w:left="220"/>
              <w:spacing w:after="0"/>
              <w:rPr>
                <w:sz w:val="20"/>
                <w:szCs w:val="20"/>
                <w:color w:val="auto"/>
              </w:rPr>
            </w:pPr>
            <w:r>
              <w:rPr>
                <w:rFonts w:ascii="Arial" w:cs="Arial" w:eastAsia="Arial" w:hAnsi="Arial"/>
                <w:sz w:val="14"/>
                <w:szCs w:val="14"/>
                <w:color w:val="auto"/>
                <w:w w:val="98"/>
              </w:rPr>
              <w:t>net 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(11,941)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(1,176)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(1,176)</w:t>
            </w:r>
          </w:p>
        </w:tc>
      </w:tr>
      <w:tr>
        <w:trPr>
          <w:trHeight w:val="148"/>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 in non-controlling interest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224</w:t>
            </w:r>
          </w:p>
        </w:tc>
      </w:tr>
      <w:tr>
        <w:trPr>
          <w:trHeight w:val="148"/>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2,342</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2,342</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2,342</w:t>
            </w:r>
          </w:p>
        </w:tc>
      </w:tr>
      <w:tr>
        <w:trPr>
          <w:trHeight w:val="142"/>
        </w:trPr>
        <w:tc>
          <w:tcPr>
            <w:tcW w:w="25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30, 2021</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24,805,829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$ 261,612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$ 339,965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gridSpan w:val="2"/>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(1,677)$</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599,902</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w:t>
            </w:r>
          </w:p>
        </w:tc>
        <w:tc>
          <w:tcPr>
            <w:tcW w:w="16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right w:val="single" w:sz="8" w:color="CCEEFF"/>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94"/>
              </w:rPr>
              <w:t>600,234</w:t>
            </w:r>
          </w:p>
        </w:tc>
      </w:tr>
      <w:tr>
        <w:trPr>
          <w:trHeight w:val="20"/>
        </w:trPr>
        <w:tc>
          <w:tcPr>
            <w:tcW w:w="2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23"/>
        </w:trPr>
        <w:tc>
          <w:tcPr>
            <w:tcW w:w="2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8"/>
                <w:szCs w:val="18"/>
                <w:color w:val="auto"/>
              </w:rPr>
            </w:pPr>
          </w:p>
        </w:tc>
        <w:tc>
          <w:tcPr>
            <w:tcW w:w="900" w:type="dxa"/>
            <w:vAlign w:val="bottom"/>
          </w:tcPr>
          <w:p>
            <w:pPr>
              <w:jc w:val="center"/>
              <w:ind w:right="149"/>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5"/>
        </w:trPr>
        <w:tc>
          <w:tcPr>
            <w:tcW w:w="254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7"/>
                <w:szCs w:val="17"/>
                <w:color w:val="auto"/>
              </w:rPr>
            </w:pPr>
          </w:p>
        </w:tc>
        <w:tc>
          <w:tcPr>
            <w:tcW w:w="2760" w:type="dxa"/>
            <w:vAlign w:val="bottom"/>
            <w:gridSpan w:val="7"/>
          </w:tcPr>
          <w:p>
            <w:pPr>
              <w:spacing w:after="0"/>
              <w:rPr>
                <w:sz w:val="20"/>
                <w:szCs w:val="20"/>
                <w:color w:val="auto"/>
              </w:rPr>
            </w:pPr>
            <w:r>
              <w:rPr>
                <w:rFonts w:ascii="Arial" w:cs="Arial" w:eastAsia="Arial" w:hAnsi="Arial"/>
                <w:sz w:val="13"/>
                <w:szCs w:val="13"/>
                <w:b w:val="1"/>
                <w:bCs w:val="1"/>
                <w:color w:val="auto"/>
                <w:w w:val="93"/>
              </w:rPr>
              <w:t>ComprehensiveAeroVironment, Inc.Controlling</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2540" w:type="dxa"/>
            <w:vAlign w:val="bottom"/>
          </w:tcPr>
          <w:p>
            <w:pPr>
              <w:spacing w:after="0"/>
              <w:rPr>
                <w:sz w:val="17"/>
                <w:szCs w:val="17"/>
                <w:color w:val="auto"/>
              </w:rPr>
            </w:pPr>
          </w:p>
        </w:tc>
        <w:tc>
          <w:tcPr>
            <w:tcW w:w="740" w:type="dxa"/>
            <w:vAlign w:val="bottom"/>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7"/>
                <w:szCs w:val="17"/>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240" w:type="dxa"/>
            <w:vAlign w:val="bottom"/>
          </w:tcPr>
          <w:p>
            <w:pPr>
              <w:spacing w:after="0"/>
              <w:rPr>
                <w:sz w:val="17"/>
                <w:szCs w:val="17"/>
                <w:color w:val="auto"/>
              </w:rPr>
            </w:pPr>
          </w:p>
        </w:tc>
        <w:tc>
          <w:tcPr>
            <w:tcW w:w="900" w:type="dxa"/>
            <w:vAlign w:val="bottom"/>
          </w:tcPr>
          <w:p>
            <w:pPr>
              <w:jc w:val="center"/>
              <w:ind w:right="149"/>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7"/>
                <w:szCs w:val="17"/>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Interest</w:t>
            </w:r>
          </w:p>
        </w:tc>
        <w:tc>
          <w:tcPr>
            <w:tcW w:w="80" w:type="dxa"/>
            <w:vAlign w:val="bottom"/>
          </w:tcPr>
          <w:p>
            <w:pPr>
              <w:spacing w:after="0"/>
              <w:rPr>
                <w:sz w:val="17"/>
                <w:szCs w:val="17"/>
                <w:color w:val="auto"/>
              </w:rPr>
            </w:pPr>
          </w:p>
        </w:tc>
        <w:tc>
          <w:tcPr>
            <w:tcW w:w="620" w:type="dxa"/>
            <w:vAlign w:val="bottom"/>
          </w:tcPr>
          <w:p>
            <w:pPr>
              <w:jc w:val="right"/>
              <w:ind w:right="189"/>
              <w:spacing w:after="0"/>
              <w:rPr>
                <w:sz w:val="20"/>
                <w:szCs w:val="20"/>
                <w:color w:val="auto"/>
              </w:rPr>
            </w:pPr>
            <w:r>
              <w:rPr>
                <w:rFonts w:ascii="Arial" w:cs="Arial" w:eastAsia="Arial" w:hAnsi="Arial"/>
                <w:sz w:val="13"/>
                <w:szCs w:val="13"/>
                <w:b w:val="1"/>
                <w:bCs w:val="1"/>
                <w:color w:val="auto"/>
              </w:rPr>
              <w:t>Total</w:t>
            </w:r>
          </w:p>
        </w:tc>
      </w:tr>
      <w:tr>
        <w:trPr>
          <w:trHeight w:val="20"/>
        </w:trPr>
        <w:tc>
          <w:tcPr>
            <w:tcW w:w="25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Balance at April 30, 2020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24,063,639</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$ 181,481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$ 328,090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509,901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4"/>
              </w:rPr>
              <w:t>509,901</w:t>
            </w:r>
          </w:p>
        </w:tc>
      </w:tr>
      <w:tr>
        <w:trPr>
          <w:trHeight w:val="216"/>
        </w:trPr>
        <w:tc>
          <w:tcPr>
            <w:tcW w:w="254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12,174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12,174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12,115</w:t>
            </w:r>
          </w:p>
        </w:tc>
      </w:tr>
      <w:tr>
        <w:trPr>
          <w:trHeight w:val="216"/>
        </w:trPr>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16"/>
        </w:trPr>
        <w:tc>
          <w:tcPr>
            <w:tcW w:w="2540" w:type="dxa"/>
            <w:vAlign w:val="bottom"/>
          </w:tcPr>
          <w:p>
            <w:pPr>
              <w:ind w:left="2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75</w:t>
            </w:r>
          </w:p>
        </w:tc>
      </w:tr>
      <w:tr>
        <w:trPr>
          <w:trHeight w:val="216"/>
        </w:trPr>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86</w:t>
            </w:r>
          </w:p>
        </w:tc>
      </w:tr>
      <w:tr>
        <w:trPr>
          <w:trHeight w:val="216"/>
        </w:trPr>
        <w:tc>
          <w:tcPr>
            <w:tcW w:w="2540" w:type="dxa"/>
            <w:vAlign w:val="bottom"/>
          </w:tcPr>
          <w:p>
            <w:pPr>
              <w:ind w:left="220"/>
              <w:spacing w:after="0"/>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60,592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130"/>
        </w:trPr>
        <w:tc>
          <w:tcPr>
            <w:tcW w:w="254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7"/>
        </w:trPr>
        <w:tc>
          <w:tcPr>
            <w:tcW w:w="2540" w:type="dxa"/>
            <w:vAlign w:val="bottom"/>
          </w:tcPr>
          <w:p>
            <w:pPr>
              <w:ind w:left="220"/>
              <w:spacing w:after="0"/>
              <w:rPr>
                <w:sz w:val="20"/>
                <w:szCs w:val="20"/>
                <w:color w:val="auto"/>
              </w:rPr>
            </w:pPr>
            <w:r>
              <w:rPr>
                <w:rFonts w:ascii="Arial" w:cs="Arial" w:eastAsia="Arial" w:hAnsi="Arial"/>
                <w:sz w:val="14"/>
                <w:szCs w:val="14"/>
                <w:color w:val="auto"/>
                <w:w w:val="98"/>
              </w:rPr>
              <w:t>net 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(23,236)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(1,778)</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(1,778)</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(1,778)</w:t>
            </w:r>
          </w:p>
        </w:tc>
      </w:tr>
      <w:tr>
        <w:trPr>
          <w:trHeight w:val="216"/>
        </w:trPr>
        <w:tc>
          <w:tcPr>
            <w:tcW w:w="2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3,509</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3,509</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3,509</w:t>
            </w:r>
          </w:p>
        </w:tc>
      </w:tr>
      <w:tr>
        <w:trPr>
          <w:trHeight w:val="183"/>
        </w:trPr>
        <w:tc>
          <w:tcPr>
            <w:tcW w:w="2540" w:type="dxa"/>
            <w:vAlign w:val="bottom"/>
          </w:tcPr>
          <w:p>
            <w:pPr>
              <w:spacing w:after="0"/>
              <w:rPr>
                <w:sz w:val="20"/>
                <w:szCs w:val="20"/>
                <w:color w:val="auto"/>
              </w:rPr>
            </w:pPr>
            <w:r>
              <w:rPr>
                <w:rFonts w:ascii="Arial" w:cs="Arial" w:eastAsia="Arial" w:hAnsi="Arial"/>
                <w:sz w:val="14"/>
                <w:szCs w:val="14"/>
                <w:color w:val="auto"/>
              </w:rPr>
              <w:t>Balance at October 31, 2020</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24,103,980</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$ 183,298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$ 340,264</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523,906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(59)</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w w:val="94"/>
              </w:rPr>
              <w:t>523,847</w:t>
            </w:r>
          </w:p>
        </w:tc>
      </w:tr>
      <w:tr>
        <w:trPr>
          <w:trHeight w:val="20"/>
        </w:trPr>
        <w:tc>
          <w:tcPr>
            <w:tcW w:w="2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three months ended October 30, 2021 and October 31, 2020 (Unaudited)</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8"/>
        </w:trPr>
        <w:tc>
          <w:tcPr>
            <w:tcW w:w="2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880" w:type="dxa"/>
            <w:vAlign w:val="bottom"/>
          </w:tcPr>
          <w:p>
            <w:pPr>
              <w:jc w:val="center"/>
              <w:ind w:right="21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2"/>
                <w:szCs w:val="12"/>
                <w:color w:val="auto"/>
              </w:rPr>
            </w:pPr>
          </w:p>
        </w:tc>
        <w:tc>
          <w:tcPr>
            <w:tcW w:w="540" w:type="dxa"/>
            <w:vAlign w:val="bottom"/>
          </w:tcPr>
          <w:p>
            <w:pPr>
              <w:jc w:val="center"/>
              <w:ind w:right="3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3"/>
        </w:trPr>
        <w:tc>
          <w:tcPr>
            <w:tcW w:w="2720" w:type="dxa"/>
            <w:vAlign w:val="bottom"/>
          </w:tcPr>
          <w:p>
            <w:pPr>
              <w:spacing w:after="0"/>
              <w:rPr>
                <w:sz w:val="13"/>
                <w:szCs w:val="13"/>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85"/>
              </w:rPr>
              <w:t>Common Stock</w:t>
            </w: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3"/>
                <w:szCs w:val="13"/>
                <w:color w:val="auto"/>
              </w:rPr>
            </w:pPr>
          </w:p>
        </w:tc>
        <w:tc>
          <w:tcPr>
            <w:tcW w:w="660" w:type="dxa"/>
            <w:vAlign w:val="bottom"/>
          </w:tcPr>
          <w:p>
            <w:pPr>
              <w:jc w:val="right"/>
              <w:ind w:right="1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3"/>
                <w:szCs w:val="13"/>
                <w:color w:val="auto"/>
              </w:rPr>
            </w:pPr>
          </w:p>
        </w:tc>
        <w:tc>
          <w:tcPr>
            <w:tcW w:w="2600" w:type="dxa"/>
            <w:vAlign w:val="bottom"/>
            <w:gridSpan w:val="6"/>
          </w:tcPr>
          <w:p>
            <w:pPr>
              <w:spacing w:after="0"/>
              <w:rPr>
                <w:sz w:val="20"/>
                <w:szCs w:val="20"/>
                <w:color w:val="auto"/>
              </w:rPr>
            </w:pPr>
            <w:r>
              <w:rPr>
                <w:rFonts w:ascii="Arial" w:cs="Arial" w:eastAsia="Arial" w:hAnsi="Arial"/>
                <w:sz w:val="13"/>
                <w:szCs w:val="13"/>
                <w:b w:val="1"/>
                <w:bCs w:val="1"/>
                <w:color w:val="auto"/>
                <w:w w:val="88"/>
              </w:rPr>
              <w:t>ComprehensiveAeroVironment, Inc.Controlling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28"/>
        </w:trPr>
        <w:tc>
          <w:tcPr>
            <w:tcW w:w="272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1"/>
                <w:szCs w:val="11"/>
                <w:color w:val="auto"/>
              </w:rPr>
            </w:pPr>
          </w:p>
        </w:tc>
        <w:tc>
          <w:tcPr>
            <w:tcW w:w="66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(Loss) Income</w:t>
            </w:r>
          </w:p>
        </w:tc>
        <w:tc>
          <w:tcPr>
            <w:tcW w:w="260" w:type="dxa"/>
            <w:vAlign w:val="bottom"/>
          </w:tcPr>
          <w:p>
            <w:pPr>
              <w:spacing w:after="0"/>
              <w:rPr>
                <w:sz w:val="11"/>
                <w:szCs w:val="11"/>
                <w:color w:val="auto"/>
              </w:rPr>
            </w:pPr>
          </w:p>
        </w:tc>
        <w:tc>
          <w:tcPr>
            <w:tcW w:w="880" w:type="dxa"/>
            <w:vAlign w:val="bottom"/>
          </w:tcPr>
          <w:p>
            <w:pPr>
              <w:jc w:val="center"/>
              <w:ind w:right="210"/>
              <w:spacing w:after="0" w:line="129"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540" w:type="dxa"/>
            <w:vAlign w:val="bottom"/>
          </w:tcPr>
          <w:p>
            <w:pPr>
              <w:jc w:val="center"/>
              <w:ind w:right="10"/>
              <w:spacing w:after="0" w:line="129"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July 31,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24,811,802</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$ 261,192</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$ 337,440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(394)</w:t>
            </w:r>
          </w:p>
        </w:tc>
        <w:tc>
          <w:tcPr>
            <w:tcW w:w="2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598,240</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598,317</w:t>
            </w:r>
          </w:p>
        </w:tc>
      </w:tr>
      <w:tr>
        <w:trPr>
          <w:trHeight w:val="149"/>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2,525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2,556</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8"/>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(1,284)</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(1,284)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(1,284)</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(9,611)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 in non-controlling interest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r>
      <w:tr>
        <w:trPr>
          <w:trHeight w:val="149"/>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r>
      <w:tr>
        <w:trPr>
          <w:trHeight w:val="142"/>
        </w:trPr>
        <w:tc>
          <w:tcPr>
            <w:tcW w:w="27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30, 2021</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24,805,829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$ 261,612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$ 339,965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gridSpan w:val="2"/>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(1,677)$</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599,902</w:t>
            </w: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600,234</w:t>
            </w:r>
          </w:p>
        </w:tc>
      </w:tr>
      <w:tr>
        <w:trPr>
          <w:trHeight w:val="20"/>
        </w:trPr>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54"/>
        </w:trPr>
        <w:tc>
          <w:tcPr>
            <w:tcW w:w="2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8"/>
        </w:trPr>
        <w:tc>
          <w:tcPr>
            <w:tcW w:w="2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880" w:type="dxa"/>
            <w:vAlign w:val="bottom"/>
          </w:tcPr>
          <w:p>
            <w:pPr>
              <w:jc w:val="center"/>
              <w:ind w:right="21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2"/>
                <w:szCs w:val="12"/>
                <w:color w:val="auto"/>
              </w:rPr>
            </w:pPr>
          </w:p>
        </w:tc>
        <w:tc>
          <w:tcPr>
            <w:tcW w:w="540" w:type="dxa"/>
            <w:vAlign w:val="bottom"/>
          </w:tcPr>
          <w:p>
            <w:pPr>
              <w:jc w:val="center"/>
              <w:ind w:right="3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3"/>
        </w:trPr>
        <w:tc>
          <w:tcPr>
            <w:tcW w:w="2720" w:type="dxa"/>
            <w:vAlign w:val="bottom"/>
          </w:tcPr>
          <w:p>
            <w:pPr>
              <w:spacing w:after="0"/>
              <w:rPr>
                <w:sz w:val="13"/>
                <w:szCs w:val="13"/>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85"/>
              </w:rPr>
              <w:t>Common Stock</w:t>
            </w: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3"/>
                <w:szCs w:val="13"/>
                <w:color w:val="auto"/>
              </w:rPr>
            </w:pPr>
          </w:p>
        </w:tc>
        <w:tc>
          <w:tcPr>
            <w:tcW w:w="660" w:type="dxa"/>
            <w:vAlign w:val="bottom"/>
          </w:tcPr>
          <w:p>
            <w:pPr>
              <w:jc w:val="right"/>
              <w:ind w:right="1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3"/>
                <w:szCs w:val="13"/>
                <w:color w:val="auto"/>
              </w:rPr>
            </w:pPr>
          </w:p>
        </w:tc>
        <w:tc>
          <w:tcPr>
            <w:tcW w:w="2600" w:type="dxa"/>
            <w:vAlign w:val="bottom"/>
            <w:gridSpan w:val="6"/>
          </w:tcPr>
          <w:p>
            <w:pPr>
              <w:spacing w:after="0"/>
              <w:rPr>
                <w:sz w:val="20"/>
                <w:szCs w:val="20"/>
                <w:color w:val="auto"/>
              </w:rPr>
            </w:pPr>
            <w:r>
              <w:rPr>
                <w:rFonts w:ascii="Arial" w:cs="Arial" w:eastAsia="Arial" w:hAnsi="Arial"/>
                <w:sz w:val="13"/>
                <w:szCs w:val="13"/>
                <w:b w:val="1"/>
                <w:bCs w:val="1"/>
                <w:color w:val="auto"/>
                <w:w w:val="88"/>
              </w:rPr>
              <w:t>ComprehensiveAeroVironment, Inc.Controlling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28"/>
        </w:trPr>
        <w:tc>
          <w:tcPr>
            <w:tcW w:w="272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1"/>
                <w:szCs w:val="11"/>
                <w:color w:val="auto"/>
              </w:rPr>
            </w:pPr>
          </w:p>
        </w:tc>
        <w:tc>
          <w:tcPr>
            <w:tcW w:w="66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Income (Loss)</w:t>
            </w:r>
          </w:p>
        </w:tc>
        <w:tc>
          <w:tcPr>
            <w:tcW w:w="260" w:type="dxa"/>
            <w:vAlign w:val="bottom"/>
          </w:tcPr>
          <w:p>
            <w:pPr>
              <w:spacing w:after="0"/>
              <w:rPr>
                <w:sz w:val="11"/>
                <w:szCs w:val="11"/>
                <w:color w:val="auto"/>
              </w:rPr>
            </w:pPr>
          </w:p>
        </w:tc>
        <w:tc>
          <w:tcPr>
            <w:tcW w:w="880" w:type="dxa"/>
            <w:vAlign w:val="bottom"/>
          </w:tcPr>
          <w:p>
            <w:pPr>
              <w:jc w:val="center"/>
              <w:ind w:right="210"/>
              <w:spacing w:after="0" w:line="129"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540" w:type="dxa"/>
            <w:vAlign w:val="bottom"/>
          </w:tcPr>
          <w:p>
            <w:pPr>
              <w:jc w:val="center"/>
              <w:ind w:right="10"/>
              <w:spacing w:after="0" w:line="129"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August 1, 2020</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24,104,564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181,406</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338,170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351</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519,929</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519,892</w:t>
            </w:r>
          </w:p>
        </w:tc>
      </w:tr>
      <w:tr>
        <w:trPr>
          <w:trHeight w:val="148"/>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2,094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2,072</w:t>
            </w:r>
          </w:p>
        </w:tc>
      </w:tr>
      <w:tr>
        <w:trPr>
          <w:trHeight w:val="149"/>
        </w:trPr>
        <w:tc>
          <w:tcPr>
            <w:tcW w:w="2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r>
      <w:tr>
        <w:trPr>
          <w:trHeight w:val="148"/>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7"/>
        </w:trPr>
        <w:tc>
          <w:tcPr>
            <w:tcW w:w="2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49"/>
        </w:trPr>
        <w:tc>
          <w:tcPr>
            <w:tcW w:w="272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1,914</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1,914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1,914</w:t>
            </w:r>
          </w:p>
        </w:tc>
      </w:tr>
      <w:tr>
        <w:trPr>
          <w:trHeight w:val="142"/>
        </w:trPr>
        <w:tc>
          <w:tcPr>
            <w:tcW w:w="27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31, 2020</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24,103,980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$ 183,298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$ 340,264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w:t>
            </w: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523,906</w:t>
            </w: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523,847</w:t>
            </w:r>
          </w:p>
        </w:tc>
      </w:tr>
      <w:tr>
        <w:trPr>
          <w:trHeight w:val="20"/>
        </w:trPr>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80"/>
          </w:cols>
          <w:pgMar w:left="1440" w:top="517" w:right="1279"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28"/>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3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(11,362)</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12,115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income to cash (used in) provided by operating activities: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30,019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5,693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losses from equity method investments, net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(520)</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10,810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issuance costs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Realized gain from sale of available-for-sale investments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non-cash expense (income)</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3,358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2,393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foreign currency transactions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(840)</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3,036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debt securities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37,134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43,115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line="149" w:lineRule="exact"/>
              <w:rPr>
                <w:sz w:val="20"/>
                <w:szCs w:val="20"/>
                <w:color w:val="auto"/>
              </w:rPr>
            </w:pPr>
            <w:r>
              <w:rPr>
                <w:rFonts w:ascii="Arial" w:cs="Arial" w:eastAsia="Arial" w:hAnsi="Arial"/>
                <w:sz w:val="14"/>
                <w:szCs w:val="14"/>
                <w:color w:val="auto"/>
              </w:rPr>
              <w:t>Unbilled receivables and retentions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(46,619)</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5,264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(10,075)</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(6,244)</w:t>
            </w: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line="149" w:lineRule="exact"/>
              <w:rPr>
                <w:sz w:val="20"/>
                <w:szCs w:val="20"/>
                <w:color w:val="auto"/>
              </w:rPr>
            </w:pPr>
            <w:r>
              <w:rPr>
                <w:rFonts w:ascii="Arial" w:cs="Arial" w:eastAsia="Arial" w:hAnsi="Arial"/>
                <w:sz w:val="14"/>
                <w:szCs w:val="14"/>
                <w:color w:val="auto"/>
              </w:rPr>
              <w:t>Income taxes receivable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(10,667)</w:t>
            </w: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(3,587)</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(5,028)</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(10,736)</w:t>
            </w:r>
          </w:p>
        </w:tc>
        <w:tc>
          <w:tcPr>
            <w:tcW w:w="0" w:type="dxa"/>
            <w:vAlign w:val="bottom"/>
          </w:tcPr>
          <w:p>
            <w:pPr>
              <w:spacing w:after="0"/>
              <w:rPr>
                <w:sz w:val="1"/>
                <w:szCs w:val="1"/>
                <w:color w:val="auto"/>
              </w:rPr>
            </w:pPr>
          </w:p>
        </w:tc>
      </w:tr>
      <w:tr>
        <w:trPr>
          <w:trHeight w:val="142"/>
        </w:trPr>
        <w:tc>
          <w:tcPr>
            <w:tcW w:w="5740" w:type="dxa"/>
            <w:vAlign w:val="bottom"/>
          </w:tcPr>
          <w:p>
            <w:pPr>
              <w:spacing w:after="0" w:line="142" w:lineRule="exact"/>
              <w:rPr>
                <w:sz w:val="20"/>
                <w:szCs w:val="20"/>
                <w:color w:val="auto"/>
              </w:rPr>
            </w:pPr>
            <w:r>
              <w:rPr>
                <w:rFonts w:ascii="Arial" w:cs="Arial" w:eastAsia="Arial" w:hAnsi="Arial"/>
                <w:sz w:val="14"/>
                <w:szCs w:val="14"/>
                <w:color w:val="auto"/>
              </w:rPr>
              <w:t>Net cash (used in) provided by operating activities</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(3,344)</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58,593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(13,147)</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(6,052)</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method investments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(6,245)</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(46,150)</w:t>
            </w: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30,531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92,226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(116,945)</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740" w:type="dxa"/>
            <w:vAlign w:val="bottom"/>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(34,787)</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(31,944)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Principal payment of loan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Holdback and retention payments for business acquisition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(5,991)</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(1,176)</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financing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(12,064)</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(1,692)</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Effects of currency translation on cash and cash equivalents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(275)</w:t>
            </w: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(decrease) increase in cash, cash equivalents, and restricted cash</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(50,470)</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24,957</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157,063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255,142</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106,593</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280,099</w:t>
            </w: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3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1,923</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2,364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w:t>
            </w:r>
          </w:p>
        </w:tc>
        <w:tc>
          <w:tcPr>
            <w:tcW w:w="3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Unrealized loss on available-for-sale investments, net of deferred tax benefit of $0 and $1 for the</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six months ended October 30, 2021 and October 31, 2020, respectively</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3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(2,017)</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inventory to property and equipment, ISR in-service assets</w:t>
            </w:r>
          </w:p>
        </w:tc>
        <w:tc>
          <w:tcPr>
            <w:tcW w:w="3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74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415</w:t>
            </w:r>
          </w:p>
        </w:tc>
        <w:tc>
          <w:tcPr>
            <w:tcW w:w="1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818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40" w:right="479"/>
        <w:spacing w:after="0" w:line="296" w:lineRule="auto"/>
        <w:rPr>
          <w:sz w:val="20"/>
          <w:szCs w:val="20"/>
          <w:color w:val="auto"/>
        </w:rPr>
      </w:pPr>
      <w:r>
        <w:rPr>
          <w:rFonts w:ascii="Arial" w:cs="Arial" w:eastAsia="Arial" w:hAnsi="Arial"/>
          <w:sz w:val="16"/>
          <w:szCs w:val="16"/>
          <w:color w:val="auto"/>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unmanned aircraft systems (“UAS”), tactical missile systems (“TMS”), unmanned ground vehicles (“UGV”) and related services primarily to organizations within the U.S. Department of Defense (“DoD”) and to international allied governments.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319"/>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six months ended October 30, 2021 are not necessarily indicative of the results for the full year ending April 30, 2022. For further information, refer to the consolidated financial statements and footnotes thereto for the year ended April 30, 2021, included in the Company’s Annual Report on Form 10-K.</w:t>
      </w:r>
    </w:p>
    <w:p>
      <w:pPr>
        <w:spacing w:after="0" w:line="196"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consolidated financial statements and accompanying notes. Actual results could differ from those estimates.</w:t>
      </w:r>
    </w:p>
    <w:p>
      <w:pPr>
        <w:spacing w:after="0" w:line="187"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The Company’s unaudited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left="40" w:right="159"/>
        <w:spacing w:after="0" w:line="255" w:lineRule="auto"/>
        <w:rPr>
          <w:sz w:val="20"/>
          <w:szCs w:val="20"/>
          <w:color w:val="auto"/>
        </w:rPr>
      </w:pPr>
      <w:r>
        <w:rPr>
          <w:rFonts w:ascii="Arial" w:cs="Arial" w:eastAsia="Arial" w:hAnsi="Arial"/>
          <w:sz w:val="18"/>
          <w:szCs w:val="18"/>
          <w:color w:val="auto"/>
        </w:rPr>
        <w:t>On February 19, 2021, the Company closed its acquisition of Arcturus UAV, Inc. (“Arcturus”), a California corporation, pursuant to a Stock Purchase Agreement (the “Arcturus Purchase Agreement”) with Arcturus and each of the shareholders and other equity interest holders of Arcturus (collectively, the “Arcturus Sellers”), purchasing 100% of the issued and outstanding equity interests of Arcturus (the “Arcturus Acquisition”). The assets, liabilities and operating results of Arcturus have been included in the Company’s unaudited consolidated financial statements. Refer to Note 18—Business Acquisitions for further details.</w:t>
      </w:r>
    </w:p>
    <w:p>
      <w:pPr>
        <w:spacing w:after="0" w:line="192"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color w:val="auto"/>
        </w:rPr>
        <w:t>On February 23, 2021, the Company purchased certain assets of, and assumed certain liabilities of, the Intelligent Systems Group business segment (“ISG”) of Progeny Systems Corporation, a Virginia corporation (the “ISG Seller”), pursuant to the terms of an Asset Purchase Agreement (the “ISG Purchase Agreement”) of the same date, by and among the Company, ISG Seller and the sole shareholder of ISG Seller (the “Beneficial Owner,” and such acquisition of ISG, the “ISG Acquisition”). The assets, liabilities and operating results of ISG have been included in the Company’s unaudited consolidated financial statements. Refer to Note 18—Business Acquisitions for further details.</w:t>
      </w:r>
    </w:p>
    <w:p>
      <w:pPr>
        <w:spacing w:after="0" w:line="178" w:lineRule="exact"/>
        <w:rPr>
          <w:sz w:val="20"/>
          <w:szCs w:val="20"/>
          <w:color w:val="auto"/>
        </w:rPr>
      </w:pPr>
    </w:p>
    <w:p>
      <w:pPr>
        <w:ind w:left="40" w:right="259"/>
        <w:spacing w:after="0" w:line="342" w:lineRule="auto"/>
        <w:rPr>
          <w:sz w:val="20"/>
          <w:szCs w:val="20"/>
          <w:color w:val="auto"/>
        </w:rPr>
      </w:pPr>
      <w:r>
        <w:rPr>
          <w:rFonts w:ascii="Arial" w:cs="Arial" w:eastAsia="Arial" w:hAnsi="Arial"/>
          <w:sz w:val="16"/>
          <w:szCs w:val="16"/>
          <w:color w:val="auto"/>
        </w:rPr>
        <w:t>On May 3, 2021, the Company closed its acquisition of Telerob Gesellschaft für Fernhantierungstechnik mbH, a German company based in Ostfildern (near Stuttgart), Germany (“Telerob GmbH”), including Telerob GmbH’s wholly-owned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2" w:lineRule="auto"/>
        <w:rPr>
          <w:sz w:val="20"/>
          <w:szCs w:val="20"/>
          <w:color w:val="auto"/>
        </w:rPr>
      </w:pPr>
      <w:r>
        <w:rPr>
          <w:rFonts w:ascii="Arial" w:cs="Arial" w:eastAsia="Arial" w:hAnsi="Arial"/>
          <w:sz w:val="17"/>
          <w:szCs w:val="17"/>
          <w:color w:val="auto"/>
        </w:rPr>
        <w:t>subsidiary, Telerob USA, Inc. (“Telerob USA,” and collectively with Telerob GmbH, “Telerob”) pursuant to its previously announced Share Purchase Agreement (the “Telerob Purchase Agreement”) with Unmanned Systems Investments GmbH, a German limited liability company incorporated under the laws of Germany (the “Telerob Seller”), and each of the unit holders of the Seller (collectively, the “Telerob Shareholders”), to purchase 100% of the issued and outstanding shares of Telerob Seller’s wholly-owned subsidiary Telerob GmbH (the “Telerob Acquisition”). The assets, liabilities and operating results of Telerob GmbH have been included in the Company’s unaudited consolidated financial statements. Refer to Note 18—Business Acquisitions for further details.</w:t>
      </w:r>
    </w:p>
    <w:p>
      <w:pPr>
        <w:spacing w:after="0" w:line="177"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On September 15, 2021, the Company entered into a Share Sale and Purchase Agreement (the “Purchase Agreement”) with Toygun Savunma Sanayi ve Havacilik Anonim Sirketi (“Toygun”) whereby the Company sold 35% of the common shares of Altoy to Toygun. As a result of the sale, the Company decreased its interest in Altoy from 85% to 50%. The Company is considered to still have control of Altoy and therefore consolidates Altoy into the consolidated financial statements of the Company as of October 30, 2021. Under the terms of the Purchase Agreement, the Company is expected to sell additional shares to Toygun in fiscal year 2023 at which point the Company will no longer control and therefore will no longer consolidate Altoy in the Company’s consolidated financial statements. At that time, the Company will account for its investment in Altoy as an equity method investment and record its proportion of any gains or losses of Altoy in equity method investments, net of tax.</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Effective May 1, 2021, the Company adopted ASU 2019-12</w:t>
      </w:r>
      <w:r>
        <w:rPr>
          <w:rFonts w:ascii="Arial" w:cs="Arial" w:eastAsia="Arial" w:hAnsi="Arial"/>
          <w:sz w:val="18"/>
          <w:szCs w:val="18"/>
          <w:i w:val="1"/>
          <w:iCs w:val="1"/>
          <w:color w:val="auto"/>
        </w:rPr>
        <w:t>, Simplifying the Accounting for Income Taxes</w:t>
      </w:r>
      <w:r>
        <w:rPr>
          <w:rFonts w:ascii="Arial" w:cs="Arial" w:eastAsia="Arial" w:hAnsi="Arial"/>
          <w:sz w:val="18"/>
          <w:szCs w:val="18"/>
          <w:color w:val="auto"/>
        </w:rPr>
        <w:t xml:space="preserve"> (Topic 740). This ASU simplifies the accounting for income taxes by removing certain exceptions to the general principles in Topic 740 including removing the requirement to limit income tax expense (benefit) in an interim period to the full year projected amounts. The Company adopted ASU 2019-12 using the prospective method, applying the new guidance accounting for income taxes after adoption. The adoption of ASU 2019-12 did not have an impact on the Company’s consolidated financial statements.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Topic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24"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68" w:lineRule="auto"/>
        <w:rPr>
          <w:sz w:val="20"/>
          <w:szCs w:val="20"/>
          <w:color w:val="auto"/>
        </w:rPr>
      </w:pPr>
      <w:r>
        <w:rPr>
          <w:rFonts w:ascii="Arial" w:cs="Arial" w:eastAsia="Arial" w:hAnsi="Arial"/>
          <w:sz w:val="17"/>
          <w:szCs w:val="17"/>
          <w:color w:val="auto"/>
        </w:rPr>
        <w:t>unilaterally terminate the contract for convenience, pay the Company for costs incurred plus a reasonable profit, and take control of any work in process. 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including revenue from intelligence, surveillance, and reconnaissance (“ISR”) services, is recognized over time as services are rendered. In accordance with ASC Topic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spacing w:after="0" w:line="186" w:lineRule="exact"/>
        <w:rPr>
          <w:sz w:val="20"/>
          <w:szCs w:val="20"/>
          <w:color w:val="auto"/>
        </w:rPr>
      </w:pPr>
    </w:p>
    <w:p>
      <w:pPr>
        <w:ind w:left="40" w:right="199"/>
        <w:spacing w:after="0" w:line="279" w:lineRule="auto"/>
        <w:rPr>
          <w:sz w:val="20"/>
          <w:szCs w:val="20"/>
          <w:color w:val="auto"/>
        </w:rPr>
      </w:pPr>
      <w:r>
        <w:rPr>
          <w:rFonts w:ascii="Arial" w:cs="Arial" w:eastAsia="Arial" w:hAnsi="Arial"/>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For performance obligations which are not satisfied over time per the aforementioned criteria above, revenue is recognized at the point in time in which each performance obligation is fully satisfied. The Company’s small UAS, medium UAS (“MUAS”) and UGV product sales revenue is composed of revenue recognized on contracts for the delivery of small UAS, MUAS and UGV systems and spare parts, respectively. Revenue is recognized at the point in time when control transfers to the customer, which generally occurs when title and risk of loss have passed to the customer.</w:t>
      </w:r>
    </w:p>
    <w:p>
      <w:pPr>
        <w:spacing w:after="0" w:line="161"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Performance obligations satisfied over time accounted for 51% and 55% of revenue during the three and six months ended October 30, 2021, respectively. Performance obligations satisfied over time accounted for 40% and 39% of revenue during the three and six months ended October 31, 2020, respectively. Performance obligations satisfied at a point in time accounted for 49% and 45% of revenue during the three and six months ended October 30, 2021, respectively. Performance obligations satisfied at a point in time accounted for 60% and 61% of revenue during the three and six months ended October 31, 2020, respectively.</w:t>
      </w:r>
    </w:p>
    <w:p>
      <w:pPr>
        <w:spacing w:after="0" w:line="246"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On October 30, 2021, the Company had approximately $252,036,000 of remaining performance obligations under fully funded contracts with its customers, which the Company also refers to as funded backlog. The Company currently expects to recognize approximately 68% of the remaining performance obligations as revenue in fiscal 2022 and an additional 32% in fiscal 2023.</w:t>
      </w:r>
    </w:p>
    <w:p>
      <w:pPr>
        <w:spacing w:after="0" w:line="187" w:lineRule="exact"/>
        <w:rPr>
          <w:sz w:val="20"/>
          <w:szCs w:val="20"/>
          <w:color w:val="auto"/>
        </w:rPr>
      </w:pPr>
    </w:p>
    <w:p>
      <w:pPr>
        <w:ind w:left="40" w:right="79"/>
        <w:spacing w:after="0" w:line="308" w:lineRule="auto"/>
        <w:rPr>
          <w:sz w:val="20"/>
          <w:szCs w:val="20"/>
          <w:color w:val="auto"/>
        </w:rPr>
      </w:pPr>
      <w:r>
        <w:rPr>
          <w:rFonts w:ascii="Arial" w:cs="Arial" w:eastAsia="Arial" w:hAnsi="Arial"/>
          <w:sz w:val="17"/>
          <w:szCs w:val="17"/>
          <w:color w:val="auto"/>
        </w:rPr>
        <w:t>The Company collects sales, value added, and other taxes concurrent with revenue producing activities, which are excluded from revenue when they are both imposed on a specific transaction and collected from a customer.</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6" w:lineRule="exact"/>
        <w:rPr>
          <w:sz w:val="20"/>
          <w:szCs w:val="20"/>
          <w:color w:val="auto"/>
        </w:rPr>
      </w:pPr>
    </w:p>
    <w:p>
      <w:pPr>
        <w:ind w:left="40" w:right="279"/>
        <w:spacing w:after="0" w:line="342"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availability of materials, the performance of subcontractors, and the availability and timing of funding from the customer.</w:t>
      </w:r>
    </w:p>
    <w:p>
      <w:pPr>
        <w:spacing w:after="0" w:line="237" w:lineRule="exact"/>
        <w:rPr>
          <w:sz w:val="20"/>
          <w:szCs w:val="20"/>
          <w:color w:val="auto"/>
        </w:rPr>
      </w:pPr>
    </w:p>
    <w:p>
      <w:pPr>
        <w:ind w:left="40" w:right="120"/>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66" w:lineRule="exact"/>
        <w:rPr>
          <w:sz w:val="20"/>
          <w:szCs w:val="20"/>
          <w:color w:val="auto"/>
        </w:rPr>
      </w:pPr>
    </w:p>
    <w:p>
      <w:pPr>
        <w:ind w:left="40" w:right="340"/>
        <w:spacing w:after="0" w:line="255" w:lineRule="auto"/>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w:t>
      </w:r>
    </w:p>
    <w:p>
      <w:pPr>
        <w:spacing w:after="0" w:line="192" w:lineRule="exact"/>
        <w:rPr>
          <w:sz w:val="20"/>
          <w:szCs w:val="20"/>
          <w:color w:val="auto"/>
        </w:rPr>
      </w:pPr>
    </w:p>
    <w:p>
      <w:pPr>
        <w:ind w:left="40" w:right="200"/>
        <w:spacing w:after="0" w:line="255" w:lineRule="auto"/>
        <w:rPr>
          <w:sz w:val="20"/>
          <w:szCs w:val="20"/>
          <w:color w:val="auto"/>
        </w:rPr>
      </w:pPr>
      <w:r>
        <w:rPr>
          <w:rFonts w:ascii="Arial" w:cs="Arial" w:eastAsia="Arial" w:hAnsi="Arial"/>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or six month periods ended October 30, 2021 and October 31, 2020. No adjustment on any one contract was material to the Company’s unaudited consolidated financial statements for the three or six month periods ended October 30, 2021 and the three or six month periods ended October 31, 2020.</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left="40" w:right="120"/>
        <w:spacing w:after="0" w:line="277"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7"/>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October 30,</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October 30,</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0"/>
              </w:rPr>
              <w:t>October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4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2021</w:t>
            </w:r>
          </w:p>
        </w:tc>
        <w:tc>
          <w:tcPr>
            <w:tcW w:w="86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5"/>
                <w:szCs w:val="15"/>
                <w:color w:val="auto"/>
              </w:rPr>
            </w:pPr>
          </w:p>
        </w:tc>
        <w:tc>
          <w:tcPr>
            <w:tcW w:w="92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86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UAS</w:t>
            </w:r>
          </w:p>
        </w:tc>
        <w:tc>
          <w:tcPr>
            <w:tcW w:w="1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$ 58,265</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94,638</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$ 114,467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TMS</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18,418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18,961</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37,594</w:t>
            </w:r>
          </w:p>
        </w:tc>
        <w:tc>
          <w:tcPr>
            <w:tcW w:w="2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28,495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MUAS</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48,904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22,351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15,439</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41,881</w:t>
            </w:r>
          </w:p>
        </w:tc>
        <w:tc>
          <w:tcPr>
            <w:tcW w:w="2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37,153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$ 122,008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$ 92,665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$ 223,017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$ 180,115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7"/>
          </w:tcPr>
          <w:p>
            <w:pPr>
              <w:ind w:lef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17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30,</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October 30,</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3"/>
              </w:rPr>
              <w:t>October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4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86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92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86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FFP</w:t>
            </w:r>
          </w:p>
        </w:tc>
        <w:tc>
          <w:tcPr>
            <w:tcW w:w="1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$ 68,425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$ 179,159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$ 129,300</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CPFF</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21,594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24,230</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40,711</w:t>
            </w: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50,799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Total revenue</w:t>
            </w:r>
          </w:p>
        </w:tc>
        <w:tc>
          <w:tcPr>
            <w:tcW w:w="1700" w:type="dxa"/>
            <w:vAlign w:val="bottom"/>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$ 122,008</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$ 92,665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$ 223,017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$ 180,115</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00" w:type="dxa"/>
            <w:vAlign w:val="bottom"/>
            <w:vMerge w:val="restart"/>
          </w:tcPr>
          <w:p>
            <w:pPr>
              <w:jc w:val="right"/>
              <w:ind w:right="79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7" w:right="1419"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60"/>
        <w:spacing w:after="0" w:line="275" w:lineRule="auto"/>
        <w:rPr>
          <w:sz w:val="20"/>
          <w:szCs w:val="20"/>
          <w:color w:val="auto"/>
        </w:rPr>
      </w:pPr>
      <w:r>
        <w:rPr>
          <w:rFonts w:ascii="Arial" w:cs="Arial" w:eastAsia="Arial" w:hAnsi="Arial"/>
          <w:sz w:val="17"/>
          <w:szCs w:val="17"/>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1520" w:type="dxa"/>
            <w:vAlign w:val="bottom"/>
          </w:tcPr>
          <w:p>
            <w:pPr>
              <w:spacing w:after="0"/>
              <w:rPr>
                <w:sz w:val="15"/>
                <w:szCs w:val="15"/>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30,</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30,</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6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2021</w:t>
            </w:r>
          </w:p>
        </w:tc>
        <w:tc>
          <w:tcPr>
            <w:tcW w:w="8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2020</w:t>
            </w:r>
          </w:p>
        </w:tc>
        <w:tc>
          <w:tcPr>
            <w:tcW w:w="9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2021</w:t>
            </w:r>
          </w:p>
        </w:tc>
        <w:tc>
          <w:tcPr>
            <w:tcW w:w="9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72,076</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$ 55,594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$ 143,151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$ 109,390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Non-U.S. government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49,932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37,071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79,866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$ 122,008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$ 92,665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$ 223,017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$ 180,115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24"/>
                <w:szCs w:val="24"/>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1520" w:type="dxa"/>
            <w:vAlign w:val="bottom"/>
          </w:tcPr>
          <w:p>
            <w:pPr>
              <w:spacing w:after="0"/>
              <w:rPr>
                <w:sz w:val="15"/>
                <w:szCs w:val="15"/>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30,</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30,</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6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2021</w:t>
            </w:r>
          </w:p>
        </w:tc>
        <w:tc>
          <w:tcPr>
            <w:tcW w:w="8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2020</w:t>
            </w:r>
          </w:p>
        </w:tc>
        <w:tc>
          <w:tcPr>
            <w:tcW w:w="9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2021</w:t>
            </w:r>
          </w:p>
        </w:tc>
        <w:tc>
          <w:tcPr>
            <w:tcW w:w="9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68,663</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$ 46,398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$ 137,051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99,828</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International</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46,267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85,966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$ 122,008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$ 92,665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$ 223,017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$ 180,115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left="40" w:right="180"/>
        <w:spacing w:after="0" w:line="286"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six month period ended October 30, 2021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67" w:lineRule="exact"/>
        <w:rPr>
          <w:sz w:val="20"/>
          <w:szCs w:val="20"/>
          <w:color w:val="auto"/>
        </w:rPr>
      </w:pPr>
    </w:p>
    <w:p>
      <w:pPr>
        <w:ind w:left="40" w:right="320"/>
        <w:spacing w:after="0" w:line="259" w:lineRule="auto"/>
        <w:rPr>
          <w:sz w:val="20"/>
          <w:szCs w:val="20"/>
          <w:color w:val="auto"/>
        </w:rPr>
      </w:pPr>
      <w:r>
        <w:rPr>
          <w:rFonts w:ascii="Arial" w:cs="Arial" w:eastAsia="Arial" w:hAnsi="Arial"/>
          <w:sz w:val="18"/>
          <w:szCs w:val="18"/>
          <w:color w:val="auto"/>
        </w:rPr>
        <w:t>Revenue recognized for the three and six month periods ended October 30, 2021 that was included in contract liability balances at the beginning of April 30, 2021 was $580,000 and $889,000, and revenue recognized for the three and six month periods ended October 31, 2020 that was included in contract liability balances at the beginning of April 30, 2020 was $3,451,000 and $5,423,000.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40" w:right="160"/>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assess performance. The Company’s CODM, collectively the Chief Executive Officer and Chief Operations Officer, makes operating decisions, assesses performance and makes resource allocation decisions, including the allocation for research and development (“R&amp;D”). Accordingly, the Company identifies three reportable segments. Refer to Note 20—Segments for further details.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classifies cash accounts which are not available for general use as restricted cash. Pursuant to the terms of</w:t>
      </w:r>
    </w:p>
    <w:p>
      <w:pPr>
        <w:sectPr>
          <w:pgSz w:w="11900" w:h="16838" w:orient="portrait"/>
          <w:cols w:equalWidth="0" w:num="1">
            <w:col w:w="9060"/>
          </w:cols>
          <w:pgMar w:left="1440" w:top="517" w:right="13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the Arcturus Purchase Agreement, the Company maintains escrow accounts to address final purchase price adjustments post-Arcturus Closing, if any and to address Arcturus UAV’s and/or the Sellers’ indemnification obligations. The restricted funds in the escrow account are recorded in other assets on the consolidated balance sheet. As of October 30, 2021 and April 30, 2021 restricted cash was $1,823,000 and $8,322,000, respectively.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color w:val="auto"/>
        </w:rPr>
        <w:t>The Company’s investments are accounted for as available-for-sale and are reported at fair value. Unrealized gains and losses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8" w:lineRule="exact"/>
        <w:rPr>
          <w:sz w:val="20"/>
          <w:szCs w:val="20"/>
          <w:color w:val="auto"/>
        </w:rPr>
      </w:pPr>
    </w:p>
    <w:p>
      <w:pPr>
        <w:ind w:left="40" w:right="299"/>
        <w:spacing w:after="0" w:line="290" w:lineRule="auto"/>
        <w:rPr>
          <w:sz w:val="20"/>
          <w:szCs w:val="20"/>
          <w:color w:val="auto"/>
        </w:rPr>
      </w:pPr>
      <w:r>
        <w:rPr>
          <w:rFonts w:ascii="Arial" w:cs="Arial" w:eastAsia="Arial" w:hAnsi="Arial"/>
          <w:sz w:val="16"/>
          <w:szCs w:val="16"/>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actual rates unless collectability is not reasonably assured. At October 30, 2021 and April 30, 2021, the Company had no reserve for incurred cost claim audits.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excluding shares of unvested restricted stock.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reconciliation of basic to diluted shares is as follows (in thousands except share data):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income (loss) attributable to AeroVironment, Inc.</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Denominator for basic earnings (loss) per share: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Weighted average common shares</w:t>
      </w:r>
    </w:p>
    <w:p>
      <w:pPr>
        <w:spacing w:after="0" w:line="9" w:lineRule="exact"/>
        <w:rPr>
          <w:sz w:val="20"/>
          <w:szCs w:val="20"/>
          <w:color w:val="auto"/>
        </w:rPr>
      </w:pPr>
    </w:p>
    <w:p>
      <w:pPr>
        <w:ind w:left="260"/>
        <w:spacing w:after="0" w:line="257" w:lineRule="auto"/>
        <w:rPr>
          <w:sz w:val="20"/>
          <w:szCs w:val="20"/>
          <w:color w:val="auto"/>
        </w:rPr>
      </w:pPr>
      <w:r>
        <w:rPr>
          <w:rFonts w:ascii="Arial" w:cs="Arial" w:eastAsia="Arial" w:hAnsi="Arial"/>
          <w:sz w:val="18"/>
          <w:szCs w:val="18"/>
          <w:color w:val="auto"/>
        </w:rPr>
        <w:t>Dilutive effect of employee stock options, restricted stock and restricted stock units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Denominator for diluted earnings (loss) per share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October 30, 2021</w:t>
            </w:r>
          </w:p>
        </w:tc>
        <w:tc>
          <w:tcPr>
            <w:tcW w:w="14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 2020</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30, 2021</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October 31, 2020</w:t>
            </w:r>
          </w:p>
        </w:tc>
      </w:tr>
      <w:tr>
        <w:trPr>
          <w:trHeight w:val="210"/>
        </w:trPr>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24,641,614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23,936,950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24,630,838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23,914,737</w:t>
            </w:r>
          </w:p>
        </w:tc>
      </w:tr>
      <w:tr>
        <w:trPr>
          <w:trHeight w:val="432"/>
        </w:trPr>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244,256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259,962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275,579</w:t>
            </w:r>
          </w:p>
        </w:tc>
      </w:tr>
      <w:tr>
        <w:trPr>
          <w:trHeight w:val="210"/>
        </w:trPr>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24,885,870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24,196,912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24,630,838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24,190,316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-736600</wp:posOffset>
            </wp:positionV>
            <wp:extent cx="565785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5430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-445135</wp:posOffset>
            </wp:positionV>
            <wp:extent cx="565785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160"/>
            <w:col w:w="4859"/>
          </w:cols>
          <w:pgMar w:left="1440" w:top="517" w:right="1440" w:bottom="1440" w:gutter="0" w:footer="0" w:header="0"/>
          <w:type w:val="continuous"/>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Due to the net loss for the six months ended October 30, 2021, no shares reserved for issuance upon exercise of stock</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55" w:lineRule="auto"/>
        <w:rPr>
          <w:sz w:val="20"/>
          <w:szCs w:val="20"/>
          <w:color w:val="auto"/>
        </w:rPr>
      </w:pPr>
      <w:r>
        <w:rPr>
          <w:rFonts w:ascii="Arial" w:cs="Arial" w:eastAsia="Arial" w:hAnsi="Arial"/>
          <w:sz w:val="18"/>
          <w:szCs w:val="18"/>
          <w:color w:val="auto"/>
        </w:rPr>
        <w:t>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4,742 and 266,077 for the three and six months ended October 30, 2021, respectively. Potentially dilutive shares not included in the computation of diluted weighted-average common shares because their effect would have been anti-dilutive were 23 and 269 for the three and six months ended October 31, 2020, respectively.</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Accounting pronouncements issued but not effective until after October 30, 2021 are not expected to be applicable to the Company.</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ind w:left="40" w:right="99"/>
        <w:spacing w:after="0" w:line="287"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In accordance with the terms of the Purchase Agreement, as amended by a side letter agreement executed at the closing, the Company received cash consideration of $31,994,000 upon closing, which resulted in a gain of $11,420,000 and has been recorded in gain on sale of business, net of tax in the consolidated statements of operations. During the year ended April 30, 2019, the Company recorded a reduction to the gain resulting from a working capital adjustment of $486,000. During the year ended April 30, 2020, the Company and Webasto engaged an independent accounting firm to resolve a working capital dispute with a maximum exposure of $922,000 pursuant to the terms of the Purchase Agreement. In June 2020, the independent accounting firm determined the final adjustment to the working capital dispute to be $341,000 which has been recorded net of tax as a loss of discontinued operations in the consolidated statements of operations for the year ended April 30, 2020.</w:t>
      </w:r>
    </w:p>
    <w:p>
      <w:pPr>
        <w:spacing w:after="0" w:line="172"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Company was entitled to receive additional cash consideration of $6,500,000 (the “Holdback”) upon tendering consents to assignment of two remaining customer contracts to Webasto. The Holdback was not recorded in the Company’s unaudited consolidated financial statements as the amount was not realized or realizable as of October 30, 2021.</w:t>
      </w:r>
    </w:p>
    <w:p>
      <w:pPr>
        <w:spacing w:after="0" w:line="149"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During the three months ended October 27, 2018, Webasto filed a recall report with the National Highway Traffic Safety Administration that named certain of the Company’s EES products as subject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the Company and Webasto, and a third-party part supplier pursuant to its contracts with the Company and Webasto, respectively. The Company filed a responsive pleading in the Benchmark arbitration on October 29, 2019, consisting of a general denial, affirmative defenses, and a reservation of the right to file counter-claims at a later date. Webasto challenged the validity of the Benchmark arbitration by filing an action in New York Superior Court. In December 2019, Webasto and Benchmark reached a settlement of their disputed claims. Benchmark withdrew its Notice of Arbitration against Webasto and the Company, but reserved its right to pursue indemnity claims against suppliers. The recall remains a significant part of the Webasto lawsuit described below.</w:t>
      </w:r>
    </w:p>
    <w:p>
      <w:pPr>
        <w:spacing w:after="0" w:line="179" w:lineRule="exact"/>
        <w:rPr>
          <w:sz w:val="20"/>
          <w:szCs w:val="20"/>
          <w:color w:val="auto"/>
        </w:rPr>
      </w:pPr>
    </w:p>
    <w:p>
      <w:pPr>
        <w:ind w:left="40" w:right="139"/>
        <w:spacing w:after="0" w:line="271" w:lineRule="auto"/>
        <w:rPr>
          <w:sz w:val="20"/>
          <w:szCs w:val="20"/>
          <w:color w:val="auto"/>
        </w:rPr>
      </w:pPr>
      <w:r>
        <w:rPr>
          <w:rFonts w:ascii="Arial" w:cs="Arial" w:eastAsia="Arial" w:hAnsi="Arial"/>
          <w:sz w:val="17"/>
          <w:szCs w:val="17"/>
          <w:color w:val="auto"/>
        </w:rPr>
        <w:t>On February 22, 2019, Webasto filed a lawsuit, which was amended in April 2019, alleging several claims against the Company for breach of contract, indemnity, and bad faith, including allegations regarding inaccuracy of certain diligence disclosures and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Webasto again amended the complaint in May 2021 to include additional claims. On June 2, 2021, the Company filed an answer to Webasto’s second amended complaint filed in May 2021.</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285" w:lineRule="auto"/>
        <w:rPr>
          <w:sz w:val="20"/>
          <w:szCs w:val="20"/>
          <w:color w:val="auto"/>
        </w:rPr>
      </w:pPr>
      <w:r>
        <w:rPr>
          <w:rFonts w:ascii="Arial" w:cs="Arial" w:eastAsia="Arial" w:hAnsi="Arial"/>
          <w:sz w:val="16"/>
          <w:szCs w:val="16"/>
          <w:color w:val="auto"/>
        </w:rPr>
        <w:t>In order to avoid the future cost, expense, and distraction of continued litigation, the Company engaged in settlement negotiations with Webasto in May 2021. While the negotiations did not result in a settlement of any of the Company’s or Webasto’s claims at such time, as a result of the settlement negotiations, the Company established a litigation reserve, which reflected the scope of a rejected offer intended to communicate the Company’s serious and good faith intention to attempt to reach a settlement for the stated purposes. The offer did not reflect the Company’s view of the merits of the claims made; however, as a result of the preparation of the good faith offer and the Company’s willingness to pursue settlement for that amount, the Company recorded litigation reserve expenses in the amount of $9,300,000 during the year ended April 30, 2021 recorded in other expense on the consolidated statements of operations and in other non-current liabilities on the consolidated balance sheet. In December 2021, the Company agreed in principle subject to formal documentation with Webasto to settle all existing claims related to the sale of our former EES business for $20,000,000 and Webasto keeping the Holdback. Under the terms of the expected written settlement agreement that is being negotiated by the Company and Webasto, the Company’s payment of the settlement amount will occur over a 24 month period after the execution of the settlement agreement. As a result of the agreement in principle to settlement the litigation, the Company recorded additional litigation reserve expenses in the amount of $10,000,000 during the three months ended October 30, 2021 recorded in other expense on the consolidated statements of operations and in other current liabilities on the consolidated balance sheet. Should the Company not be able to negotiate and sign a mutually acceptable settlement agreement with Webasto, the Company will continue with discovery in the litigation and defend itself vigorously.</w:t>
      </w:r>
    </w:p>
    <w:p>
      <w:pPr>
        <w:spacing w:after="0" w:line="174"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$0 for the three and six months ended October 30, 2021, and $0 and $38,000 and has been recorded in other (expense) income, net in the unaudited consolidated statements of operations for the three and six months ended October 31, 2020,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October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32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22,245</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CCEEFF"/>
          </w:tcPr>
          <w:p>
            <w:pPr>
              <w:spacing w:after="0"/>
              <w:rPr>
                <w:sz w:val="18"/>
                <w:szCs w:val="18"/>
                <w:color w:val="auto"/>
              </w:rPr>
            </w:pPr>
          </w:p>
        </w:tc>
      </w:tr>
      <w:tr>
        <w:trPr>
          <w:trHeight w:val="250"/>
        </w:trPr>
        <w:tc>
          <w:tcPr>
            <w:tcW w:w="5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short-term investments</w:t>
            </w:r>
          </w:p>
        </w:tc>
        <w:tc>
          <w:tcPr>
            <w:tcW w:w="15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31,971</w:t>
            </w:r>
          </w:p>
        </w:tc>
        <w:tc>
          <w:tcPr>
            <w:tcW w:w="120" w:type="dxa"/>
            <w:vAlign w:val="bottom"/>
            <w:tcBorders>
              <w:bottom w:val="single" w:sz="8" w:color="CCEEFF"/>
            </w:tcBorders>
          </w:tcPr>
          <w:p>
            <w:pPr>
              <w:spacing w:after="0"/>
              <w:rPr>
                <w:sz w:val="21"/>
                <w:szCs w:val="2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investments:</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government securities</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18"/>
                <w:szCs w:val="18"/>
                <w:color w:val="auto"/>
              </w:rPr>
            </w:pPr>
          </w:p>
        </w:tc>
      </w:tr>
      <w:tr>
        <w:trPr>
          <w:trHeight w:val="209"/>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available-for-sale investments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Equity method investments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limited partnership fund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20" w:type="dxa"/>
            <w:vAlign w:val="bottom"/>
            <w:shd w:val="clear" w:color="auto" w:fill="CCEEFF"/>
          </w:tcPr>
          <w:p>
            <w:pPr>
              <w:spacing w:after="0"/>
              <w:rPr>
                <w:sz w:val="18"/>
                <w:szCs w:val="18"/>
                <w:color w:val="auto"/>
              </w:rPr>
            </w:pPr>
          </w:p>
        </w:tc>
      </w:tr>
      <w:tr>
        <w:trPr>
          <w:trHeight w:val="210"/>
        </w:trPr>
        <w:tc>
          <w:tcPr>
            <w:tcW w:w="5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 method investments</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120" w:type="dxa"/>
            <w:vAlign w:val="bottom"/>
            <w:tcBorders>
              <w:bottom w:val="single" w:sz="8" w:color="CCEEFF"/>
            </w:tcBorders>
          </w:tcPr>
          <w:p>
            <w:pPr>
              <w:spacing w:after="0"/>
              <w:rPr>
                <w:sz w:val="18"/>
                <w:szCs w:val="18"/>
                <w:color w:val="auto"/>
              </w:rPr>
            </w:pPr>
          </w:p>
        </w:tc>
      </w:tr>
      <w:tr>
        <w:trPr>
          <w:trHeight w:val="209"/>
        </w:trPr>
        <w:tc>
          <w:tcPr>
            <w:tcW w:w="5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left="40" w:right="359"/>
        <w:spacing w:after="0" w:line="279" w:lineRule="auto"/>
        <w:rPr>
          <w:sz w:val="20"/>
          <w:szCs w:val="20"/>
          <w:color w:val="auto"/>
        </w:rPr>
      </w:pPr>
      <w:r>
        <w:rPr>
          <w:rFonts w:ascii="Arial" w:cs="Arial" w:eastAsia="Arial" w:hAnsi="Arial"/>
          <w:sz w:val="17"/>
          <w:szCs w:val="17"/>
          <w:color w:val="auto"/>
        </w:rPr>
        <w:t>As of October 30, 2021 and April 30, 2021, the balance of available-for-sale securities consisted of state and local government municipal securities, U.S. government securities, U.S. government agency securities, and investment grade corporate bonds. Interest earned from these investments is recorded in interest income. Realized gains on sales of these investments on the basis of specific identification are recorded in interest (expense) income.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359"/>
        <w:spacing w:after="0" w:line="308" w:lineRule="auto"/>
        <w:rPr>
          <w:sz w:val="20"/>
          <w:szCs w:val="20"/>
          <w:color w:val="auto"/>
        </w:rPr>
      </w:pPr>
      <w:r>
        <w:rPr>
          <w:rFonts w:ascii="Arial" w:cs="Arial" w:eastAsia="Arial" w:hAnsi="Arial"/>
          <w:sz w:val="17"/>
          <w:szCs w:val="17"/>
          <w:color w:val="auto"/>
        </w:rPr>
        <w:t>The following table is a summary of the activity related to the available-for-sale investments recorded in short-term and long-term investments as of October 30, 2021 and April 30, 2021, respectively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October 30, 2021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Amortized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April 30, 2021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ind w:left="280"/>
              <w:spacing w:after="0"/>
              <w:rPr>
                <w:sz w:val="20"/>
                <w:szCs w:val="20"/>
                <w:color w:val="auto"/>
              </w:rPr>
            </w:pPr>
            <w:r>
              <w:rPr>
                <w:rFonts w:ascii="Arial" w:cs="Arial" w:eastAsia="Arial" w:hAnsi="Arial"/>
                <w:sz w:val="14"/>
                <w:szCs w:val="14"/>
                <w:b w:val="1"/>
                <w:bCs w:val="1"/>
                <w:color w:val="auto"/>
                <w:w w:val="91"/>
              </w:rPr>
              <w:t>Losses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23,227</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280" w:type="dxa"/>
            <w:vAlign w:val="bottom"/>
            <w:tcBorders>
              <w:top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23,233</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36,953</w:t>
            </w:r>
          </w:p>
        </w:tc>
        <w:tc>
          <w:tcPr>
            <w:tcW w:w="2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(3)</w:t>
            </w:r>
          </w:p>
        </w:tc>
        <w:tc>
          <w:tcPr>
            <w:tcW w:w="280" w:type="dxa"/>
            <w:vAlign w:val="bottom"/>
            <w:gridSpan w:val="3"/>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36,959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The amortized cost and fair value of the available-for-sale debt securities by contractual maturity at October 30, 2021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4" w:lineRule="exact"/>
        <w:rPr>
          <w:sz w:val="20"/>
          <w:szCs w:val="20"/>
          <w:color w:val="auto"/>
        </w:rPr>
      </w:pPr>
    </w:p>
    <w:p>
      <w:pPr>
        <w:ind w:left="360" w:right="579" w:hanging="316"/>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60" w:right="239" w:hanging="316"/>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3" w:lineRule="exact"/>
        <w:rPr>
          <w:rFonts w:ascii="Arial" w:cs="Arial" w:eastAsia="Arial" w:hAnsi="Arial"/>
          <w:sz w:val="18"/>
          <w:szCs w:val="18"/>
          <w:color w:val="auto"/>
        </w:rPr>
      </w:pPr>
    </w:p>
    <w:p>
      <w:pPr>
        <w:ind w:left="340" w:hanging="296"/>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October 30, 2021,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Contingently returnable consideration</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October 30, 2021,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Fair Value Measurement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2021, were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w w:val="96"/>
              </w:rPr>
              <w:t>Fair Value Measurement Using</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60" w:type="dxa"/>
            <w:vAlign w:val="bottom"/>
            <w:gridSpan w:val="4"/>
          </w:tcPr>
          <w:p>
            <w:pPr>
              <w:jc w:val="center"/>
              <w:ind w:left="5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960" w:type="dxa"/>
            <w:vAlign w:val="bottom"/>
            <w:gridSpan w:val="3"/>
          </w:tcPr>
          <w:p>
            <w:pPr>
              <w:jc w:val="center"/>
              <w:ind w:left="5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$ 36,959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36,959</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Contingently returnable consideration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37,438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Measurements Using</w:t>
            </w:r>
          </w:p>
        </w:tc>
        <w:tc>
          <w:tcPr>
            <w:tcW w:w="1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Measurements Using</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1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49"/>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317"/>
              <w:spacing w:after="0" w:line="149"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71"/>
        </w:trPr>
        <w:tc>
          <w:tcPr>
            <w:tcW w:w="5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2021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Business acquisition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Transfers to Level 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losses (realized or 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selling, general and administrative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30, 2021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line="195" w:lineRule="exact"/>
              <w:rPr>
                <w:sz w:val="20"/>
                <w:szCs w:val="20"/>
                <w:color w:val="auto"/>
              </w:rPr>
            </w:pPr>
            <w:r>
              <w:rPr>
                <w:rFonts w:ascii="Arial" w:cs="Arial" w:eastAsia="Arial" w:hAnsi="Arial"/>
                <w:sz w:val="18"/>
                <w:szCs w:val="18"/>
                <w:color w:val="auto"/>
              </w:rPr>
              <w:t>The amount of total (gains) or losses for the period included in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1"/>
              </w:rPr>
              <w:t>earnings attributable to the change in unrealized gains or losses relating to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or liabilities still held at October 30, 2021</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The fair value measurement tables above have been corrected to present the fair value of the contingently returnable consideration associated with the acquisition of ISG of $479,000 as of April 30, 2021 and subsequent changes in fair value, which is recorded in other assets on the consolidated balance sheet. The tables previously included the fair value of the contingent consideration, rather than the returnable contingent consideration. The returnable contingent consideration represents the difference between the $6,000,000 cash consideration paid to the sellers in escrow and the fair value of the contingent consideration of $5,521,000 as of April 30, 2021.</w:t>
      </w:r>
    </w:p>
    <w:p>
      <w:pPr>
        <w:spacing w:after="0" w:line="178" w:lineRule="exact"/>
        <w:rPr>
          <w:sz w:val="20"/>
          <w:szCs w:val="20"/>
          <w:color w:val="auto"/>
        </w:rPr>
      </w:pPr>
    </w:p>
    <w:p>
      <w:pPr>
        <w:ind w:left="40" w:right="399"/>
        <w:spacing w:after="0" w:line="342" w:lineRule="auto"/>
        <w:rPr>
          <w:sz w:val="20"/>
          <w:szCs w:val="20"/>
          <w:color w:val="auto"/>
        </w:rPr>
      </w:pPr>
      <w:r>
        <w:rPr>
          <w:rFonts w:ascii="Arial" w:cs="Arial" w:eastAsia="Arial" w:hAnsi="Arial"/>
          <w:sz w:val="16"/>
          <w:szCs w:val="16"/>
          <w:color w:val="auto"/>
        </w:rPr>
        <w:t>Pursuant to the ISG Purchase Agreement, the sellers may receive up to a maximum of $6,000,000 in additional cash consideration (“contingent consideration”), if certain revenue targets are achieved during the 3 years following closing.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The contingent consideration was valued using a Black-Scholes option-pricing model. The analysis considered, among other items, contractual terms of the ISG Purchase Agreement, the Company’s discount rate, the timing of expected future cash flows and the probability that the revenue targets required for payment of the contingent consideration will be achieved. During the three months ended October 30, 2021, the target for the first year was achieved, and the related consideration of $2,000,000 is expected to be released from an escrow account that is not controlled by the Company and therefore not recorded on the consolidated balance sheet, during the three months ended January 29, 2022. The fair value of the contingently returnable consideration is equal to the difference between the maximum value of the contingent consideration and the fair value of the contingent consideration and is recorded in other assets on the consolidated balance sheet.</w:t>
      </w:r>
    </w:p>
    <w:p>
      <w:pPr>
        <w:spacing w:after="0" w:line="196" w:lineRule="exact"/>
        <w:rPr>
          <w:sz w:val="20"/>
          <w:szCs w:val="20"/>
          <w:color w:val="auto"/>
        </w:rPr>
      </w:pPr>
    </w:p>
    <w:p>
      <w:pPr>
        <w:ind w:left="40" w:right="59"/>
        <w:spacing w:after="0" w:line="272" w:lineRule="auto"/>
        <w:rPr>
          <w:sz w:val="20"/>
          <w:szCs w:val="20"/>
          <w:color w:val="auto"/>
        </w:rPr>
      </w:pPr>
      <w:r>
        <w:rPr>
          <w:rFonts w:ascii="Arial" w:cs="Arial" w:eastAsia="Arial" w:hAnsi="Arial"/>
          <w:sz w:val="17"/>
          <w:szCs w:val="17"/>
          <w:color w:val="auto"/>
        </w:rPr>
        <w:t>Pursuant to the Telerob Purchase Agreement, the Telerob Sellers may receive up to a maximum of €6,000,000 (approximately $7,272,000) in additional cash consideration if specific revenue and contract award targets for Telerob are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consideration will be achieved. The fair value of the contingent consideration is recorded in other accrued liabilities on the consolidated balance sheet.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Refer to Note 18—Business Acquisitions.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29"/>
        </w:trPr>
        <w:tc>
          <w:tcPr>
            <w:tcW w:w="6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30,261</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13,825</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44,113</w:t>
            </w:r>
          </w:p>
        </w:tc>
        <w:tc>
          <w:tcPr>
            <w:tcW w:w="12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Inventories, gross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94,052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81,935</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(10,289)</w:t>
            </w: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Inventories, net</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71,646</w:t>
            </w:r>
          </w:p>
        </w:tc>
        <w:tc>
          <w:tcPr>
            <w:tcW w:w="1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Equity Method Investments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December 2017, the Company and SoftBank Corp. (“Softbank”) formed a joint venture, HAPSMobile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(“HAPSMobile”), which is a Japanese corporation. Concurrent with the formation of HAPSMobile, the Company executed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Design and Development Agreement (the “DDA”) with HAPSMobile. As of October 30, 2021, the Company’s ownership</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stake in HAPSMobile was approximately 7%, with the remaining 93% held by SoftBank. In connection with the formation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of the joint venture on December 27, 2017, the Company initially purchased shares of HAPSMobile representing a 5%</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ownership interest in exchange for an investment of 210,000,000 yen ($1,860,000). The Company subsequently purchased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shares of HAPSMobile in order to maintain a 5% ownership stake in the joint venture. The first such purchase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occurred on April 17, 2018, at which time the Company invested 150,000,000 yen ($1,407,000) for the purchase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shares of HAPSMobile. On January 29, 2019, the Company invested an additional 209,500,000 yen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($1,926,000) to maintain its 5% ownership stake. On February 9, 2019, the Company elected to purchase 632,800,000 yen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($5,671,000) of additional shares of HAPSMobile to increase the Company’s ownership in the joint venture from 5%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 and on May 10, 2019, the Company purchased 500,000,000 yen ($4,569,000) of additional shares of HAPSMobile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maintain its 10% ownership stake. The Company’s ownership percentage was subsequently diluted from 10%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approximately 5%. On December 4, 2019, the Company purchased 540,050,000 yen ($4,982,000) of additional shares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HAPSMobile to increase its ownership stake to approximately 7%.</w:t>
      </w:r>
    </w:p>
    <w:p>
      <w:pPr>
        <w:spacing w:after="0" w:line="211"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color w:val="auto"/>
        </w:rPr>
        <w:t>On May 29, 2021, the Company entered into an amendment to the DDA with HAPSMobile. The parties agreed to the amendment in anticipation of the Company and SoftBank entering into a Master Design and Development Agreement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(“MDDA”) with each other to continue the design and development of the Solar High Altitude Pseudo-Satellite (“Solar HAPS”) aircraft developed under the DDA.</w:t>
      </w:r>
    </w:p>
    <w:p>
      <w:pPr>
        <w:spacing w:after="0" w:line="170"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On May 29, 2021, the Company and SoftBank entered into a MDDA to continue the development of Solar HAPS. Pursuant to the MDDA, which has a five-year term, SoftBank will issue orders to the Company for the Company to perform design and development services and produce deliverables as specified in the applicable order(s). Upon the execution of the MDDA, SoftBank issued to the Company, and the Company accepted, the first order under the MDDA which has a maximum value of approximately $51,200,000. Concurrent with the execution of the MDDA, each of SoftBank and the Company agreed to lend HAPSMobile loans which are convertible into shares of HAPSMobile under certain conditions, and to cooperate with each other to explore restructuring and financing options for HAPSMobile to continue the development of Solar HAPS. The Company committed to lend 500,000,000 yen. On June 7, 2021 the Company funded 130,000,000 yen ($1,195,000) of the loan agreement. On August 13, 2021, the Company made the second payment of the loan agreement in the amount of 180,000,000 yen ($1,638,000). On October 29, 2021, the Company made the final payment under the loan agreement in the amount of 190,000,000 yen ($1,674,000).</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the Company has the ability to exercise significant influence over the operating and financial policies of HAPSMobile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pursuant to the applicable Joint Venture Agreement and related organizational documents, the Company’s investment is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accounted for as an equity method investment. For the three and six months ended October 30, 2021, the Company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recorded its proportionate net loss of HAPSMobile, or $190,000 and $1,845,000, respectively, in equity method investment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net of tax in the unaudited consolidated statement of operations. For the three and six months ended October 31, 2020,</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Company recorded its ownership percentage of the net loss of HAPSMobile, or $9,522,000 and $10,810,000,</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respectively, in equity method investment loss, net of tax in the unaudited consolidated statement of operations, of which</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$8,363,000 related to the Company’s proportion of a loss for HAPSMobile’s impairment of its investment in Loon LLC. At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October 30, 2021 and April 30, 2021, the carrying value of the investment in HAPSMobile was $2,661,000 and $0,</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respectively, was recorded in other assets.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 Limited Partnership Fund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July 2019, the Company made its initial capital contribution to a limited partnership fund focusing on highly relevant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technologies and start-up companies serving defense and industrial markets. During the six months ended October 30, 2021</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October 31, 2020, the Company made additional contributions of $1,738,000 and $1,173,000, respectively. Under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terms of the limited partnership agreement, the Company has committed to make additional capital contributions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$639,000 to the fund. The Company accounts for investments in limited partnerships as equity method investments as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Company is deemed to have influence when it holds more than a minor interest. For the three and six months ended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30, 2021, the Company recorded its ownership percentage of the net gain of the limited partnership, or $1,852,000</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$2,365,000, respectively, net of $529,000 of tax expense, respectively, in equity method investment income (loss) 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unaudited consolidated statements of operations. For the three and six months ended October 31, 2020, the Company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recorded its ownership percentage of the net loss of the limited partnership, or $0 and $(280,000), respectively, in equity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method investment income (loss) in the unaudited consolidated statements of operations. At October 30, 2021 and April 30,</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2021, the carrying value of the investment in the limited partnership of $11,271,000 and $7,168,000, respectively, was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recorded in long-term investments.</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Warranty Reserves</w:t>
      </w:r>
    </w:p>
    <w:p>
      <w:pPr>
        <w:spacing w:after="0" w:line="162" w:lineRule="exact"/>
        <w:rPr>
          <w:sz w:val="20"/>
          <w:szCs w:val="20"/>
          <w:color w:val="auto"/>
        </w:rPr>
      </w:pPr>
    </w:p>
    <w:p>
      <w:pPr>
        <w:ind w:left="40" w:right="239"/>
        <w:spacing w:after="0" w:line="311" w:lineRule="auto"/>
        <w:rPr>
          <w:sz w:val="20"/>
          <w:szCs w:val="20"/>
          <w:color w:val="auto"/>
        </w:rPr>
      </w:pPr>
      <w:r>
        <w:rPr>
          <w:rFonts w:ascii="Arial" w:cs="Arial" w:eastAsia="Arial" w:hAnsi="Arial"/>
          <w:sz w:val="16"/>
          <w:szCs w:val="16"/>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six months ended October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30, 2021 and October 31, 2020, respectively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30,</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October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w w:val="97"/>
              </w:rPr>
              <w:t>October 30,</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Balance acquired from acquisition</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Warranty costs settled</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67"/>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8. Intangibles, net</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360" w:type="dxa"/>
            <w:vAlign w:val="bottom"/>
          </w:tcPr>
          <w:p>
            <w:pPr>
              <w:spacing w:after="0"/>
              <w:rPr>
                <w:sz w:val="20"/>
                <w:szCs w:val="20"/>
                <w:color w:val="auto"/>
              </w:rPr>
            </w:pPr>
            <w:r>
              <w:rPr>
                <w:rFonts w:ascii="Arial" w:cs="Arial" w:eastAsia="Arial" w:hAnsi="Arial"/>
                <w:sz w:val="18"/>
                <w:szCs w:val="18"/>
                <w:color w:val="auto"/>
              </w:rPr>
              <w:t>The components of intangibles are as follows (in thousands):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October 30,</w:t>
            </w:r>
          </w:p>
        </w:tc>
        <w:tc>
          <w:tcPr>
            <w:tcW w:w="140" w:type="dxa"/>
            <w:vAlign w:val="bottom"/>
          </w:tcPr>
          <w:p>
            <w:pPr>
              <w:spacing w:after="0"/>
              <w:rPr>
                <w:sz w:val="24"/>
                <w:szCs w:val="2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57,887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Licenses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72,872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Backlog</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2,303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135,113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(24,493)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110,620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106,268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weighted average amortization period at October 30, 2021 and April 30, 2021 was five years, respectively.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expense for the three and six months ended October 30, 2021 was $6,843,000 and $13,816,000, respectively.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expense for the three and six months ended October 31, 2020 was $715,000 and $1,424,000, respectively.</w:t>
      </w:r>
    </w:p>
    <w:p>
      <w:pPr>
        <w:spacing w:after="0" w:line="234" w:lineRule="exact"/>
        <w:rPr>
          <w:sz w:val="20"/>
          <w:szCs w:val="20"/>
          <w:color w:val="auto"/>
        </w:rPr>
      </w:pPr>
    </w:p>
    <w:p>
      <w:pPr>
        <w:ind w:left="40" w:right="359"/>
        <w:spacing w:after="0" w:line="257" w:lineRule="auto"/>
        <w:rPr>
          <w:sz w:val="20"/>
          <w:szCs w:val="20"/>
          <w:color w:val="auto"/>
        </w:rPr>
      </w:pPr>
      <w:r>
        <w:rPr>
          <w:rFonts w:ascii="Arial" w:cs="Arial" w:eastAsia="Arial" w:hAnsi="Arial"/>
          <w:sz w:val="18"/>
          <w:szCs w:val="18"/>
          <w:color w:val="auto"/>
        </w:rPr>
        <w:t>Technology, backlog and customer relationship intangible assets were recognized in conjunction with the Company’s acquisition of Telerob on May 3, 2021. Technology and customer relationship intangible assets were recognized in conjunction with the Company’s acquisition of Arcturus on February 19, 2021. Technology and customer relationship intangible assets were recognized in conjunction with the Company’s acquisition of ISG on February 23, 2021. Refer to Note 18—Business Acquisitions for further details.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ending</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tcBorders>
            <w:shd w:val="clear" w:color="auto" w:fill="CCEEFF"/>
          </w:tcPr>
          <w:p>
            <w:pPr>
              <w:jc w:val="right"/>
              <w:ind w:right="1910"/>
              <w:spacing w:after="0"/>
              <w:rPr>
                <w:sz w:val="20"/>
                <w:szCs w:val="20"/>
                <w:color w:val="auto"/>
              </w:rPr>
            </w:pPr>
            <w:r>
              <w:rPr>
                <w:rFonts w:ascii="Arial" w:cs="Arial" w:eastAsia="Arial" w:hAnsi="Arial"/>
                <w:sz w:val="18"/>
                <w:szCs w:val="18"/>
                <w:color w:val="auto"/>
                <w:w w:val="84"/>
              </w:rPr>
              <w:t>2022</w:t>
            </w:r>
          </w:p>
        </w:tc>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right"/>
              <w:ind w:right="1910"/>
              <w:spacing w:after="0"/>
              <w:rPr>
                <w:sz w:val="20"/>
                <w:szCs w:val="20"/>
                <w:color w:val="auto"/>
              </w:rPr>
            </w:pPr>
            <w:r>
              <w:rPr>
                <w:rFonts w:ascii="Arial" w:cs="Arial" w:eastAsia="Arial" w:hAnsi="Arial"/>
                <w:sz w:val="18"/>
                <w:szCs w:val="18"/>
                <w:color w:val="auto"/>
                <w:w w:val="84"/>
              </w:rPr>
              <w:t>2023</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w w:val="84"/>
              </w:rPr>
              <w:t>2024</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right"/>
              <w:ind w:right="1910"/>
              <w:spacing w:after="0"/>
              <w:rPr>
                <w:sz w:val="20"/>
                <w:szCs w:val="20"/>
                <w:color w:val="auto"/>
              </w:rPr>
            </w:pPr>
            <w:r>
              <w:rPr>
                <w:rFonts w:ascii="Arial" w:cs="Arial" w:eastAsia="Arial" w:hAnsi="Arial"/>
                <w:sz w:val="18"/>
                <w:szCs w:val="18"/>
                <w:color w:val="auto"/>
                <w:w w:val="84"/>
              </w:rPr>
              <w:t>2025</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w w:val="84"/>
              </w:rPr>
              <w:t>2026</w:t>
            </w:r>
          </w:p>
        </w:tc>
        <w:tc>
          <w:tcPr>
            <w:tcW w:w="5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400" w:type="dxa"/>
            <w:vAlign w:val="bottom"/>
            <w:vMerge w:val="restart"/>
          </w:tcPr>
          <w:p>
            <w:pPr>
              <w:jc w:val="right"/>
              <w:ind w:right="31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36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3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Small UAS</w:t>
            </w:r>
          </w:p>
        </w:tc>
        <w:tc>
          <w:tcPr>
            <w:tcW w:w="12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TMS</w:t>
            </w:r>
          </w:p>
        </w:tc>
        <w:tc>
          <w:tcPr>
            <w:tcW w:w="120" w:type="dxa"/>
            <w:vAlign w:val="bottom"/>
          </w:tcPr>
          <w:p>
            <w:pPr>
              <w:spacing w:after="0"/>
              <w:rPr>
                <w:sz w:val="14"/>
                <w:szCs w:val="14"/>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MUAS</w:t>
            </w:r>
          </w:p>
        </w:tc>
        <w:tc>
          <w:tcPr>
            <w:tcW w:w="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2021</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$ 288,611</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$ 19,254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$ 314,205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Additions to goodwill</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20,288</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21,683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Balance at October 30, 2021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$ 290,006</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$ 39,542</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$ 335,888</w:t>
            </w: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179"/>
        <w:spacing w:after="0" w:line="311" w:lineRule="auto"/>
        <w:rPr>
          <w:sz w:val="20"/>
          <w:szCs w:val="20"/>
          <w:color w:val="auto"/>
        </w:rPr>
      </w:pPr>
      <w:r>
        <w:rPr>
          <w:rFonts w:ascii="Arial" w:cs="Arial" w:eastAsia="Arial" w:hAnsi="Arial"/>
          <w:sz w:val="16"/>
          <w:szCs w:val="16"/>
          <w:color w:val="auto"/>
        </w:rPr>
        <w:t>The goodwill balance at April 30, 2021 is attributable to the acquisitions of Pulse, ISG, and Arcturus acquisitions. The MUAS addition to goodwill relates to measurement period adjustments for pre-acquisition tax returns. The addition to All other goodwill is attributable to the Telerob acquisition. Refer to Note 18—Business Acquisitions for further details.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left="40" w:right="319"/>
        <w:spacing w:after="0" w:line="301" w:lineRule="auto"/>
        <w:rPr>
          <w:sz w:val="20"/>
          <w:szCs w:val="20"/>
          <w:color w:val="auto"/>
        </w:rPr>
      </w:pPr>
      <w:r>
        <w:rPr>
          <w:rFonts w:ascii="Arial" w:cs="Arial" w:eastAsia="Arial" w:hAnsi="Arial"/>
          <w:sz w:val="16"/>
          <w:szCs w:val="16"/>
          <w:color w:val="auto"/>
        </w:rPr>
        <w:t>In connection with the consummation of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57"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The Credit Agreement and its associated Security and Pledge Agreement set forth the terms and conditions for (i) a five-year $100 million revolving credit facility, which includes a $10 million sublimit for the issuance of standby and commercial letters of credit (the “Revolving Facility”), and (ii) a five-year amortized $200 million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79" w:lineRule="exact"/>
        <w:rPr>
          <w:sz w:val="20"/>
          <w:szCs w:val="20"/>
          <w:color w:val="auto"/>
        </w:rPr>
      </w:pPr>
    </w:p>
    <w:p>
      <w:pPr>
        <w:ind w:left="40" w:right="299"/>
        <w:spacing w:after="0" w:line="291" w:lineRule="auto"/>
        <w:rPr>
          <w:sz w:val="20"/>
          <w:szCs w:val="20"/>
          <w:color w:val="auto"/>
        </w:rPr>
      </w:pPr>
      <w:r>
        <w:rPr>
          <w:rFonts w:ascii="Arial" w:cs="Arial" w:eastAsia="Arial" w:hAnsi="Arial"/>
          <w:sz w:val="16"/>
          <w:szCs w:val="16"/>
          <w:color w:val="auto"/>
        </w:rPr>
        <w:t>The Credit Facilities provide the Company with a choice of interest rates between (a) LIBOR (with a 0% floor) plus the Applicable Margin; or (b) Base Rate (defined as the highest of (a) the Federal Funds Rate plus one-half percent (0.50%),</w:t>
      </w:r>
    </w:p>
    <w:p>
      <w:pPr>
        <w:ind w:left="40" w:right="79" w:firstLine="4"/>
        <w:spacing w:after="0" w:line="252" w:lineRule="auto"/>
        <w:tabs>
          <w:tab w:leader="none" w:pos="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Bank of America prime rate, and (c) the one (1) month LIBOR plus one percent (1.00%) plus the Applicable Margin. The Applicable Margin is based upon the Consolidated Leverage Ratio (as defined in the Credit Agreement) and whether the Company elects LIBOR (ranging from 1.50 - 2.25%) or Base Rate (ranging from 0.50 - 1.25%). The Company is also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w:t>
      </w:r>
    </w:p>
    <w:p>
      <w:pPr>
        <w:spacing w:after="0" w:line="192" w:lineRule="exact"/>
        <w:rPr>
          <w:sz w:val="20"/>
          <w:szCs w:val="20"/>
          <w:color w:val="auto"/>
        </w:rPr>
      </w:pPr>
    </w:p>
    <w:p>
      <w:pPr>
        <w:ind w:left="40" w:right="239"/>
        <w:spacing w:after="0" w:line="275" w:lineRule="auto"/>
        <w:rPr>
          <w:sz w:val="20"/>
          <w:szCs w:val="20"/>
          <w:color w:val="auto"/>
        </w:rPr>
      </w:pPr>
      <w:r>
        <w:rPr>
          <w:rFonts w:ascii="Arial" w:cs="Arial" w:eastAsia="Arial" w:hAnsi="Arial"/>
          <w:sz w:val="17"/>
          <w:szCs w:val="17"/>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76" w:lineRule="exact"/>
        <w:rPr>
          <w:sz w:val="20"/>
          <w:szCs w:val="20"/>
          <w:color w:val="auto"/>
        </w:rPr>
      </w:pPr>
    </w:p>
    <w:p>
      <w:pPr>
        <w:ind w:left="40" w:right="119"/>
        <w:spacing w:after="0" w:line="311" w:lineRule="auto"/>
        <w:rPr>
          <w:sz w:val="20"/>
          <w:szCs w:val="20"/>
          <w:color w:val="auto"/>
        </w:rPr>
      </w:pPr>
      <w:r>
        <w:rPr>
          <w:rFonts w:ascii="Arial" w:cs="Arial" w:eastAsia="Arial" w:hAnsi="Arial"/>
          <w:sz w:val="16"/>
          <w:szCs w:val="16"/>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with customary exclusions and exceptions. The Company’s existing and future domestic subsidiaries, including Arcturus, are guarantors for the Credit Facilities.</w:t>
      </w:r>
    </w:p>
    <w:p>
      <w:pPr>
        <w:spacing w:after="0" w:line="170"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 As of October 30, 2021, the Company is in compliance with all covenants.</w:t>
      </w:r>
    </w:p>
    <w:p>
      <w:pPr>
        <w:spacing w:after="0" w:line="178"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color w:val="auto"/>
        </w:rPr>
        <w:t>Based upon the Company’s revised projections, there is a substantial risk that it may be required to make a prepayment to reduce the outstanding balance of its Term Loan Facility or to obtain an amendment to the Credit Agreement to remain in compliance with all of the financial covenants in the Credit Agreement during the fiscal quarter ending January 29, 2022. The Company currently estimates the range of the potentially required prepayment to be $50,000,000 to $60,000,000. The Company is in discussion with the lenders regarding obtaining an amendment to the Credit Agreement to allow it to remain in compliance with the financial covenants; however, if the Company is not able to obtain such an amendment to the Credit Agreement, it has both the ability and intent to make any required prepayment. The Company expects to be in compliance with all financial covenants under the terms of its Credit Agreement, including any amendment to such agreement, during the quarter ending April 30, 2022 regardless of whether a required prepayment is made or loan amendment is obtained.</w:t>
      </w:r>
    </w:p>
    <w:p>
      <w:pPr>
        <w:spacing w:after="0" w:line="166"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The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11"/>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October 30,</w:t>
            </w:r>
          </w:p>
        </w:tc>
        <w:tc>
          <w:tcPr>
            <w:tcW w:w="0" w:type="dxa"/>
            <w:vAlign w:val="bottom"/>
          </w:tcPr>
          <w:p>
            <w:pPr>
              <w:spacing w:after="0"/>
              <w:rPr>
                <w:sz w:val="1"/>
                <w:szCs w:val="1"/>
                <w:color w:val="auto"/>
              </w:rPr>
            </w:pPr>
          </w:p>
        </w:tc>
      </w:tr>
      <w:tr>
        <w:trPr>
          <w:trHeight w:val="201"/>
        </w:trPr>
        <w:tc>
          <w:tcPr>
            <w:tcW w:w="6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3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Revolving credit facility</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 - term loans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182,769</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Unamortized debt issuance costs - revolving credit facility</w:t>
            </w:r>
          </w:p>
        </w:tc>
        <w:tc>
          <w:tcPr>
            <w:tcW w:w="1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Current period interest rate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864"/>
        </w:trPr>
        <w:tc>
          <w:tcPr>
            <w:tcW w:w="6500" w:type="dxa"/>
            <w:vAlign w:val="bottom"/>
          </w:tcPr>
          <w:p>
            <w:pPr>
              <w:ind w:left="4380"/>
              <w:spacing w:after="0"/>
              <w:rPr>
                <w:sz w:val="20"/>
                <w:szCs w:val="20"/>
                <w:color w:val="auto"/>
              </w:rPr>
            </w:pPr>
            <w:r>
              <w:rPr>
                <w:rFonts w:ascii="Arial" w:cs="Arial" w:eastAsia="Arial" w:hAnsi="Arial"/>
                <w:sz w:val="18"/>
                <w:szCs w:val="18"/>
                <w:color w:val="auto"/>
              </w:rPr>
              <w:t>23</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Future long-term debt principal payments at October 30, 2021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(In thousands)</w:t>
            </w:r>
          </w:p>
        </w:tc>
      </w:tr>
      <w:tr>
        <w:trPr>
          <w:trHeight w:val="216"/>
        </w:trPr>
        <w:tc>
          <w:tcPr>
            <w:tcW w:w="7820" w:type="dxa"/>
            <w:vAlign w:val="bottom"/>
            <w:shd w:val="clear" w:color="auto" w:fill="CCEEFF"/>
          </w:tcPr>
          <w:p>
            <w:pPr>
              <w:jc w:val="right"/>
              <w:ind w:right="7370"/>
              <w:spacing w:after="0"/>
              <w:rPr>
                <w:sz w:val="20"/>
                <w:szCs w:val="20"/>
                <w:color w:val="auto"/>
              </w:rPr>
            </w:pPr>
            <w:r>
              <w:rPr>
                <w:rFonts w:ascii="Arial" w:cs="Arial" w:eastAsia="Arial" w:hAnsi="Arial"/>
                <w:sz w:val="18"/>
                <w:szCs w:val="18"/>
                <w:color w:val="auto"/>
                <w:w w:val="84"/>
              </w:rPr>
              <w:t>2022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7820" w:type="dxa"/>
            <w:vAlign w:val="bottom"/>
          </w:tcPr>
          <w:p>
            <w:pPr>
              <w:jc w:val="right"/>
              <w:ind w:right="7370"/>
              <w:spacing w:after="0"/>
              <w:rPr>
                <w:sz w:val="20"/>
                <w:szCs w:val="20"/>
                <w:color w:val="auto"/>
              </w:rPr>
            </w:pPr>
            <w:r>
              <w:rPr>
                <w:rFonts w:ascii="Arial" w:cs="Arial" w:eastAsia="Arial" w:hAnsi="Arial"/>
                <w:sz w:val="18"/>
                <w:szCs w:val="18"/>
                <w:color w:val="auto"/>
                <w:w w:val="84"/>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20" w:type="dxa"/>
            <w:vAlign w:val="bottom"/>
            <w:shd w:val="clear" w:color="auto" w:fill="CCEEFF"/>
          </w:tcPr>
          <w:p>
            <w:pPr>
              <w:jc w:val="right"/>
              <w:ind w:right="7370"/>
              <w:spacing w:after="0"/>
              <w:rPr>
                <w:sz w:val="20"/>
                <w:szCs w:val="20"/>
                <w:color w:val="auto"/>
              </w:rPr>
            </w:pPr>
            <w:r>
              <w:rPr>
                <w:rFonts w:ascii="Arial" w:cs="Arial" w:eastAsia="Arial" w:hAnsi="Arial"/>
                <w:sz w:val="18"/>
                <w:szCs w:val="18"/>
                <w:color w:val="auto"/>
                <w:w w:val="84"/>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20" w:type="dxa"/>
            <w:vAlign w:val="bottom"/>
          </w:tcPr>
          <w:p>
            <w:pPr>
              <w:jc w:val="right"/>
              <w:ind w:right="7370"/>
              <w:spacing w:after="0"/>
              <w:rPr>
                <w:sz w:val="20"/>
                <w:szCs w:val="20"/>
                <w:color w:val="auto"/>
              </w:rPr>
            </w:pPr>
            <w:r>
              <w:rPr>
                <w:rFonts w:ascii="Arial" w:cs="Arial" w:eastAsia="Arial" w:hAnsi="Arial"/>
                <w:sz w:val="18"/>
                <w:szCs w:val="18"/>
                <w:color w:val="auto"/>
                <w:w w:val="84"/>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20" w:type="dxa"/>
            <w:vAlign w:val="bottom"/>
            <w:shd w:val="clear" w:color="auto" w:fill="CCEEFF"/>
          </w:tcPr>
          <w:p>
            <w:pPr>
              <w:jc w:val="right"/>
              <w:ind w:right="7370"/>
              <w:spacing w:after="0"/>
              <w:rPr>
                <w:sz w:val="20"/>
                <w:szCs w:val="20"/>
                <w:color w:val="auto"/>
              </w:rPr>
            </w:pPr>
            <w:r>
              <w:rPr>
                <w:rFonts w:ascii="Arial" w:cs="Arial" w:eastAsia="Arial" w:hAnsi="Arial"/>
                <w:sz w:val="18"/>
                <w:szCs w:val="18"/>
                <w:color w:val="auto"/>
                <w:w w:val="84"/>
              </w:rPr>
              <w:t>2026</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r>
      <w:tr>
        <w:trPr>
          <w:trHeight w:val="209"/>
        </w:trPr>
        <w:tc>
          <w:tcPr>
            <w:tcW w:w="7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195,000</w:t>
            </w: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87"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1"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The Company does not have any material restrictions or covenants in its lease agreements, sale-leaseback transactions, land easements or residual value guarantees.</w:t>
      </w:r>
    </w:p>
    <w:p>
      <w:pPr>
        <w:spacing w:after="0" w:line="170"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The components of lease costs recorded in cost of sales and selling, general and administrative (“SG&amp;A”) expense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October 30,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Short term lease cost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Supplemental lease information were as follows:</w:t>
            </w: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4"/>
                <w:szCs w:val="24"/>
                <w:color w:val="auto"/>
              </w:rPr>
            </w:pPr>
          </w:p>
        </w:tc>
        <w:tc>
          <w:tcPr>
            <w:tcW w:w="120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6"/>
              <w:spacing w:after="0" w:line="119" w:lineRule="exact"/>
              <w:rPr>
                <w:sz w:val="20"/>
                <w:szCs w:val="20"/>
                <w:color w:val="auto"/>
              </w:rPr>
            </w:pPr>
            <w:r>
              <w:rPr>
                <w:rFonts w:ascii="Arial" w:cs="Arial" w:eastAsia="Arial" w:hAnsi="Arial"/>
                <w:sz w:val="13"/>
                <w:szCs w:val="13"/>
                <w:b w:val="1"/>
                <w:bCs w:val="1"/>
                <w:color w:val="auto"/>
              </w:rPr>
              <w:t>October 30,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53"/>
              <w:spacing w:after="0" w:line="119" w:lineRule="exact"/>
              <w:rPr>
                <w:sz w:val="20"/>
                <w:szCs w:val="20"/>
                <w:color w:val="auto"/>
              </w:rPr>
            </w:pPr>
            <w:r>
              <w:rPr>
                <w:rFonts w:ascii="Arial" w:cs="Arial" w:eastAsia="Arial" w:hAnsi="Arial"/>
                <w:sz w:val="13"/>
                <w:szCs w:val="13"/>
                <w:b w:val="1"/>
                <w:bCs w:val="1"/>
                <w:color w:val="auto"/>
              </w:rPr>
              <w:t>October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paid for amounts included in the measurement of operating lease liabilities</w:t>
            </w:r>
          </w:p>
        </w:tc>
        <w:tc>
          <w:tcPr>
            <w:tcW w:w="4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48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6,310</w:t>
            </w:r>
          </w:p>
        </w:tc>
        <w:tc>
          <w:tcPr>
            <w:tcW w:w="40" w:type="dxa"/>
            <w:vAlign w:val="bottom"/>
          </w:tcPr>
          <w:p>
            <w:pPr>
              <w:spacing w:after="0"/>
              <w:rPr>
                <w:sz w:val="18"/>
                <w:szCs w:val="18"/>
                <w:color w:val="auto"/>
              </w:rPr>
            </w:pP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 months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 months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00" w:type="dxa"/>
            <w:vAlign w:val="bottom"/>
            <w:gridSpan w:val="7"/>
          </w:tcPr>
          <w:p>
            <w:pPr>
              <w:spacing w:after="0"/>
              <w:rPr>
                <w:sz w:val="20"/>
                <w:szCs w:val="20"/>
                <w:color w:val="auto"/>
              </w:rPr>
            </w:pPr>
            <w:r>
              <w:rPr>
                <w:rFonts w:ascii="Arial" w:cs="Arial" w:eastAsia="Arial" w:hAnsi="Arial"/>
                <w:sz w:val="18"/>
                <w:szCs w:val="18"/>
                <w:color w:val="auto"/>
              </w:rPr>
              <w:t>Maturities of operating lease liabilities as of October 30, 2021 were as follows (in thousands):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Accumulated Other Comprehensive Income (Loss) and Reclassifications Adjustments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components of accumulated other comprehensive income (loss) and adjustments are as follows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19"/>
        </w:trPr>
        <w:tc>
          <w:tcPr>
            <w:tcW w:w="6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October 30,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31,</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2"/>
        </w:trPr>
        <w:tc>
          <w:tcPr>
            <w:tcW w:w="6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Balance, net of $1 and $0 deferred taxes, as of April 30, 2021 and April 30, 2020,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6020" w:type="dxa"/>
            <w:vAlign w:val="bottom"/>
          </w:tcPr>
          <w:p>
            <w:pPr>
              <w:ind w:left="220"/>
              <w:spacing w:after="0" w:line="201" w:lineRule="exact"/>
              <w:rPr>
                <w:sz w:val="20"/>
                <w:szCs w:val="20"/>
                <w:color w:val="auto"/>
              </w:rPr>
            </w:pPr>
            <w:r>
              <w:rPr>
                <w:rFonts w:ascii="Arial" w:cs="Arial" w:eastAsia="Arial" w:hAnsi="Arial"/>
                <w:sz w:val="18"/>
                <w:szCs w:val="18"/>
                <w:color w:val="auto"/>
                <w:w w:val="92"/>
              </w:rPr>
              <w:t>Unrealized loss on available-for-sale investments, net of deferred tax benefit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w w:val="94"/>
              </w:rPr>
              <w:t>$0 and $1 for the six months ended October 30, 2021 and October 31, 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2"/>
        </w:trPr>
        <w:tc>
          <w:tcPr>
            <w:tcW w:w="6020" w:type="dxa"/>
            <w:vAlign w:val="bottom"/>
          </w:tcPr>
          <w:p>
            <w:pPr>
              <w:spacing w:after="0" w:line="182" w:lineRule="exact"/>
              <w:rPr>
                <w:sz w:val="20"/>
                <w:szCs w:val="20"/>
                <w:color w:val="auto"/>
              </w:rPr>
            </w:pPr>
            <w:r>
              <w:rPr>
                <w:rFonts w:ascii="Arial" w:cs="Arial" w:eastAsia="Arial" w:hAnsi="Arial"/>
                <w:sz w:val="18"/>
                <w:szCs w:val="18"/>
                <w:color w:val="auto"/>
                <w:w w:val="96"/>
              </w:rPr>
              <w:t>Balance, net of $1 and $1 deferred taxes, as of October 30, 2021 and October</w:t>
            </w:r>
          </w:p>
        </w:tc>
        <w:tc>
          <w:tcPr>
            <w:tcW w:w="28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(1,677)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31, 2020, respectively</w:t>
            </w: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43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Customer-Funded Research &amp; Development</w:t>
      </w:r>
    </w:p>
    <w:p>
      <w:pPr>
        <w:spacing w:after="0" w:line="216"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Topic 606 over time as costs are incurred. Revenue from customer-funded R&amp;D was approximately $19,175,000 and $36,086,000 for the three and six months ended October 30, 2021, respectively. Revenue from customer-funded R&amp;D was approximately $20,742,000 and $44,168,000 for the three and six months ended October 31, 2020, respectively.</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Long-Term Incentive Awards</w:t>
      </w:r>
    </w:p>
    <w:p>
      <w:pPr>
        <w:spacing w:after="0" w:line="216" w:lineRule="exact"/>
        <w:rPr>
          <w:sz w:val="20"/>
          <w:szCs w:val="20"/>
          <w:color w:val="auto"/>
        </w:rPr>
      </w:pPr>
    </w:p>
    <w:p>
      <w:pPr>
        <w:ind w:left="40" w:right="159"/>
        <w:spacing w:after="0" w:line="286" w:lineRule="auto"/>
        <w:rPr>
          <w:sz w:val="20"/>
          <w:szCs w:val="20"/>
          <w:color w:val="auto"/>
        </w:rPr>
      </w:pPr>
      <w:r>
        <w:rPr>
          <w:rFonts w:ascii="Arial" w:cs="Arial" w:eastAsia="Arial" w:hAnsi="Arial"/>
          <w:sz w:val="16"/>
          <w:szCs w:val="16"/>
          <w:color w:val="auto"/>
        </w:rPr>
        <w:t>During the three months ended July 31, 2021, the Company granted awards under its amended and restated 2006 Equity Incentive Plan (the “Restated 2006 Plan”) to key employees (“Fiscal 2022 LTIP”). Awards under the Fiscal 2022 LTIP consist of: (i) time-based restricted stock awards and time-based restricted stock units, which vest in equal tranches in July 2022, July 2023 and July 2024, and (ii) performance-based restricted stock units (“PRSUs”), which vest based on the Company’s achievement of revenue and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six months ended October 30, 2021, the Company recorded $201,000 and $509,000 of compensation expense related to the Fiscal 2022 LTIP. The Company recorded no compensation expense related to the Fiscal 2022 LTIP for the three and six months ended October 31, 2020. At October 30, 2021, the maximum compensation expense that may be recorded for the performance-based portion of the Fiscal 2022 LTIP is $13,111,000.</w:t>
      </w:r>
    </w:p>
    <w:p>
      <w:pPr>
        <w:spacing w:after="0" w:line="167" w:lineRule="exact"/>
        <w:rPr>
          <w:sz w:val="20"/>
          <w:szCs w:val="20"/>
          <w:color w:val="auto"/>
        </w:rPr>
      </w:pPr>
    </w:p>
    <w:p>
      <w:pPr>
        <w:ind w:left="40" w:right="199"/>
        <w:spacing w:after="0" w:line="287" w:lineRule="auto"/>
        <w:rPr>
          <w:sz w:val="20"/>
          <w:szCs w:val="20"/>
          <w:color w:val="auto"/>
        </w:rPr>
      </w:pPr>
      <w:r>
        <w:rPr>
          <w:rFonts w:ascii="Arial" w:cs="Arial" w:eastAsia="Arial" w:hAnsi="Arial"/>
          <w:sz w:val="16"/>
          <w:szCs w:val="16"/>
          <w:color w:val="auto"/>
        </w:rPr>
        <w:t>During the three months ended August 1, 2020, the Company granted awards under its amended and restated 2006 Equity Incentive Plan (the “Restated 2006 Plan”) to key employees (“Fiscal 2021 LTIP”). Awards under the Fiscal 2021 LTIP consist of: (i) time-based restricted stock awards, which vest in equal tranches in July 2021, July 2022 and July 2023, and</w:t>
      </w:r>
    </w:p>
    <w:p>
      <w:pPr>
        <w:spacing w:after="0" w:line="2" w:lineRule="exact"/>
        <w:rPr>
          <w:sz w:val="20"/>
          <w:szCs w:val="20"/>
          <w:color w:val="auto"/>
        </w:rPr>
      </w:pPr>
    </w:p>
    <w:p>
      <w:pPr>
        <w:ind w:left="40" w:right="79" w:firstLine="4"/>
        <w:spacing w:after="0" w:line="285" w:lineRule="auto"/>
        <w:tabs>
          <w:tab w:leader="none" w:pos="305"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performance-based restricted stock units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six months ended October 30, 2021, the Company recorded a reversal of $(572,000) and $(507,000) of compensation expense related to the Fiscal 2021 LTIP, respectively, due to a change in estimate resulting from a decrease in the estimated achievement. For the three and six months ended October 31, 2020, the Company recorded $347,000 and $438,000 of compensation expense related to the Fiscal 2021 LTIP, respectively. At October 30, 2021, the maximum compensation expense that may be recorded for the performance-based portion of the Fiscal 2021 LTIP is $7,337,000.</w:t>
      </w:r>
    </w:p>
    <w:p>
      <w:pPr>
        <w:spacing w:after="0" w:line="169"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During the three months ended July 27, 2019, the Company granted awards under the Restated 2006 Plan to key employees (“Fiscal 2020 LTIP”). Awards under the Fiscal 2020 LTIP consist of: (i) time-based restricted stock awards, which vest in equal tranches in July 2020, July 2021 and July 2022, and (ii)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six months ended October 30, 2021, the Company recorded a reversal of $(617,000) and $(619,000) of compensation expense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spacing w:after="0" w:line="301" w:lineRule="auto"/>
        <w:rPr>
          <w:sz w:val="20"/>
          <w:szCs w:val="20"/>
          <w:color w:val="auto"/>
        </w:rPr>
      </w:pPr>
      <w:r>
        <w:rPr>
          <w:rFonts w:ascii="Arial" w:cs="Arial" w:eastAsia="Arial" w:hAnsi="Arial"/>
          <w:sz w:val="16"/>
          <w:szCs w:val="16"/>
          <w:color w:val="auto"/>
        </w:rPr>
        <w:t>related to the Fiscal 2020 LTIP, respectively, due to a change in estimate resulting from a decrease in the estimated achievement. For the three and six months ended October 31, 2020, the Company recorded $264,000 and $345,000 of compensation expense related to the Fiscal 2020 LTIP, respectively. At October 30, 2021, the maximum compensation expense that may be recorded for the performance-based portion of the Fiscal 2020 LTIP is $3,983,000.</w:t>
      </w:r>
    </w:p>
    <w:p>
      <w:pPr>
        <w:spacing w:after="0" w:line="157" w:lineRule="exact"/>
        <w:rPr>
          <w:sz w:val="20"/>
          <w:szCs w:val="20"/>
          <w:color w:val="auto"/>
        </w:rPr>
      </w:pPr>
    </w:p>
    <w:p>
      <w:pPr>
        <w:ind w:left="40" w:right="299"/>
        <w:spacing w:after="0" w:line="271" w:lineRule="auto"/>
        <w:rPr>
          <w:sz w:val="20"/>
          <w:szCs w:val="20"/>
          <w:color w:val="auto"/>
        </w:rPr>
      </w:pPr>
      <w:r>
        <w:rPr>
          <w:rFonts w:ascii="Arial" w:cs="Arial" w:eastAsia="Arial" w:hAnsi="Arial"/>
          <w:sz w:val="17"/>
          <w:szCs w:val="17"/>
          <w:color w:val="auto"/>
        </w:rPr>
        <w:t>During the three months ended July 28, 2018, the Company also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During the three months ended July 31, 2021, the Company issued a total of 12,101 fully-vested shares of common stock to settle the PRSUs in the Fiscal 2019 LTIP. For the three and six months ended October 30, 2021, the Company recorded no compensation expense. For the three and six months ended October 31, 2020, the Company recorded $189,000 and $264,000 of compensation expense related to the Fiscal 2019 LTIP, respectively.</w:t>
      </w:r>
    </w:p>
    <w:p>
      <w:pPr>
        <w:spacing w:after="0" w:line="178" w:lineRule="exact"/>
        <w:rPr>
          <w:sz w:val="20"/>
          <w:szCs w:val="20"/>
          <w:color w:val="auto"/>
        </w:rPr>
      </w:pPr>
    </w:p>
    <w:p>
      <w:pPr>
        <w:ind w:left="40" w:right="159"/>
        <w:spacing w:after="0" w:line="275" w:lineRule="auto"/>
        <w:rPr>
          <w:sz w:val="20"/>
          <w:szCs w:val="20"/>
          <w:color w:val="auto"/>
        </w:rPr>
      </w:pPr>
      <w:r>
        <w:rPr>
          <w:rFonts w:ascii="Arial" w:cs="Arial" w:eastAsia="Arial" w:hAnsi="Arial"/>
          <w:sz w:val="17"/>
          <w:szCs w:val="17"/>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Income Taxes</w:t>
      </w:r>
    </w:p>
    <w:p>
      <w:pPr>
        <w:spacing w:after="0" w:line="216"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For the three and six months ended October 30, 2021, the Company recorded a benefit from income taxes of $(9,511,000) and $(10,468,000), respectively, yielding effective tax rates of 117.6% and 48.0%, respectively. For the three and six months ended October 31, 2020, the Company recorded a provision for income taxes of $2,491,000 and $3,698,000, respectively, yielding effective tax rates of 17.7% and 13.9%, respectively. The variance from statutory rates for the three months ended October 30, 2021 was primarily due to a change in estimate of full year projected income (loss) before income taxes, federal R&amp;D credits and the recording of discrete excess tax benefits resulting from the vesting of restricted stock awards and exercises of stock options. The variance from statutory rates for the six months ended October 30, 2021 was primarily due to federal R&amp;D credits and the recording of discrete excess tax benefits resulting from the vesting of restricted stock awards and exercises of stock options. The variance from statutory rates for the three and six months ended October 31, 2020 was primarily due to federal R&amp;D credits, foreign derived intangible income deductions and the recording of discrete excess tax benefits resulting from the vesting of restricted stock awards and exercises of stock options.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Share Repurchase</w:t>
      </w:r>
    </w:p>
    <w:p>
      <w:pPr>
        <w:spacing w:after="0" w:line="216" w:lineRule="exact"/>
        <w:rPr>
          <w:sz w:val="20"/>
          <w:szCs w:val="20"/>
          <w:color w:val="auto"/>
        </w:rPr>
      </w:pPr>
    </w:p>
    <w:p>
      <w:pPr>
        <w:ind w:left="40" w:right="259"/>
        <w:spacing w:after="0" w:line="301" w:lineRule="auto"/>
        <w:rPr>
          <w:sz w:val="20"/>
          <w:szCs w:val="20"/>
          <w:color w:val="auto"/>
        </w:rPr>
      </w:pPr>
      <w:r>
        <w:rPr>
          <w:rFonts w:ascii="Arial" w:cs="Arial" w:eastAsia="Arial" w:hAnsi="Arial"/>
          <w:sz w:val="16"/>
          <w:szCs w:val="16"/>
          <w:color w:val="auto"/>
        </w:rPr>
        <w:t>In September 2015, the Company’s Board of Directors authorized a program to repurchase up to $25,000,000 of the Company’s common stock with no specified termination date for the program. No shares were repurchased under the program during the three and six months ended October 30, 2021 or October 31, 2020. As of October 30, 2021 and April 30, 2021, approximately $21,200,000 remained authorized for future repurchases under this program.</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left="40" w:right="139"/>
        <w:spacing w:after="0" w:line="270" w:lineRule="auto"/>
        <w:rPr>
          <w:sz w:val="20"/>
          <w:szCs w:val="20"/>
          <w:color w:val="auto"/>
        </w:rPr>
      </w:pPr>
      <w:r>
        <w:rPr>
          <w:rFonts w:ascii="Arial" w:cs="Arial" w:eastAsia="Arial" w:hAnsi="Arial"/>
          <w:sz w:val="17"/>
          <w:szCs w:val="17"/>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Under the DDA and related efforts with HAPSMobile, the Company designed and built prototype solar powered high altitude aircraft and ground control stations for HAPSMobile and conducted low altitude and high altitude flight tests of the prototype aircraft on a best efforts basis, up to a maximum net value of $185,202,000. The Company will continue the development of Solar HAPS with Softbank under the MDDA. Upon the execution of the MDDA, SoftBank issued the first order under the MDDA, which has a maximum value of approximately $51,200,000.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79"/>
        <w:spacing w:after="0" w:line="293" w:lineRule="auto"/>
        <w:rPr>
          <w:sz w:val="20"/>
          <w:szCs w:val="20"/>
          <w:color w:val="auto"/>
        </w:rPr>
      </w:pPr>
      <w:r>
        <w:rPr>
          <w:rFonts w:ascii="Arial" w:cs="Arial" w:eastAsia="Arial" w:hAnsi="Arial"/>
          <w:sz w:val="16"/>
          <w:szCs w:val="16"/>
          <w:color w:val="auto"/>
        </w:rPr>
        <w:t>The Company recorded revenue under both the MDDA and DDA of $10,342,000 and $20,694,000 for the three and six months ended October 30, 2021, respectively. The Company recorded revenue under the DDA and preliminary design agreements between the Company and SoftBank of $11,452,000 and $27,838,000 for the three and six months ended October 31, 2020, respectively. At October 30, 2021 and April 30, 2021, the Company had unbilled related party receivables from HAPSMobile of $9,215,000 and $544,000 recorded in unbilled receivables and retentions on the consolidated balance sheets, respectively. Refer to Note 6—Equity Method Investments for further details.</w:t>
      </w:r>
    </w:p>
    <w:p>
      <w:pPr>
        <w:spacing w:after="0" w:line="160" w:lineRule="exact"/>
        <w:rPr>
          <w:sz w:val="20"/>
          <w:szCs w:val="20"/>
          <w:color w:val="auto"/>
        </w:rPr>
      </w:pPr>
    </w:p>
    <w:p>
      <w:pPr>
        <w:ind w:left="40" w:right="7059" w:firstLine="4"/>
        <w:spacing w:after="0" w:line="603" w:lineRule="auto"/>
        <w:tabs>
          <w:tab w:leader="none" w:pos="31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Business Acquisitions Telerob Acquisition</w:t>
      </w:r>
    </w:p>
    <w:p>
      <w:pPr>
        <w:spacing w:after="0" w:line="1" w:lineRule="exact"/>
        <w:rPr>
          <w:sz w:val="20"/>
          <w:szCs w:val="20"/>
          <w:color w:val="auto"/>
        </w:rPr>
      </w:pPr>
    </w:p>
    <w:p>
      <w:pPr>
        <w:jc w:val="both"/>
        <w:ind w:left="40" w:right="199"/>
        <w:spacing w:after="0" w:line="263" w:lineRule="auto"/>
        <w:rPr>
          <w:sz w:val="20"/>
          <w:szCs w:val="20"/>
          <w:color w:val="auto"/>
        </w:rPr>
      </w:pPr>
      <w:r>
        <w:rPr>
          <w:rFonts w:ascii="Arial" w:cs="Arial" w:eastAsia="Arial" w:hAnsi="Arial"/>
          <w:sz w:val="18"/>
          <w:szCs w:val="18"/>
          <w:color w:val="auto"/>
        </w:rPr>
        <w:t>On May 3, 2021, the Company closed its acquisition of Telerob pursuant to the terms of the Telerob Purchase Agreement. Telerob develops, manufactures, sells, and services remote-controlled unmanned ground robots and transport vehicles for civil and defense applications.</w:t>
      </w:r>
    </w:p>
    <w:p>
      <w:pPr>
        <w:spacing w:after="0" w:line="184" w:lineRule="exact"/>
        <w:rPr>
          <w:sz w:val="20"/>
          <w:szCs w:val="20"/>
          <w:color w:val="auto"/>
        </w:rPr>
      </w:pPr>
    </w:p>
    <w:p>
      <w:pPr>
        <w:ind w:left="40" w:right="159"/>
        <w:spacing w:after="0" w:line="285" w:lineRule="auto"/>
        <w:rPr>
          <w:sz w:val="20"/>
          <w:szCs w:val="20"/>
          <w:color w:val="auto"/>
        </w:rPr>
      </w:pPr>
      <w:r>
        <w:rPr>
          <w:rFonts w:ascii="Arial" w:cs="Arial" w:eastAsia="Arial" w:hAnsi="Arial"/>
          <w:sz w:val="16"/>
          <w:szCs w:val="16"/>
          <w:color w:val="auto"/>
        </w:rPr>
        <w:t>Pursuant to the Telerob Purchase Agreement at closing, the Company paid €37,455,000 (approximately $45,400,000) in cash to the Telerob Seller (subject to certain purchase price adjustments as set forth in the Telerob Purchase Agreement), less (a) €3,000,000 (approximately $3,636,000) to be held in escrow for breaches of the Telerob Seller’s fundamental warranties or any other of Telerob Seller’s warranties to the extent not covered by a representation and warranty insurance policy (the “RWI Policy”) obtained by the Company in support of certain indemnifications provided by the Telerob Seller;</w:t>
      </w:r>
    </w:p>
    <w:p>
      <w:pPr>
        <w:spacing w:after="0" w:line="2" w:lineRule="exact"/>
        <w:rPr>
          <w:sz w:val="20"/>
          <w:szCs w:val="20"/>
          <w:color w:val="auto"/>
        </w:rPr>
      </w:pPr>
    </w:p>
    <w:p>
      <w:pPr>
        <w:ind w:left="40" w:right="79" w:firstLine="4"/>
        <w:spacing w:after="0" w:line="290" w:lineRule="auto"/>
        <w:tabs>
          <w:tab w:leader="none" w:pos="295"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transaction-related fees and costs incurred by the Telerob Seller, including change in control payments triggered by the transaction; and (c) 50% of the cost of obtaining the RWI Policy. In addition, at closing the Company paid off approximately €7,811,000 (approximately $9,468,000), of certain indebtedness of Telerob, which amount was paid in combination to the Telerob Seller and the lender under an agreement between Telerob GmbH and the lender providing for a reduced payoff amount. This indebtedness was offset by cash on hand at Telerob at closing. The escrow amount is to be released to the Telerob Seller, less any amounts paid or reserved, 30 months following the closing date.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addition to the consideration paid at closing, the Telerob Seller may receive €2,000,000 (approximately $2,424,000) in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cash consideration if specific revenue targets for Telerob are achieved during the 12 month period after closing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beginning on the first day of the calendar month following the closing (the “First Earnout Year”) and an additional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€2,000,000 (approximately $2,424,000) in cash consideration if specific revenue targets for Telerob are achieved in the 12</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month period following the First Earnout Year. The Telerob Seller may also receive up to €2,000,000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$2,424,000) in additional cash consideration if specific awards and/or orders from the U.S. military are achieved prior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end of a 36-month post-closing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The following table summarizes the provisional allocation of the purchase price over the estimated fair value of the assets and liabilities assumed in the acquisition of Telerob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201"/>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Fair value of assets acquired:</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Unbilled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Operating lease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Backlog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liabilities assumed: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Wages and related accruals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Customer advances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operating lease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consideration, net of cash acquired</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Telerob and expected future customers in the UGV market. For tax purposes the acquisition was treated as a stock purchase and the goodwill is not deductible.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Telerob 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2020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Six Months Ended</w:t>
            </w:r>
          </w:p>
        </w:tc>
      </w:tr>
      <w:tr>
        <w:trPr>
          <w:trHeight w:val="211"/>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October 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October 31,</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October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October 31,</w:t>
            </w:r>
          </w:p>
        </w:tc>
      </w:tr>
      <w:tr>
        <w:trPr>
          <w:trHeight w:val="201"/>
        </w:trPr>
        <w:tc>
          <w:tcPr>
            <w:tcW w:w="41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122,008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223,017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196,224</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98"/>
              </w:rPr>
              <w:t>Net (loss) income attributable to AeroVironment, Inc.</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9,133</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August 1, 2020, reflecting the additional amortization that would have been charged assuming the fair value adjustments to intangible assets had been applied from May 1, 2020 with the consequential tax effects and including the results of Telerob prior to acquisition.</w:t>
      </w:r>
    </w:p>
    <w:p>
      <w:pPr>
        <w:spacing w:after="0" w:line="171"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color w:val="auto"/>
        </w:rPr>
        <w:t>The Company incurred approximately $137,000 and $548,000 of acquisition-related expenses for the three and six months ended October 30, 2021. These expenses are included in selling, general and administrative on the Company’s unaudited consolidated statement of operations.</w:t>
      </w:r>
    </w:p>
    <w:p>
      <w:pPr>
        <w:spacing w:after="0" w:line="184"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2020, nor are they indicative of results of operations that may occur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Arcturus Acquisition</w:t>
      </w:r>
    </w:p>
    <w:p>
      <w:pPr>
        <w:spacing w:after="0" w:line="229" w:lineRule="exact"/>
        <w:rPr>
          <w:sz w:val="20"/>
          <w:szCs w:val="20"/>
          <w:color w:val="auto"/>
        </w:rPr>
      </w:pPr>
    </w:p>
    <w:p>
      <w:pPr>
        <w:ind w:left="40" w:right="179"/>
        <w:spacing w:after="0" w:line="301" w:lineRule="auto"/>
        <w:rPr>
          <w:sz w:val="20"/>
          <w:szCs w:val="20"/>
          <w:color w:val="auto"/>
        </w:rPr>
      </w:pPr>
      <w:r>
        <w:rPr>
          <w:rFonts w:ascii="Arial" w:cs="Arial" w:eastAsia="Arial" w:hAnsi="Arial"/>
          <w:sz w:val="16"/>
          <w:szCs w:val="16"/>
          <w:color w:val="auto"/>
        </w:rPr>
        <w:t>On February 19, 2021, the Company closed its acquisition of Arcturus pursuant to the terms of the Arcturus Purchase Agreement. Arcturus, headquartered in Petaluma, California, designs, engineers, tools, and manufactures unmanned aerial and aircraft systems including airborne platforms, payloads and payload integration, ground control systems, and ground support equipment and other items and services related generally to unmanned aircraft systems.</w:t>
      </w:r>
    </w:p>
    <w:p>
      <w:pPr>
        <w:spacing w:after="0" w:line="157" w:lineRule="exact"/>
        <w:rPr>
          <w:sz w:val="20"/>
          <w:szCs w:val="20"/>
          <w:color w:val="auto"/>
        </w:rPr>
      </w:pPr>
    </w:p>
    <w:p>
      <w:pPr>
        <w:ind w:left="40" w:right="159"/>
        <w:spacing w:after="0" w:line="254" w:lineRule="auto"/>
        <w:rPr>
          <w:sz w:val="20"/>
          <w:szCs w:val="20"/>
          <w:color w:val="auto"/>
        </w:rPr>
      </w:pPr>
      <w:r>
        <w:rPr>
          <w:rFonts w:ascii="Arial" w:cs="Arial" w:eastAsia="Arial" w:hAnsi="Arial"/>
          <w:sz w:val="18"/>
          <w:szCs w:val="18"/>
          <w:color w:val="auto"/>
        </w:rPr>
        <w:t>Pursuant to the Arcturus Purchase Agreement at the closing of the Arcturus Acquisition, the Company paid approximately $422,602,000, net of cash acquired (subject to certain customary adjustments and escrow arrangements set forth in the Arcturus Purchase Agreement), financed with a combination of approximately $150,218,000 of cash-on-hand, $200,000,000 of financing pursuant to the Term Loan Facility and the issuance of approximately $72,384,000 of unregistered, restricted shares of common stock. As specified in the Arcturus Purchase agreement, the number of shares issued was determined based on a value of $50,000,000 and a calculated average price as of the last business day prior to execution of the Arcturus Purchase Agreement.</w:t>
      </w:r>
    </w:p>
    <w:p>
      <w:pPr>
        <w:spacing w:after="0" w:line="195" w:lineRule="exact"/>
        <w:rPr>
          <w:sz w:val="20"/>
          <w:szCs w:val="20"/>
          <w:color w:val="auto"/>
        </w:rPr>
      </w:pPr>
    </w:p>
    <w:p>
      <w:pPr>
        <w:ind w:left="40" w:right="119"/>
        <w:spacing w:after="0" w:line="270" w:lineRule="auto"/>
        <w:rPr>
          <w:sz w:val="20"/>
          <w:szCs w:val="20"/>
          <w:color w:val="auto"/>
        </w:rPr>
      </w:pPr>
      <w:r>
        <w:rPr>
          <w:rFonts w:ascii="Arial" w:cs="Arial" w:eastAsia="Arial" w:hAnsi="Arial"/>
          <w:sz w:val="17"/>
          <w:szCs w:val="17"/>
          <w:color w:val="auto"/>
        </w:rPr>
        <w:t>The final cash consideration is subject to certain customary adjustments, including for net working capital, cash, debt and unpaid transaction expenses (including change in control related payments triggered by the transaction) of Arcturus at the Arcturus closing, less $6,500,000 to be held in escrow to address final purchase price adjustments post-Arcturus closing, if any (the “Adjustment Escrow”), and $1,822,500 to be held in escrow to address Arcturus’s and/or the Sellers’ indemnification obligations (the “Indemnification Escrow”). During the three months ended July 31, 2021, the Adjustment Escrow of $6,500,000, less $509,000 of post-closing adjustments, was released to the Arcturus Sellers. To further address potential breaches of Arcturus’s and the Sellers’ representations and warranties beyond the application of the Indemnification Escrow, the Company also obtained representation and warranty insurance policies providing $40,000,000 in coverage, subject to customary terms, exclusions and retention amounts.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table summarizes the allocation of the purchase price over the estimated fair value of the assets and liabilities assumed in the acquisition of Arcturus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Unbilled receivable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Prepaid and other current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Operating lease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Wages and related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Customer advances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Operating lease liabilities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Deferred income taxes, net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consideration,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Equity consideration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auto"/>
        </w:rPr>
        <w:t>February 19,</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2021</w:t>
      </w:r>
    </w:p>
    <w:p>
      <w:pPr>
        <w:spacing w:after="0" w:line="225" w:lineRule="exact"/>
        <w:rPr>
          <w:sz w:val="20"/>
          <w:szCs w:val="20"/>
          <w:color w:val="auto"/>
        </w:rPr>
      </w:pPr>
    </w:p>
    <w:p>
      <w:pPr>
        <w:ind w:left="480" w:hanging="479"/>
        <w:spacing w:after="0"/>
        <w:tabs>
          <w:tab w:leader="none" w:pos="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6,050</w:t>
      </w:r>
    </w:p>
    <w:p>
      <w:pPr>
        <w:spacing w:after="0" w:line="57"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4,176</w:t>
      </w:r>
    </w:p>
    <w:p>
      <w:pPr>
        <w:spacing w:after="0" w:line="44"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21,701</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2,709</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38,739</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11,429</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20,500</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62,700</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290,006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911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ind w:left="300" w:hanging="299"/>
        <w:spacing w:after="0"/>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458,146</w:t>
      </w:r>
    </w:p>
    <w:p>
      <w:pPr>
        <w:spacing w:after="0" w:line="200" w:lineRule="exact"/>
        <w:rPr>
          <w:sz w:val="20"/>
          <w:szCs w:val="20"/>
          <w:color w:val="auto"/>
        </w:rPr>
      </w:pPr>
    </w:p>
    <w:p>
      <w:pPr>
        <w:spacing w:after="0" w:line="263" w:lineRule="exact"/>
        <w:rPr>
          <w:sz w:val="20"/>
          <w:szCs w:val="20"/>
          <w:color w:val="auto"/>
        </w:rPr>
      </w:pPr>
    </w:p>
    <w:p>
      <w:pPr>
        <w:ind w:left="480" w:hanging="479"/>
        <w:spacing w:after="0"/>
        <w:tabs>
          <w:tab w:leader="none" w:pos="4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3,085</w:t>
      </w:r>
    </w:p>
    <w:p>
      <w:pPr>
        <w:spacing w:after="0" w:line="57"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1,698</w:t>
      </w:r>
    </w:p>
    <w:p>
      <w:pPr>
        <w:spacing w:after="0" w:line="43"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1,818</w:t>
      </w:r>
    </w:p>
    <w:p>
      <w:pPr>
        <w:spacing w:after="0" w:line="43"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9,562</w:t>
      </w:r>
    </w:p>
    <w:p>
      <w:pPr>
        <w:spacing w:after="0" w:line="44"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12,297</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1,190</w:t>
      </w:r>
    </w:p>
    <w:p>
      <w:pPr>
        <w:spacing w:after="0" w:line="9"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5,869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911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jc w:val="right"/>
        <w:ind w:right="239"/>
        <w:spacing w:after="0"/>
        <w:rPr>
          <w:sz w:val="20"/>
          <w:szCs w:val="20"/>
          <w:color w:val="auto"/>
        </w:rPr>
      </w:pPr>
      <w:r>
        <w:rPr>
          <w:rFonts w:ascii="Arial" w:cs="Arial" w:eastAsia="Arial" w:hAnsi="Arial"/>
          <w:sz w:val="18"/>
          <w:szCs w:val="18"/>
          <w:color w:val="auto"/>
        </w:rPr>
        <w:t>35,519</w:t>
      </w:r>
    </w:p>
    <w:p>
      <w:pPr>
        <w:spacing w:after="0" w:line="23" w:lineRule="exact"/>
        <w:rPr>
          <w:sz w:val="20"/>
          <w:szCs w:val="20"/>
          <w:color w:val="auto"/>
        </w:rPr>
      </w:pPr>
    </w:p>
    <w:p>
      <w:pPr>
        <w:ind w:left="300" w:hanging="299"/>
        <w:spacing w:after="0"/>
        <w:tabs>
          <w:tab w:leader="none" w:pos="300" w:val="left"/>
        </w:tabs>
        <w:numPr>
          <w:ilvl w:val="0"/>
          <w:numId w:val="1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422,627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591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00" w:hanging="299"/>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350,243</w:t>
      </w:r>
    </w:p>
    <w:p>
      <w:pPr>
        <w:spacing w:after="0" w:line="4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72,384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911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12" w:lineRule="exact"/>
        <w:rPr>
          <w:sz w:val="20"/>
          <w:szCs w:val="20"/>
          <w:color w:val="auto"/>
        </w:rPr>
      </w:pPr>
    </w:p>
    <w:p>
      <w:pPr>
        <w:ind w:left="300" w:hanging="299"/>
        <w:spacing w:after="0"/>
        <w:tabs>
          <w:tab w:leader="none" w:pos="300" w:val="left"/>
        </w:tabs>
        <w:numPr>
          <w:ilvl w:val="0"/>
          <w:numId w:val="1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422,627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5911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180" w:space="720"/>
            <w:col w:w="1119"/>
          </w:cols>
          <w:pgMar w:left="1440" w:top="517" w:right="1440" w:bottom="1440" w:gutter="0" w:footer="0" w:header="0"/>
          <w:type w:val="continuous"/>
        </w:sectPr>
      </w:pPr>
    </w:p>
    <w:p>
      <w:pPr>
        <w:spacing w:after="0" w:line="52"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jc w:val="both"/>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Arcturus and expected future customers in the MUAS market. For tax purposes the acquisition was treated as a stock purchase and the goodwill is not deductible.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Arcturus 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2019 (in thousands):</w:t>
      </w:r>
    </w:p>
    <w:p>
      <w:pPr>
        <w:spacing w:after="0" w:line="243"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32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Six Months Ended</w:t>
            </w:r>
          </w:p>
        </w:tc>
      </w:tr>
      <w:tr>
        <w:trPr>
          <w:trHeight w:val="211"/>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October 31,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October 31,</w:t>
            </w:r>
          </w:p>
        </w:tc>
      </w:tr>
      <w:tr>
        <w:trPr>
          <w:trHeight w:val="201"/>
        </w:trPr>
        <w:tc>
          <w:tcPr>
            <w:tcW w:w="38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228,960</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21,010</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left="40" w:right="9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Arcturus prior to acquisition.</w:t>
      </w:r>
    </w:p>
    <w:p>
      <w:pPr>
        <w:spacing w:after="0" w:line="171"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The Company incurred approximately $108,000 and $1,492,000 acquisition-related expenses for the three and six months ended October 30, 2021, respectively. These expenses are included in selling, general and administrative expense on the Company’s unaudited consolidated statement of operations.</w:t>
      </w:r>
    </w:p>
    <w:p>
      <w:pPr>
        <w:spacing w:after="0" w:line="184"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2019, nor are they indicative of results of operations that may occur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ISG Acquisition</w:t>
      </w:r>
    </w:p>
    <w:p>
      <w:pPr>
        <w:spacing w:after="0" w:line="229" w:lineRule="exact"/>
        <w:rPr>
          <w:sz w:val="20"/>
          <w:szCs w:val="20"/>
          <w:color w:val="auto"/>
        </w:rPr>
      </w:pPr>
    </w:p>
    <w:p>
      <w:pPr>
        <w:ind w:left="40" w:right="279"/>
        <w:spacing w:after="0" w:line="259" w:lineRule="auto"/>
        <w:rPr>
          <w:sz w:val="20"/>
          <w:szCs w:val="20"/>
          <w:color w:val="auto"/>
        </w:rPr>
      </w:pPr>
      <w:r>
        <w:rPr>
          <w:rFonts w:ascii="Arial" w:cs="Arial" w:eastAsia="Arial" w:hAnsi="Arial"/>
          <w:sz w:val="18"/>
          <w:szCs w:val="18"/>
          <w:color w:val="auto"/>
        </w:rPr>
        <w:t>On February 23, 2021, the Company purchased certain assets of, and assumed certain liabilities of, ISG pursuant to the terms of the ISG Purchase Agreement. ISG is engaged in development of artificial intelligence-enabled computer vision, machine learning and perceptive autonomy technologies and provides related services to United States government customers.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connection with the ISG Acquisition, the Company (i) paid a base purchase price of $29,700,000 in cash at closing and</w:t>
      </w:r>
    </w:p>
    <w:p>
      <w:pPr>
        <w:spacing w:after="0" w:line="46" w:lineRule="exact"/>
        <w:rPr>
          <w:sz w:val="20"/>
          <w:szCs w:val="20"/>
          <w:color w:val="auto"/>
        </w:rPr>
      </w:pPr>
    </w:p>
    <w:p>
      <w:pPr>
        <w:ind w:left="40" w:right="259" w:firstLine="4"/>
        <w:spacing w:after="0" w:line="253" w:lineRule="auto"/>
        <w:tabs>
          <w:tab w:leader="none" w:pos="3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pay additional cash consideration of up to $6,000,000, which is held in escrow account not controlled by the Company, based on the achievement of certain revenue targets by ISG during the 3 years following closing, in each case, subject to the terms and conditions of the ISG Purchase Agreement, including certain customary adjustments. During the three months ended October 30, 2021, the revenue target for the first year was achieved and $2,000,000 of the additional cash consideration was earned.</w:t>
      </w:r>
    </w:p>
    <w:p>
      <w:pPr>
        <w:spacing w:after="0" w:line="191" w:lineRule="exact"/>
        <w:rPr>
          <w:sz w:val="20"/>
          <w:szCs w:val="20"/>
          <w:color w:val="auto"/>
        </w:rPr>
      </w:pPr>
    </w:p>
    <w:p>
      <w:pPr>
        <w:jc w:val="both"/>
        <w:ind w:left="40" w:right="339"/>
        <w:spacing w:after="0" w:line="311" w:lineRule="auto"/>
        <w:rPr>
          <w:sz w:val="20"/>
          <w:szCs w:val="20"/>
          <w:color w:val="auto"/>
        </w:rPr>
      </w:pPr>
      <w:r>
        <w:rPr>
          <w:rFonts w:ascii="Arial" w:cs="Arial" w:eastAsia="Arial" w:hAnsi="Arial"/>
          <w:sz w:val="16"/>
          <w:szCs w:val="16"/>
          <w:color w:val="auto"/>
        </w:rPr>
        <w:t>As a condition to closing pursuant to the ISG Purchase Agreement, the Company and the ISG Seller entered into certain ancillary agreements, including a transition services agreement and two subleases pursuant to which the ISG Seller will provide the Company certain services and facilities space to accommodate the transition of ISG to the Company.</w:t>
      </w:r>
    </w:p>
    <w:p>
      <w:pPr>
        <w:spacing w:after="0" w:line="149"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The parties to the ISG Purchase Agreement have made representations, warranties, and covenants that are customary for a transaction of this type, including, among other things, restrictions on the ISG Seller and the Beneficial Owner from engaging in certain competitive activities, as well as mutual indemnification obligations between the Company and the ISG Seller. To supplement certain indemnifications provided by the ISG Seller, the Company obtained a representation and warranty insurance policy.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table summarizes the allocation of the purchase price over the estimated fair value of the assets and liabilities assumed in the ISG Acquisition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February 23,</w:t>
            </w:r>
          </w:p>
        </w:tc>
        <w:tc>
          <w:tcPr>
            <w:tcW w:w="0" w:type="dxa"/>
            <w:vAlign w:val="bottom"/>
          </w:tcPr>
          <w:p>
            <w:pPr>
              <w:spacing w:after="0"/>
              <w:rPr>
                <w:sz w:val="1"/>
                <w:szCs w:val="1"/>
                <w:color w:val="auto"/>
              </w:rPr>
            </w:pPr>
          </w:p>
        </w:tc>
      </w:tr>
      <w:tr>
        <w:trPr>
          <w:trHeight w:val="201"/>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Fair value of assets acquired:</w:t>
            </w:r>
          </w:p>
        </w:tc>
        <w:tc>
          <w:tcPr>
            <w:tcW w:w="2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7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w:t>
            </w:r>
          </w:p>
        </w:tc>
        <w:tc>
          <w:tcPr>
            <w:tcW w:w="272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consideration</w:t>
            </w:r>
          </w:p>
        </w:tc>
        <w:tc>
          <w:tcPr>
            <w:tcW w:w="2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For tax purposes the acquisition was treated as an asset purchase and the goodwill is deductible ratably over a period of fifteen years.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ISG 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2019 (in thousands):</w:t>
      </w:r>
    </w:p>
    <w:p>
      <w:pPr>
        <w:spacing w:after="0" w:line="243"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32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Six Months Ended</w:t>
            </w:r>
          </w:p>
        </w:tc>
      </w:tr>
      <w:tr>
        <w:trPr>
          <w:trHeight w:val="211"/>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October 31,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October 31,</w:t>
            </w:r>
          </w:p>
        </w:tc>
      </w:tr>
      <w:tr>
        <w:trPr>
          <w:trHeight w:val="201"/>
        </w:trPr>
        <w:tc>
          <w:tcPr>
            <w:tcW w:w="38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185,881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2,400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12,786</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left="40" w:right="9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ISG prior to acquisition.</w:t>
      </w:r>
    </w:p>
    <w:p>
      <w:pPr>
        <w:spacing w:after="0" w:line="171" w:lineRule="exact"/>
        <w:rPr>
          <w:sz w:val="20"/>
          <w:szCs w:val="20"/>
          <w:color w:val="auto"/>
        </w:rPr>
      </w:pPr>
    </w:p>
    <w:p>
      <w:pPr>
        <w:ind w:left="40" w:right="259"/>
        <w:spacing w:after="0" w:line="263" w:lineRule="auto"/>
        <w:rPr>
          <w:sz w:val="20"/>
          <w:szCs w:val="20"/>
          <w:color w:val="auto"/>
        </w:rPr>
      </w:pPr>
      <w:r>
        <w:rPr>
          <w:rFonts w:ascii="Arial" w:cs="Arial" w:eastAsia="Arial" w:hAnsi="Arial"/>
          <w:sz w:val="18"/>
          <w:szCs w:val="18"/>
          <w:color w:val="auto"/>
        </w:rPr>
        <w:t>The Company incurred approximately $85,000 and $736,000 acquisition-related expenses for the three and six months ended October 30, 2021, respectively. These expenses are included in selling, general and administrative expenses on the Company’s unaudited consolidated statement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2019, nor are they indicative of results of operations that may occur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Pension</w:t>
      </w:r>
    </w:p>
    <w:p>
      <w:pPr>
        <w:spacing w:after="0" w:line="229"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As part of the Telerob acquisition, the Company acquired a small foreign-based defined benefit pension plan. The Rheinmetall-Zusatzversorgung (“RZV”) service plan covers three employees based on individual contracts issued to the employees. No other employees are eligible to participate. The Company has reinsurance policies were taken out for participating former employees, which were pledged to the employees. The measurement date for the Company’s pension plan was May 3, 2021 in conjunction with the acquisition.</w:t>
      </w:r>
    </w:p>
    <w:p>
      <w:pPr>
        <w:spacing w:after="0" w:line="188"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The table below includes the projected benefit obligation and fair value of plan assets as of May 3, 2021. The net projected benefit obligation (in thousands) is recorded in other non-current liabilities.</w:t>
      </w:r>
    </w:p>
    <w:p>
      <w:pPr>
        <w:sectPr>
          <w:pgSz w:w="11900" w:h="16838" w:orient="portrait"/>
          <w:cols w:equalWidth="0" w:num="1">
            <w:col w:w="9019"/>
          </w:cols>
          <w:pgMar w:left="1440" w:top="517" w:right="1440" w:bottom="1440" w:gutter="0" w:footer="0" w:header="0"/>
        </w:sectPr>
      </w:pPr>
    </w:p>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-107315</wp:posOffset>
            </wp:positionV>
            <wp:extent cx="565785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Unfunded status of the plan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668" w:hanging="668"/>
        <w:spacing w:after="0"/>
        <w:tabs>
          <w:tab w:leader="none" w:pos="6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(4,126)</w:t>
      </w:r>
    </w:p>
    <w:p>
      <w:pPr>
        <w:spacing w:after="0" w:line="34" w:lineRule="exact"/>
        <w:rPr>
          <w:rFonts w:ascii="Arial" w:cs="Arial" w:eastAsia="Arial" w:hAnsi="Arial"/>
          <w:sz w:val="17"/>
          <w:szCs w:val="17"/>
          <w:color w:val="auto"/>
        </w:rPr>
      </w:pPr>
    </w:p>
    <w:p>
      <w:pPr>
        <w:ind w:left="748"/>
        <w:spacing w:after="0"/>
        <w:rPr>
          <w:rFonts w:ascii="Arial" w:cs="Arial" w:eastAsia="Arial" w:hAnsi="Arial"/>
          <w:sz w:val="17"/>
          <w:szCs w:val="17"/>
          <w:color w:val="auto"/>
        </w:rPr>
      </w:pPr>
      <w:r>
        <w:rPr>
          <w:rFonts w:ascii="Arial" w:cs="Arial" w:eastAsia="Arial" w:hAnsi="Arial"/>
          <w:sz w:val="18"/>
          <w:szCs w:val="18"/>
          <w:color w:val="auto"/>
        </w:rPr>
        <w:t>3,951</w:t>
      </w:r>
    </w:p>
    <w:p>
      <w:pPr>
        <w:spacing w:after="0" w:line="9" w:lineRule="exact"/>
        <w:rPr>
          <w:sz w:val="20"/>
          <w:szCs w:val="20"/>
          <w:color w:val="auto"/>
        </w:rPr>
      </w:pPr>
    </w:p>
    <w:p>
      <w:pPr>
        <w:ind w:left="808" w:hanging="808"/>
        <w:spacing w:after="0"/>
        <w:tabs>
          <w:tab w:leader="none" w:pos="8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63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7032" w:space="720"/>
            <w:col w:w="1267"/>
          </w:cols>
          <w:pgMar w:left="1440" w:top="517" w:right="1440" w:bottom="1440" w:gutter="0" w:footer="0" w:header="0"/>
          <w:type w:val="continuous"/>
        </w:sectPr>
      </w:pPr>
    </w:p>
    <w:p>
      <w:pPr>
        <w:spacing w:after="0" w:line="75"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The projected benefit obligation includes assumptions of a discount rate of 1% and pension increase for in-payment benefits of 1.5% for May 3, 2021 and October 30, 2021. The accumulated benefit obligation is approximately equal to our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2022. The Company assumed expected return on plan assets of 2.15% for May 3, 2021 and October 30, 2021.</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Expected benefits payments as of May 3, 2021 (in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2027-2031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expected benefit payments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w w:val="91"/>
              </w:rPr>
              <w:t>Net periodic benefit cost (in thousands) is recorded in interest (expense) income, net.</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4"/>
                <w:szCs w:val="14"/>
                <w:b w:val="1"/>
                <w:bCs w:val="1"/>
                <w:color w:val="auto"/>
                <w:w w:val="96"/>
              </w:rPr>
              <w:t>Three Months Ended Six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October 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October 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rate changes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 Segments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product segments are as follows:</w:t>
      </w:r>
    </w:p>
    <w:p>
      <w:pPr>
        <w:spacing w:after="0" w:line="225"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color w:val="auto"/>
        </w:rPr>
        <w:t>Small Unmanned Aircraft Systems —The Small UAS segment focuses primarily on products designed to operate reliably at very low altitudes in a wide range of environmental conditions, providing a vantage point from which to collect and deliver valuable information as well as related support services including training, spare parts, product repair, product replacement, and the customer contracted operation.</w:t>
      </w:r>
    </w:p>
    <w:p>
      <w:pPr>
        <w:spacing w:after="0" w:line="187" w:lineRule="exact"/>
        <w:rPr>
          <w:sz w:val="20"/>
          <w:szCs w:val="20"/>
          <w:color w:val="auto"/>
        </w:rPr>
      </w:pPr>
    </w:p>
    <w:p>
      <w:pPr>
        <w:ind w:left="40" w:right="319"/>
        <w:spacing w:after="0" w:line="279" w:lineRule="auto"/>
        <w:rPr>
          <w:sz w:val="20"/>
          <w:szCs w:val="20"/>
          <w:color w:val="auto"/>
        </w:rPr>
      </w:pPr>
      <w:r>
        <w:rPr>
          <w:rFonts w:ascii="Arial" w:cs="Arial" w:eastAsia="Arial" w:hAnsi="Arial"/>
          <w:sz w:val="17"/>
          <w:szCs w:val="17"/>
          <w:color w:val="auto"/>
        </w:rPr>
        <w:t>Tactical Missile Systems – The TMS segment focuses primarily on TMS products, which are tube-launched aircraft that deploy with the push of a button, fly at higher speeds than small UAS products, and perform either effects delivery or reconnaissance missions, and related support services including training, spare parts, product repair, and product replacement. The TMS segment also includes customer-funded research and development programs.</w:t>
      </w:r>
    </w:p>
    <w:p>
      <w:pPr>
        <w:spacing w:after="0" w:line="171"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Medium Unmanned Aircraft Systems—The MUAS segment, which originates with the acquisition of Arcturus, focuses on designs, engineers, tools, and manufactures unmanned aerial and aircraft systems including airborne platforms, payloads and payload integration, ground control systems, and ground support equipment and other items and services related generally to unmanned aircraft systems including ISR services.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 other—All other segments include HAPS, MacCready Works and the recently acquired ISG and Telerob businesses.</w:t>
      </w:r>
    </w:p>
    <w:p>
      <w:pPr>
        <w:spacing w:after="0" w:line="248" w:lineRule="exact"/>
        <w:rPr>
          <w:sz w:val="20"/>
          <w:szCs w:val="20"/>
          <w:color w:val="auto"/>
        </w:rPr>
      </w:pPr>
    </w:p>
    <w:p>
      <w:pPr>
        <w:ind w:left="40" w:right="159"/>
        <w:spacing w:after="0" w:line="255" w:lineRule="auto"/>
        <w:rPr>
          <w:sz w:val="20"/>
          <w:szCs w:val="20"/>
          <w:color w:val="auto"/>
        </w:rPr>
      </w:pPr>
      <w:r>
        <w:rPr>
          <w:rFonts w:ascii="Arial" w:cs="Arial" w:eastAsia="Arial" w:hAnsi="Arial"/>
          <w:sz w:val="18"/>
          <w:szCs w:val="18"/>
          <w:color w:val="auto"/>
        </w:rPr>
        <w:t>The accounting policies of the segments are the same as those described in Note 1, “Organization and Significant Accounting Policies.” The operating segments do not make sales to each other. The following table (in thousands) sets forth segment revenue, gross margin, operating (loss) income and adjusted operating (loss) income from operations for the periods indicated. Adjusted operating (loss) income is defined as operating (loss) income before intangible amortization, amortization of purchase accounting adjustment related to increasing the carrying value of certain assets to fair value, and acquisition related expenses.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7"/>
          </w:tcPr>
          <w:p>
            <w:pPr>
              <w:jc w:val="right"/>
              <w:ind w:right="73"/>
              <w:spacing w:after="0"/>
              <w:rPr>
                <w:sz w:val="20"/>
                <w:szCs w:val="20"/>
                <w:color w:val="auto"/>
              </w:rPr>
            </w:pPr>
            <w:r>
              <w:rPr>
                <w:rFonts w:ascii="Arial" w:cs="Arial" w:eastAsia="Arial" w:hAnsi="Arial"/>
                <w:sz w:val="14"/>
                <w:szCs w:val="14"/>
                <w:b w:val="1"/>
                <w:bCs w:val="1"/>
                <w:color w:val="auto"/>
              </w:rPr>
              <w:t>Three Months Ended October 30, 2021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TMS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MUAS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All other</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54,714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27,754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13,377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7"/>
          </w:tcPr>
          <w:p>
            <w:pPr>
              <w:jc w:val="right"/>
              <w:ind w:right="73"/>
              <w:spacing w:after="0"/>
              <w:rPr>
                <w:sz w:val="20"/>
                <w:szCs w:val="20"/>
                <w:color w:val="auto"/>
              </w:rPr>
            </w:pPr>
            <w:r>
              <w:rPr>
                <w:rFonts w:ascii="Arial" w:cs="Arial" w:eastAsia="Arial" w:hAnsi="Arial"/>
                <w:sz w:val="14"/>
                <w:szCs w:val="14"/>
                <w:b w:val="1"/>
                <w:bCs w:val="1"/>
                <w:color w:val="auto"/>
              </w:rPr>
              <w:t>Three Months Ended October 31, 2020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TMS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MUAS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All other</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58,265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29,695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40,851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15,386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1"/>
          </w:tcPr>
          <w:p>
            <w:pPr>
              <w:jc w:val="right"/>
              <w:ind w:right="193"/>
              <w:spacing w:after="0"/>
              <w:rPr>
                <w:sz w:val="20"/>
                <w:szCs w:val="20"/>
                <w:color w:val="auto"/>
              </w:rPr>
            </w:pPr>
            <w:r>
              <w:rPr>
                <w:rFonts w:ascii="Arial" w:cs="Arial" w:eastAsia="Arial" w:hAnsi="Arial"/>
                <w:sz w:val="14"/>
                <w:szCs w:val="14"/>
                <w:b w:val="1"/>
                <w:bCs w:val="1"/>
                <w:color w:val="auto"/>
              </w:rPr>
              <w:t>Six Months Ended October 30, 2021</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Small UAS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TMS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MUAS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37,594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44,674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12,211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(13,381)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00"/>
              <w:spacing w:after="0" w:line="201" w:lineRule="exact"/>
              <w:rPr>
                <w:sz w:val="20"/>
                <w:szCs w:val="20"/>
                <w:color w:val="auto"/>
              </w:rPr>
            </w:pPr>
            <w:r>
              <w:rPr>
                <w:rFonts w:ascii="Arial" w:cs="Arial" w:eastAsia="Arial" w:hAnsi="Arial"/>
                <w:sz w:val="18"/>
                <w:szCs w:val="18"/>
                <w:color w:val="auto"/>
                <w:w w:val="98"/>
              </w:rPr>
              <w:t>Amortization of acquired intangible assets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11,549</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11"/>
          </w:tcPr>
          <w:p>
            <w:pPr>
              <w:jc w:val="right"/>
              <w:ind w:right="193"/>
              <w:spacing w:after="0"/>
              <w:rPr>
                <w:sz w:val="20"/>
                <w:szCs w:val="20"/>
                <w:color w:val="auto"/>
              </w:rPr>
            </w:pPr>
            <w:r>
              <w:rPr>
                <w:rFonts w:ascii="Arial" w:cs="Arial" w:eastAsia="Arial" w:hAnsi="Arial"/>
                <w:sz w:val="14"/>
                <w:szCs w:val="14"/>
                <w:b w:val="1"/>
                <w:bCs w:val="1"/>
                <w:color w:val="auto"/>
              </w:rPr>
              <w:t>Six Months Ended October 31, 2020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TMS</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MUAS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All other</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114,467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28,495</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57,178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76,262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30,583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(5,140)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00"/>
              <w:spacing w:after="0" w:line="201" w:lineRule="exact"/>
              <w:rPr>
                <w:sz w:val="20"/>
                <w:szCs w:val="20"/>
                <w:color w:val="auto"/>
              </w:rPr>
            </w:pPr>
            <w:r>
              <w:rPr>
                <w:rFonts w:ascii="Arial" w:cs="Arial" w:eastAsia="Arial" w:hAnsi="Arial"/>
                <w:sz w:val="18"/>
                <w:szCs w:val="18"/>
                <w:color w:val="auto"/>
                <w:w w:val="98"/>
              </w:rPr>
              <w:t>Amortization of acquired intangible assets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32,130</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(5,046)</w:t>
            </w: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Segment assets are summarized in the table below. Corporate assets primarily consist of cash and cash equivalents, short-term investments, prepaid expenses and other current assets, long-term investments, property and equipment, net, operating lease right-of-use assets, deferred income taxes and other assets managed centrally on behalf of the business segments.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5"/>
          </w:tcPr>
          <w:p>
            <w:pPr>
              <w:jc w:val="center"/>
              <w:ind w:left="104"/>
              <w:spacing w:after="0"/>
              <w:rPr>
                <w:sz w:val="20"/>
                <w:szCs w:val="20"/>
                <w:color w:val="auto"/>
              </w:rPr>
            </w:pPr>
            <w:r>
              <w:rPr>
                <w:rFonts w:ascii="Arial" w:cs="Arial" w:eastAsia="Arial" w:hAnsi="Arial"/>
                <w:sz w:val="14"/>
                <w:szCs w:val="14"/>
                <w:b w:val="1"/>
                <w:bCs w:val="1"/>
                <w:color w:val="auto"/>
                <w:w w:val="92"/>
              </w:rPr>
              <w:t>October 30, 2021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Small UAS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TMS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MUAS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62"/>
              <w:spacing w:after="0"/>
              <w:rPr>
                <w:sz w:val="20"/>
                <w:szCs w:val="20"/>
                <w:color w:val="auto"/>
              </w:rPr>
            </w:pPr>
            <w:r>
              <w:rPr>
                <w:rFonts w:ascii="Arial" w:cs="Arial" w:eastAsia="Arial" w:hAnsi="Arial"/>
                <w:sz w:val="14"/>
                <w:szCs w:val="14"/>
                <w:b w:val="1"/>
                <w:bCs w:val="1"/>
                <w:color w:val="auto"/>
                <w:w w:val="98"/>
              </w:rPr>
              <w:t>All other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$ 97,657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$ 85,105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$ 390,126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$ 101,147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$ 251,272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925,307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Small UAS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TMS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5"/>
          </w:tcPr>
          <w:p>
            <w:pPr>
              <w:jc w:val="center"/>
              <w:ind w:left="84"/>
              <w:spacing w:after="0"/>
              <w:rPr>
                <w:sz w:val="20"/>
                <w:szCs w:val="20"/>
                <w:color w:val="auto"/>
              </w:rPr>
            </w:pPr>
            <w:r>
              <w:rPr>
                <w:rFonts w:ascii="Arial" w:cs="Arial" w:eastAsia="Arial" w:hAnsi="Arial"/>
                <w:sz w:val="14"/>
                <w:szCs w:val="14"/>
                <w:b w:val="1"/>
                <w:bCs w:val="1"/>
                <w:color w:val="auto"/>
                <w:w w:val="95"/>
              </w:rPr>
              <w:t>April 30, 2021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MUAS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7"/>
              </w:rPr>
              <w:t>$ 113,072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$ 71,707</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$ 402,037</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39,581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$ 302,169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928,566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00" w:right="339" w:hanging="849"/>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2021, as updated by our subsequent filings under the Securities and Exchange Act of 1934, as amended (“the Exchange Act”).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2021.</w:t>
      </w:r>
    </w:p>
    <w:p>
      <w:pPr>
        <w:spacing w:after="0" w:line="170"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2" w:lineRule="exact"/>
        <w:rPr>
          <w:sz w:val="20"/>
          <w:szCs w:val="20"/>
          <w:color w:val="auto"/>
        </w:rPr>
      </w:pPr>
    </w:p>
    <w:p>
      <w:pPr>
        <w:ind w:left="40" w:right="139"/>
        <w:spacing w:after="0" w:line="286" w:lineRule="auto"/>
        <w:rPr>
          <w:sz w:val="20"/>
          <w:szCs w:val="20"/>
          <w:color w:val="auto"/>
        </w:rPr>
      </w:pPr>
      <w:r>
        <w:rPr>
          <w:rFonts w:ascii="Arial" w:cs="Arial" w:eastAsia="Arial" w:hAnsi="Arial"/>
          <w:sz w:val="17"/>
          <w:szCs w:val="17"/>
          <w:color w:val="auto"/>
        </w:rPr>
        <w:t xml:space="preserve">We recognize revenue in accordance with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Topic 606 requires revenue to be recognized when promised goods or services are transferred to customers in amounts that reflect the consideration to which we expect to be entitled in exchange for those goods or services.</w:t>
      </w:r>
    </w:p>
    <w:p>
      <w:pPr>
        <w:spacing w:after="0" w:line="165" w:lineRule="exact"/>
        <w:rPr>
          <w:sz w:val="20"/>
          <w:szCs w:val="20"/>
          <w:color w:val="auto"/>
        </w:rPr>
      </w:pPr>
    </w:p>
    <w:p>
      <w:pPr>
        <w:ind w:left="40" w:right="139"/>
        <w:spacing w:after="0" w:line="287" w:lineRule="auto"/>
        <w:rPr>
          <w:sz w:val="20"/>
          <w:szCs w:val="20"/>
          <w:color w:val="auto"/>
        </w:rPr>
      </w:pPr>
      <w:r>
        <w:rPr>
          <w:rFonts w:ascii="Arial" w:cs="Arial" w:eastAsia="Arial" w:hAnsi="Arial"/>
          <w:sz w:val="16"/>
          <w:szCs w:val="16"/>
          <w:color w:val="auto"/>
        </w:rPr>
        <w:t>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68"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Our small UAS, MUAS and UGV product sales revenue is composed of revenue recognized on contracts for the delivery of small UAS, MUAS and UGV systems and spare parts, respectively.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and six months ended October 30, 2021 and October 31, 2020, changes in accounting estimates on contracts recognized over time are presented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For the three months ended October 30, 2021 and October 31, 2020,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7"/>
              </w:rPr>
              <w:t>October 30,</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r>
      <w:tr>
        <w:trPr>
          <w:trHeight w:val="171"/>
        </w:trPr>
        <w:tc>
          <w:tcPr>
            <w:tcW w:w="6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10"/>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r>
      <w:tr>
        <w:trPr>
          <w:trHeight w:val="210"/>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(unfavorable) favorable adjustments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99"/>
        <w:spacing w:after="0" w:line="259" w:lineRule="auto"/>
        <w:rPr>
          <w:sz w:val="20"/>
          <w:szCs w:val="20"/>
          <w:color w:val="auto"/>
        </w:rPr>
      </w:pPr>
      <w:r>
        <w:rPr>
          <w:rFonts w:ascii="Arial" w:cs="Arial" w:eastAsia="Arial" w:hAnsi="Arial"/>
          <w:sz w:val="18"/>
          <w:szCs w:val="18"/>
          <w:color w:val="auto"/>
        </w:rPr>
        <w:t>For the three months ended October 30, 2021, favorable cumulative catch-up adjustments of $0.3 million were primarily due to final cost adjustments on six contracts, which individually were not material. For the same period, unfavorable cumulative catch-up adjustments of $1.1 million were primarily related to higher than expected costs on 18 contracts, which individually were not material.</w:t>
      </w:r>
    </w:p>
    <w:p>
      <w:pPr>
        <w:spacing w:after="0" w:line="187" w:lineRule="exact"/>
        <w:rPr>
          <w:sz w:val="20"/>
          <w:szCs w:val="20"/>
          <w:color w:val="auto"/>
        </w:rPr>
      </w:pPr>
    </w:p>
    <w:p>
      <w:pPr>
        <w:ind w:left="40" w:right="299"/>
        <w:spacing w:after="0" w:line="259" w:lineRule="auto"/>
        <w:rPr>
          <w:sz w:val="20"/>
          <w:szCs w:val="20"/>
          <w:color w:val="auto"/>
        </w:rPr>
      </w:pPr>
      <w:r>
        <w:rPr>
          <w:rFonts w:ascii="Arial" w:cs="Arial" w:eastAsia="Arial" w:hAnsi="Arial"/>
          <w:sz w:val="18"/>
          <w:szCs w:val="18"/>
          <w:color w:val="auto"/>
        </w:rPr>
        <w:t>For the three months ended October 31, 2020, favorable cumulative catch-up adjustments of $1.1 million were primarily due to final cost adjustments on nine contracts, which individually were not material. For the same period, unfavorable cumulative catch-up adjustments of $0.9 million were primarily related to higher than expected costs on 30 contracts, which individually were not material.</w:t>
      </w:r>
    </w:p>
    <w:p>
      <w:pPr>
        <w:spacing w:after="0" w:line="187"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For the six months ended October 30, 2021 and October 31, 2020,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19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(unfavorable) favorable adjustments</w:t>
            </w:r>
          </w:p>
        </w:tc>
        <w:tc>
          <w:tcPr>
            <w:tcW w:w="1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For the six months ended October 30, 2021, favorable cumulative catch-up adjustments of $0.9 million were primarily due to final cost adjustments on 18 contracts, which individually were not material. For the same period, unfavorable cumulative catch-up adjustments of $1.9 million were primarily related to higher than expected costs on 17 contracts, which individually were not material.</w:t>
      </w:r>
    </w:p>
    <w:p>
      <w:pPr>
        <w:spacing w:after="0" w:line="187"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For the six months ended October 31, 2020, favorable cumulative catch-up adjustments of $1.5 million were primarily due to final cost adjustments on 13 contracts, which individually were not material. For the same period, unfavorable cumulative catch-up adjustments of $1.0 million were primarily related to higher than expected costs on 21 contracts, which individually were not material.</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left="40" w:right="139"/>
        <w:spacing w:after="0" w:line="311"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2022 fiscal year ends on April 30, 2022 and our fiscal quarters end on July 31, 2021, October 30, 2021 and January 29, 2022, respectively.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tables set forth our results of operations for the periods indicated (in thousands):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October 30, 2021 Compared to Three Months Ended October 31,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7"/>
              </w:rPr>
              <w:t>October 30,</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r>
      <w:tr>
        <w:trPr>
          <w:trHeight w:val="171"/>
        </w:trPr>
        <w:tc>
          <w:tcPr>
            <w:tcW w:w="6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92,665</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51,814</w:t>
            </w:r>
          </w:p>
        </w:tc>
        <w:tc>
          <w:tcPr>
            <w:tcW w:w="100" w:type="dxa"/>
            <w:vAlign w:val="bottom"/>
            <w:tcBorders>
              <w:bottom w:val="single" w:sz="8" w:color="CCEEFF"/>
            </w:tcBorders>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14,977</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10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13,898</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(8,088)</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14,085</w:t>
            </w:r>
          </w:p>
        </w:tc>
        <w:tc>
          <w:tcPr>
            <w:tcW w:w="100" w:type="dxa"/>
            <w:vAlign w:val="bottom"/>
          </w:tcPr>
          <w:p>
            <w:pPr>
              <w:spacing w:after="0"/>
              <w:rPr>
                <w:sz w:val="18"/>
                <w:szCs w:val="18"/>
                <w:color w:val="auto"/>
              </w:rPr>
            </w:pPr>
          </w:p>
        </w:tc>
      </w:tr>
      <w:tr>
        <w:trPr>
          <w:trHeight w:val="22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Equity method investment loss, net of tax</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(9,522)</w:t>
            </w:r>
          </w:p>
        </w:tc>
      </w:tr>
      <w:tr>
        <w:trPr>
          <w:trHeight w:val="209"/>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59"/>
        <w:spacing w:after="0" w:line="271" w:lineRule="auto"/>
        <w:rPr>
          <w:sz w:val="20"/>
          <w:szCs w:val="20"/>
          <w:color w:val="auto"/>
        </w:rPr>
      </w:pPr>
      <w:r>
        <w:rPr>
          <w:rFonts w:ascii="Arial" w:cs="Arial" w:eastAsia="Arial" w:hAnsi="Arial"/>
          <w:sz w:val="17"/>
          <w:szCs w:val="17"/>
          <w:color w:val="auto"/>
        </w:rPr>
        <w:t>We operate the business as three reportable segments, Small Unmanned Aircraft Systems (“Small UAS”), Tactical Missile Systems (“TMS”) and Medium Unmanned Aircraft Systems (“MUAS”). The Small UAS segment consists of our existing small UAS product lines. The TMS segment consists of our existing tactical missile systems product lines. The MUAS segment consists of our recently acquired Arcturus business. All other includes HAPS, MacCready Works, which includes the recently acquired ISG and Telerob businesses. 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7"/>
          </w:tcPr>
          <w:p>
            <w:pPr>
              <w:jc w:val="right"/>
              <w:ind w:right="93"/>
              <w:spacing w:after="0"/>
              <w:rPr>
                <w:sz w:val="20"/>
                <w:szCs w:val="20"/>
                <w:color w:val="auto"/>
              </w:rPr>
            </w:pPr>
            <w:r>
              <w:rPr>
                <w:rFonts w:ascii="Arial" w:cs="Arial" w:eastAsia="Arial" w:hAnsi="Arial"/>
                <w:sz w:val="14"/>
                <w:szCs w:val="14"/>
                <w:b w:val="1"/>
                <w:bCs w:val="1"/>
                <w:color w:val="auto"/>
                <w:w w:val="99"/>
              </w:rPr>
              <w:t>Three Months Ended October 30, 2021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TMS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MUAS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7"/>
          </w:tcPr>
          <w:p>
            <w:pPr>
              <w:jc w:val="right"/>
              <w:ind w:right="93"/>
              <w:spacing w:after="0"/>
              <w:rPr>
                <w:sz w:val="20"/>
                <w:szCs w:val="20"/>
                <w:color w:val="auto"/>
              </w:rPr>
            </w:pPr>
            <w:r>
              <w:rPr>
                <w:rFonts w:ascii="Arial" w:cs="Arial" w:eastAsia="Arial" w:hAnsi="Arial"/>
                <w:sz w:val="14"/>
                <w:szCs w:val="14"/>
                <w:b w:val="1"/>
                <w:bCs w:val="1"/>
                <w:color w:val="auto"/>
                <w:w w:val="99"/>
              </w:rPr>
              <w:t>Three Months Ended October 31, 2020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TMS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MUAS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40,851</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15,386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The Company recorded intangible amortization expense and other purchase accounting adjustments in the following categories on the accompanying unaudited consolidated statements of operations: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jc w:val="right"/>
              <w:ind w:right="25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3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16"/>
              <w:spacing w:after="0" w:line="119" w:lineRule="exact"/>
              <w:rPr>
                <w:sz w:val="20"/>
                <w:szCs w:val="20"/>
                <w:color w:val="auto"/>
              </w:rPr>
            </w:pPr>
            <w:r>
              <w:rPr>
                <w:rFonts w:ascii="Arial" w:cs="Arial" w:eastAsia="Arial" w:hAnsi="Arial"/>
                <w:sz w:val="13"/>
                <w:szCs w:val="13"/>
                <w:b w:val="1"/>
                <w:bCs w:val="1"/>
                <w:color w:val="auto"/>
              </w:rPr>
              <w:t>October 30,</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3"/>
                <w:szCs w:val="13"/>
                <w:b w:val="1"/>
                <w:bCs w:val="1"/>
                <w:color w:val="auto"/>
                <w:w w:val="97"/>
              </w:rPr>
              <w:t>October 31,</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8"/>
              <w:spacing w:after="0" w:line="119" w:lineRule="exact"/>
              <w:rPr>
                <w:sz w:val="20"/>
                <w:szCs w:val="20"/>
                <w:color w:val="auto"/>
              </w:rPr>
            </w:pPr>
            <w:r>
              <w:rPr>
                <w:rFonts w:ascii="Arial" w:cs="Arial" w:eastAsia="Arial" w:hAnsi="Arial"/>
                <w:sz w:val="13"/>
                <w:szCs w:val="13"/>
                <w:b w:val="1"/>
                <w:bCs w:val="1"/>
                <w:color w:val="auto"/>
                <w:w w:val="97"/>
              </w:rPr>
              <w:t>October 30,</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3"/>
                <w:szCs w:val="13"/>
                <w:b w:val="1"/>
                <w:bCs w:val="1"/>
                <w:color w:val="auto"/>
                <w:w w:val="97"/>
              </w:rPr>
              <w:t>October 31,</w:t>
            </w:r>
          </w:p>
        </w:tc>
        <w:tc>
          <w:tcPr>
            <w:tcW w:w="100" w:type="dxa"/>
            <w:vAlign w:val="bottom"/>
          </w:tcPr>
          <w:p>
            <w:pPr>
              <w:spacing w:after="0"/>
              <w:rPr>
                <w:sz w:val="10"/>
                <w:szCs w:val="10"/>
                <w:color w:val="auto"/>
              </w:rPr>
            </w:pPr>
          </w:p>
        </w:tc>
      </w:tr>
      <w:tr>
        <w:trPr>
          <w:trHeight w:val="171"/>
        </w:trPr>
        <w:tc>
          <w:tcPr>
            <w:tcW w:w="35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8"/>
                <w:szCs w:val="18"/>
                <w:color w:val="auto"/>
              </w:rPr>
            </w:pPr>
          </w:p>
        </w:tc>
      </w:tr>
      <w:tr>
        <w:trPr>
          <w:trHeight w:val="210"/>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months ended October 30, 2021 was $122.0 million, as compared to $92.7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October 31, 2020, representing an increase of $29.3 million, or 32%. The increase in revenue was due to an increase in service revenue of $23.9 million and an increase in product revenue of $5.5 million. The increase in service revenue was primarily due to an increase in MUAS service revenue, resulting from our acquisition of Arcturus in February 2021, partially offset by a decrease in TMS service revenue. The increase in product revenue was primarily due to an increases in UGV and MUAS product revenue, resulting from our acquisitions of Telerob and Arcturus, respectively, partially offset by a decrease in small UAS product revenue.</w:t>
      </w:r>
    </w:p>
    <w:p>
      <w:pPr>
        <w:spacing w:after="0" w:line="177"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October 30, 2021 was $79.6 million, as compared to $51.8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October 31, 2020, representing an increase of $27.7 million, or 54%. The increase in cost of sales was a result of an increase in service cost of sales of $23.0 million and an increase in product costs of sales of $4.7 million. The increase in service cost of sales was primarily due to the increase in service revenues resulting from the acquisitions of Arcturus and ISG, and an increase in intangible amortization expense and other purchase accounting adjustments. The increase in product costs of sales was primarily due to an increase in intangible amortization expense and other purchase accounting adjustments, an increase in product revenue and an unfavorable product mix. Cost of sales for the three months ended October 30, 2021 included $5.5 million of intangible amortization and other related non-cash purchase accounting expenses as compared to $0.7 million for the three months ended October 31, 2020. As a percentage of revenue, cost of sales increased from 56% to 65%, primarily due to an increase in the proportion of service revenue to total revenues resulting from the acquisitions of Arcturus and ISG, an increase in intangible amortization expense and other purchase accounting adjustments, and an unfavorable product mix.</w:t>
      </w:r>
    </w:p>
    <w:p>
      <w:pPr>
        <w:spacing w:after="0" w:line="168"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October 30, 2021 was $42.5 million, as compared to $40.9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October 31, 2020, representing an increase of $1.6 million, or 4%. The increase in gross margin was due to an increase in service margin of $0.9 million and an increase in product margin of $0.7 million. The increase in product margin was primarily due to the increase in product sales, partially offset by an increase in intangible amortization expense and other purchase accounting adjustments and an unfavorable product mix. The increase in service margin was primarily due to an increase in service revenue, partially offset by an increase in intangible amortization expense and other purchase accounting adjustments. As a percentage of revenue, gross margin decreased from 44% to 35%, primarily due to an increase in the proportion of service revenue to total revenues resulting from the acquisitions of Arcturus and ISG, an increase in intangible amortization expense and other purchase accounting</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adjustments, and an unfavorable product mix. With the acquisitions of Arcturus and ISG we expect that we will continue to experience a higher proportion of service revenue, which generally have lower gross margins than our product sales, in future quarters as compared to our historical trends in future quarters.</w:t>
      </w:r>
    </w:p>
    <w:p>
      <w:pPr>
        <w:spacing w:after="0" w:line="180" w:lineRule="exact"/>
        <w:rPr>
          <w:sz w:val="20"/>
          <w:szCs w:val="20"/>
          <w:color w:val="auto"/>
        </w:rPr>
      </w:pPr>
    </w:p>
    <w:p>
      <w:pPr>
        <w:ind w:left="40" w:right="199"/>
        <w:spacing w:after="0" w:line="273"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SG&amp;A expense for the three months ended October 30, 2021 was $24.8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 of revenue, as compared to SG&amp;A expense of $15.0 million, or 16% of revenue, for the three months ended October 31, 2020. The increase in SG&amp;A expense was primarily due to an increase in headcount and related costs associated with our Arcturus, ISG and Telerob acquisitions and an increase in intangible amortization and acquisition related expenses, partially offset by a decrease in bonus and equity based compensation expense. SG&amp;A included $5.7 million and $0.4 million of acquisition-related expenses and intangible amortization expenses for the three months ended October 30, 2021 and October 31, 2020, respectively.</w:t>
      </w:r>
    </w:p>
    <w:p>
      <w:pPr>
        <w:spacing w:after="0" w:line="176"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October 30, 2021 was $14.3 million, or 12%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as compared to R&amp;D expense of $12.0 million, or 13% of revenue, for the three months ended October 31, 2020. R&amp;D expense increased by $2.3 million, or 19%, for the three months ended October 30, 2021, primarily due to an increase in development activities regarding enhanced capabilities for our products, development of new product lines and to support our recently acquired businesses.</w:t>
      </w:r>
    </w:p>
    <w:p>
      <w:pPr>
        <w:spacing w:after="0" w:line="188" w:lineRule="exact"/>
        <w:rPr>
          <w:sz w:val="20"/>
          <w:szCs w:val="20"/>
          <w:color w:val="auto"/>
        </w:rPr>
      </w:pPr>
    </w:p>
    <w:p>
      <w:pPr>
        <w:ind w:left="40" w:right="459"/>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Income, net. </w:t>
      </w:r>
      <w:r>
        <w:rPr>
          <w:rFonts w:ascii="Arial" w:cs="Arial" w:eastAsia="Arial" w:hAnsi="Arial"/>
          <w:sz w:val="18"/>
          <w:szCs w:val="18"/>
          <w:color w:val="auto"/>
        </w:rPr>
        <w:t>Interest expense, net for the three months ended October 30, 2021 was $1.4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interest income, net of $0.1 million for the three months ended October 31, 2020. The increase in interest expense was primarily due to an increase in interest expense resulting from the term debt issued concurrent with the acquisition of Arcturus.</w:t>
      </w:r>
    </w:p>
    <w:p>
      <w:pPr>
        <w:spacing w:after="0" w:line="187" w:lineRule="exact"/>
        <w:rPr>
          <w:sz w:val="20"/>
          <w:szCs w:val="20"/>
          <w:color w:val="auto"/>
        </w:rPr>
      </w:pPr>
    </w:p>
    <w:p>
      <w:pPr>
        <w:ind w:left="40" w:right="339"/>
        <w:spacing w:after="0" w:line="259"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expense, net, for the three months ended October 30, 2021 was $10.0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income, net of $0.1 million for the three months ended October 31, 2020. The increase was due to an additional legal accrual of $10.0 million for the expected settlement of all claims made by the buyers of our former EES business.</w:t>
      </w:r>
    </w:p>
    <w:p>
      <w:pPr>
        <w:spacing w:after="0" w:line="187" w:lineRule="exact"/>
        <w:rPr>
          <w:sz w:val="20"/>
          <w:szCs w:val="20"/>
          <w:color w:val="auto"/>
        </w:rPr>
      </w:pPr>
    </w:p>
    <w:p>
      <w:pPr>
        <w:ind w:left="40" w:right="99"/>
        <w:spacing w:after="0" w:line="301" w:lineRule="auto"/>
        <w:rPr>
          <w:sz w:val="20"/>
          <w:szCs w:val="20"/>
          <w:color w:val="auto"/>
        </w:rPr>
      </w:pPr>
      <w:r>
        <w:rPr>
          <w:rFonts w:ascii="Arial" w:cs="Arial" w:eastAsia="Arial" w:hAnsi="Arial"/>
          <w:sz w:val="16"/>
          <w:szCs w:val="16"/>
          <w:b w:val="1"/>
          <w:bCs w:val="1"/>
          <w:i w:val="1"/>
          <w:iCs w:val="1"/>
          <w:color w:val="auto"/>
        </w:rPr>
        <w:t xml:space="preserve">(Benefit from) Provision for Income Taxes. </w:t>
      </w:r>
      <w:r>
        <w:rPr>
          <w:rFonts w:ascii="Arial" w:cs="Arial" w:eastAsia="Arial" w:hAnsi="Arial"/>
          <w:sz w:val="16"/>
          <w:szCs w:val="16"/>
          <w:color w:val="auto"/>
        </w:rPr>
        <w:t>Our effective income tax rate was 117.6% for the three months ended October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2021, as compared to 17.7% for the three months ended October 31, 2020. The increase in the effective income tax rate was primarily due to a change in estimate during the current quarter to reduce projected annual income (loss) before income taxes, combined with the year over year decrease in projected annual income (loss) before income taxes.</w:t>
      </w:r>
    </w:p>
    <w:p>
      <w:pPr>
        <w:spacing w:after="0" w:line="157" w:lineRule="exact"/>
        <w:rPr>
          <w:sz w:val="20"/>
          <w:szCs w:val="20"/>
          <w:color w:val="auto"/>
        </w:rPr>
      </w:pPr>
    </w:p>
    <w:p>
      <w:pPr>
        <w:ind w:left="40" w:right="239"/>
        <w:spacing w:after="0" w:line="296" w:lineRule="auto"/>
        <w:rPr>
          <w:sz w:val="20"/>
          <w:szCs w:val="20"/>
          <w:color w:val="auto"/>
        </w:rPr>
      </w:pPr>
      <w:r>
        <w:rPr>
          <w:rFonts w:ascii="Arial" w:cs="Arial" w:eastAsia="Arial" w:hAnsi="Arial"/>
          <w:sz w:val="16"/>
          <w:szCs w:val="16"/>
          <w:b w:val="1"/>
          <w:bCs w:val="1"/>
          <w:i w:val="1"/>
          <w:iCs w:val="1"/>
          <w:color w:val="auto"/>
        </w:rPr>
        <w:t xml:space="preserve">Equity Method Investment Income (Loss), net of Tax. </w:t>
      </w:r>
      <w:r>
        <w:rPr>
          <w:rFonts w:ascii="Arial" w:cs="Arial" w:eastAsia="Arial" w:hAnsi="Arial"/>
          <w:sz w:val="16"/>
          <w:szCs w:val="16"/>
          <w:color w:val="auto"/>
        </w:rPr>
        <w:t>Equity method investment income, net of tax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October 30, 2021 was $1.1 million compared to equity method investment loss, net of tax of $9.5 million for the three months ended October 31, 2020. The increase was primarily due to a loss of $8.4 million for our proportion of HAPSMobile impairment of its investment in Loon LLC during the three months ended October 31, 2020. The equity method investment income during the current quarter was due to an increase in our limited partnership investment.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Six Months Ended October 30, 2021 Compared to Six Months Ended October 31,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13"/>
              <w:spacing w:after="0" w:line="119" w:lineRule="exact"/>
              <w:rPr>
                <w:sz w:val="20"/>
                <w:szCs w:val="20"/>
                <w:color w:val="auto"/>
              </w:rPr>
            </w:pPr>
            <w:r>
              <w:rPr>
                <w:rFonts w:ascii="Arial" w:cs="Arial" w:eastAsia="Arial" w:hAnsi="Arial"/>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31"/>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223,017</w:t>
            </w:r>
          </w:p>
        </w:tc>
        <w:tc>
          <w:tcPr>
            <w:tcW w:w="4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151,839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(expense) income, net</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income, net</w:t>
            </w:r>
          </w:p>
        </w:tc>
        <w:tc>
          <w:tcPr>
            <w:tcW w:w="1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method investment loss, net of tax</w:t>
            </w:r>
          </w:p>
        </w:tc>
        <w:tc>
          <w:tcPr>
            <w:tcW w:w="1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1"/>
          </w:tcPr>
          <w:p>
            <w:pPr>
              <w:jc w:val="right"/>
              <w:ind w:right="173"/>
              <w:spacing w:after="0"/>
              <w:rPr>
                <w:sz w:val="20"/>
                <w:szCs w:val="20"/>
                <w:color w:val="auto"/>
              </w:rPr>
            </w:pPr>
            <w:r>
              <w:rPr>
                <w:rFonts w:ascii="Arial" w:cs="Arial" w:eastAsia="Arial" w:hAnsi="Arial"/>
                <w:sz w:val="14"/>
                <w:szCs w:val="14"/>
                <w:b w:val="1"/>
                <w:bCs w:val="1"/>
                <w:color w:val="auto"/>
              </w:rPr>
              <w:t>Six Months Ended October 30, 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Small UAS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TMS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MUAS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All 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37,594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12,211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8,889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(13,381)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11,549</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11"/>
          </w:tcPr>
          <w:p>
            <w:pPr>
              <w:jc w:val="right"/>
              <w:ind w:right="173"/>
              <w:spacing w:after="0"/>
              <w:rPr>
                <w:sz w:val="20"/>
                <w:szCs w:val="20"/>
                <w:color w:val="auto"/>
              </w:rPr>
            </w:pPr>
            <w:r>
              <w:rPr>
                <w:rFonts w:ascii="Arial" w:cs="Arial" w:eastAsia="Arial" w:hAnsi="Arial"/>
                <w:sz w:val="14"/>
                <w:szCs w:val="14"/>
                <w:b w:val="1"/>
                <w:bCs w:val="1"/>
                <w:color w:val="auto"/>
              </w:rPr>
              <w:t>Six Months Ended October 31, 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Small UAS</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TMS</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MUAS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All other</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114,467</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28,495</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37,153</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57,178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76,262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30,583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(5,140)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32,130</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six months ended October 30, 2021 was $223.0 million, as compared to $180.1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October 31, 2020, representing an increase of $42.9 million, or 24%. The increase in revenue was due to an increase in service revenue of $42.7 million and an increase in product revenue of $0.2 million. The increase in service revenue was primarily due to an increase in MUAS service revenue, resulting from our acquisition of Arcturus in February 2021, and small UAS service revenue, partially offset by a decrease in HAPS service revenue. The increase in product revenue was primarily due to an increase in TMS revenue, an increase in UGV and MUAS product revenue,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resulting from our acquisitions of Telerob and Arcturus, respectively, partially offset by a decrease in small UAS product revenue.</w:t>
      </w:r>
    </w:p>
    <w:p>
      <w:pPr>
        <w:spacing w:after="0" w:line="170" w:lineRule="exact"/>
        <w:rPr>
          <w:sz w:val="20"/>
          <w:szCs w:val="20"/>
          <w:color w:val="auto"/>
        </w:rPr>
      </w:pPr>
    </w:p>
    <w:p>
      <w:pPr>
        <w:ind w:left="40" w:right="119"/>
        <w:spacing w:after="0" w:line="269"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six months ended October 30, 2021 was $151.8 million, as compared to $103.9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six months ended October 31, 2020, representing an increase of $48.0 million, or 46%. The increase in cost of sales was a result of an increase in service cost of sales of $42.8 million and an increase in product costs of sales of $5.2 million. The increase in service cost of sales was primarily due to the increase in service revenues resulting from the acquisitions of Arcturus and ISG, and an increase in intangible amortization expense and other purchase accounting adjustments. The increase in product costs of sales was primarily due to an increase in intangible amortization expense and other purchase accounting adjustments and an unfavorable product mix. Cost of sales for the six months ended October 30, 2021 included $9.5 million of intangible amortization and other related non-cash purchase accounting expenses as compared to $1.3 million for the six months ended October 31, 2020. As a percentage of revenue, cost of sales increased from 58% to 68%, primarily due to an increase in the proportion of service revenue to total revenues resulting from the acquisitions of Arcturus and ISG, an increase in intangible amortization expense and other purchase accounting adjustments, and an unfavorable product mix.</w:t>
      </w:r>
    </w:p>
    <w:p>
      <w:pPr>
        <w:spacing w:after="0" w:line="179"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six months ended October 30, 2021 was $71.2 million, as compared to $76.3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months ended October 31, 2020, representing a decrease of $5.1 million, or 7%. The decrease in gross margin was due to a decrease in product margin of $5.0 million and a decrease in service margin of $0.1 million. The decrease in product margin was primarily due to an increase in intangible amortization expense and other purchase accounting adjustments and an unfavorable product mix. The decrease in service margin was primarily due to an increase in intangible amortization expense and other purchase accounting adjustments, partially offset by the increase in service revenue. As a percentage of revenue, gross margin decreased from 42% to 32%, primarily due to an increase in the proportion of service revenue to total revenues resulting from the acquisitions of Arcturus and ISG, an increase in intangible amortization expense and other purchase accounting adjustments, and an unfavorable product mix. With the acquisitions of Arcturus and ISG we expect that we will continue to experience a higher proportion of service revenue, which generally have lower gross margins than our product sales, in future quarters as compared to our historical trends.</w:t>
      </w:r>
    </w:p>
    <w:p>
      <w:pPr>
        <w:spacing w:after="0" w:line="168" w:lineRule="exact"/>
        <w:rPr>
          <w:sz w:val="20"/>
          <w:szCs w:val="20"/>
          <w:color w:val="auto"/>
        </w:rPr>
      </w:pPr>
    </w:p>
    <w:p>
      <w:pPr>
        <w:ind w:left="40" w:right="99"/>
        <w:spacing w:after="0" w:line="274"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SG&amp;A expense for the six months ended October 30, 2021 was $51.9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23% of revenue, as compared to SG&amp;A expense of $27.0 million, or 15% of revenue, for the six months ended October 31, 2020. The increase in SG&amp;A expense was primarily due to an increase in headcount and related costs associated with our Arcturus, ISG and Telerob acquisitions and an increase in intangible amortization and acquisition related expenses. SG&amp;A included $14.0 million and $0.5 million of acquisition-related expenses and intangible amortization expenses for the six months ended October 30, 2021 and October 31, 2020, respectively.</w:t>
      </w:r>
    </w:p>
    <w:p>
      <w:pPr>
        <w:spacing w:after="0" w:line="177"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six months ended October 30, 2021 was $28.0 million, or 13%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as compared to R&amp;D expense of $23.1 million, or 13% of revenue, for the six months ended October 31, 2020. R&amp;D expense increased by $4.9 million, or 21%, for the six months ended October 30, 2021, primarily due to an increase in development activities regarding enhanced capabilities for our products, development of new product lines and to support our recently acquired businesses.</w:t>
      </w:r>
    </w:p>
    <w:p>
      <w:pPr>
        <w:spacing w:after="0" w:line="188" w:lineRule="exact"/>
        <w:rPr>
          <w:sz w:val="20"/>
          <w:szCs w:val="20"/>
          <w:color w:val="auto"/>
        </w:rPr>
      </w:pPr>
    </w:p>
    <w:p>
      <w:pPr>
        <w:ind w:left="40" w:right="619"/>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Income, net. </w:t>
      </w:r>
      <w:r>
        <w:rPr>
          <w:rFonts w:ascii="Arial" w:cs="Arial" w:eastAsia="Arial" w:hAnsi="Arial"/>
          <w:sz w:val="18"/>
          <w:szCs w:val="18"/>
          <w:color w:val="auto"/>
        </w:rPr>
        <w:t>Interest expense, net for the six months ended October 30, 2021 was $2.7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interest income, net of $0.3 million for the six months ended October 31, 2020. The increase in interest expense was primarily due to an increase in interest expense resulting from the term debt issued concurrent with the acquisition of Arcturus.</w:t>
      </w:r>
    </w:p>
    <w:p>
      <w:pPr>
        <w:spacing w:after="0" w:line="187" w:lineRule="exact"/>
        <w:rPr>
          <w:sz w:val="20"/>
          <w:szCs w:val="20"/>
          <w:color w:val="auto"/>
        </w:rPr>
      </w:pPr>
    </w:p>
    <w:p>
      <w:pPr>
        <w:jc w:val="both"/>
        <w:ind w:left="40" w:right="99"/>
        <w:spacing w:after="0" w:line="311"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expense, net, for the six months ended October 30, 2021 was $10.4 million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other income, net of $0.1 million for the six months ended October 31, 2020. The increase was due to an additional legal accrual of $10.0 million for the expected settlement of all claims made by the buyers of our former EES business.</w:t>
      </w:r>
    </w:p>
    <w:p>
      <w:pPr>
        <w:spacing w:after="0" w:line="149" w:lineRule="exact"/>
        <w:rPr>
          <w:sz w:val="20"/>
          <w:szCs w:val="20"/>
          <w:color w:val="auto"/>
        </w:rPr>
      </w:pPr>
    </w:p>
    <w:p>
      <w:pPr>
        <w:ind w:left="40" w:right="79"/>
        <w:spacing w:after="0" w:line="342" w:lineRule="auto"/>
        <w:rPr>
          <w:sz w:val="20"/>
          <w:szCs w:val="20"/>
          <w:color w:val="auto"/>
        </w:rPr>
      </w:pPr>
      <w:r>
        <w:rPr>
          <w:rFonts w:ascii="Arial" w:cs="Arial" w:eastAsia="Arial" w:hAnsi="Arial"/>
          <w:sz w:val="16"/>
          <w:szCs w:val="16"/>
          <w:b w:val="1"/>
          <w:bCs w:val="1"/>
          <w:i w:val="1"/>
          <w:iCs w:val="1"/>
          <w:color w:val="auto"/>
        </w:rPr>
        <w:t xml:space="preserve">(Benefit from) Provision for Income Taxes. </w:t>
      </w:r>
      <w:r>
        <w:rPr>
          <w:rFonts w:ascii="Arial" w:cs="Arial" w:eastAsia="Arial" w:hAnsi="Arial"/>
          <w:sz w:val="16"/>
          <w:szCs w:val="16"/>
          <w:color w:val="auto"/>
        </w:rPr>
        <w:t>Our effective income tax rate was 48.0% for the six months ended October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as compared to a provision for 13.9% for the six months ended October 31, 2020. The increase in the effective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income tax rate was primarily due to lower projected annual income (loss) before income taxes in the current fiscal year as compared to the prior fiscal year.</w:t>
      </w:r>
    </w:p>
    <w:p>
      <w:pPr>
        <w:spacing w:after="0" w:line="170"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b w:val="1"/>
          <w:bCs w:val="1"/>
          <w:i w:val="1"/>
          <w:iCs w:val="1"/>
          <w:color w:val="auto"/>
        </w:rPr>
        <w:t xml:space="preserve">Equity Method Investment Loss, net of Tax. </w:t>
      </w:r>
      <w:r>
        <w:rPr>
          <w:rFonts w:ascii="Arial" w:cs="Arial" w:eastAsia="Arial" w:hAnsi="Arial"/>
          <w:sz w:val="17"/>
          <w:szCs w:val="17"/>
          <w:color w:val="auto"/>
        </w:rPr>
        <w:t>Equity method investment loss, net of tax for the six months ended October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2021 was $8 thousand compared to $10.8 million for the six months ended October 31, 2020. The decrease was primarily due to a loss of $8.4 million for our proportion of HAPSMobile impairment of its investment in Loon LLC during the three months ended October 31, 2020. During the six months ended October 30, 2021 equity method losses from HAPSMobile were largely offset by equity method income from our limited partnership investment.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0" w:right="379"/>
        <w:spacing w:after="0" w:line="263"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October 30, 2021, our funded backlog was approximately $252.0 million.</w:t>
      </w:r>
    </w:p>
    <w:p>
      <w:pPr>
        <w:spacing w:after="0" w:line="184"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In addition to our funded backlog, we also had unfunded backlog of $155.1 million as of October 30, 2021. Unfunded backlog does not meet the definition of a performance obligation under ASC Topic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with the exception of the remaining potential value of the Flight Control Systems (“FCS”) domain,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w:t>
      </w:r>
    </w:p>
    <w:p>
      <w:pPr>
        <w:spacing w:after="0" w:line="168"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199"/>
        <w:spacing w:after="0" w:line="269" w:lineRule="auto"/>
        <w:rPr>
          <w:sz w:val="20"/>
          <w:szCs w:val="20"/>
          <w:color w:val="auto"/>
        </w:rPr>
      </w:pPr>
      <w:r>
        <w:rPr>
          <w:rFonts w:ascii="Arial" w:cs="Arial" w:eastAsia="Arial" w:hAnsi="Arial"/>
          <w:sz w:val="17"/>
          <w:szCs w:val="17"/>
          <w:color w:val="auto"/>
        </w:rPr>
        <w:t>On February 19, 2021, in connection with the consummation of the Arcturus Acquisition, we entered into a Credit Agreement for (i) a five-year $100 million revolving credit facility, which includes a $10 million sublimit for the issuance of standby and commercial letters of credit, and (ii) a five-year amortized $200 million term A loan (together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 Refer to Note 10—Debt to our unaudited consolidated financial statements in Part I, Item 1 of this Quarterly Report on Form 10-Q for further details. In addition, Telerob has a line of credit of €5.5 million available for issuing letters of credit of which €1.6 million ($1.8 million) was outstanding as of October 30, 2021.</w:t>
      </w:r>
    </w:p>
    <w:p>
      <w:pPr>
        <w:spacing w:after="0" w:line="182"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The Credit Agreement contains certain customary representations and warranties and affirmative and negative covenants. Based upon our revised projections, there is a substantial risk that we may be required to make a prepayment to reduce the outstanding balance of our Term Loan Facility or to obtain an amendment to the Credit Agreement to remain in compliance with all of the financial covenants in the Credit Agreement during the fiscal quarter ending January 29, 2022. We currently estimate the range of the potentially required prepayment to be $50 million to $60 million. We are in discussions with the lenders regarding obtaining an amendment to the Credit Agreement to allow us to remain in compliance with the financial covenants; however, if we are not able to obtain such an amendment to the Credit Agreement, we have both the ability and intent to make any required prepayment. We expect to be in compliance with all financial covenants under the terms of our Credit Agreement, including any amendment to such agreement, during the quarter ending April 30, 2022 regardless of whether a required prepayment is made or loan amendment is obtained.</w:t>
      </w:r>
    </w:p>
    <w:p>
      <w:pPr>
        <w:spacing w:after="0" w:line="168"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of Arcturus UAV, ISG and Telerob.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and/or draw on our Credit Facilities. We anticipate that existing sources of liquidity, Credit Facilities, and cash flows from operations will be sufficient to satisfy our cash needs for the foreseeable future.</w:t>
      </w:r>
    </w:p>
    <w:p>
      <w:pPr>
        <w:spacing w:after="0" w:line="168"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66"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spacing w:after="0" w:line="257"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COVID-19 pandemic, we continue to hold a significant portion of our investments in cash and cash equivalents and municipal securities.</w:t>
      </w:r>
    </w:p>
    <w:p>
      <w:pPr>
        <w:spacing w:after="0" w:line="188"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In December 2021, we agreed in principle subject to formal written documentation with Webasto to settle all existing claims related to the sale of our former EES business for $20 million and allowing Webasto to keep the holdback amount. Under the terms of the expected settlement agreement, payment of the settlement amount will occur over a 24 month period after the execution of the settlement agreement.</w:t>
      </w:r>
    </w:p>
    <w:p>
      <w:pPr>
        <w:spacing w:after="0" w:line="187" w:lineRule="exact"/>
        <w:rPr>
          <w:sz w:val="20"/>
          <w:szCs w:val="20"/>
          <w:color w:val="auto"/>
        </w:rPr>
      </w:pPr>
    </w:p>
    <w:p>
      <w:pPr>
        <w:ind w:left="40" w:right="219"/>
        <w:spacing w:after="0" w:line="271" w:lineRule="auto"/>
        <w:rPr>
          <w:sz w:val="20"/>
          <w:szCs w:val="20"/>
          <w:color w:val="auto"/>
        </w:rPr>
      </w:pPr>
      <w:r>
        <w:rPr>
          <w:rFonts w:ascii="Arial" w:cs="Arial" w:eastAsia="Arial" w:hAnsi="Arial"/>
          <w:sz w:val="17"/>
          <w:szCs w:val="17"/>
          <w:color w:val="auto"/>
        </w:rPr>
        <w:t>Although not material in value alone or in aggregate, we made certain commitments outside of the ordinary course of business. We made commitments for capital contributions to a limited partnership fund. Under the terms of the limited partnership agreement, we have committed to make capital contributions totaling $10.0 million to the fund of which $0.6 million was remaining at October 30, 2021. We also made commitments to lend HAPSMobile funds to continue the development of Solar HAPS. The Company committed to and lent 500 million yen ($4.6 million) as of October 30, 2021. As of October 30, 2021, there are no further lending commitments to HAPSMobile. Under the terms of the agreement the loans are guaranteed and will be repaid when financing is obtained, or by Softbank. We currently anticipate repayment of all amounts loaned to HAPS within the fiscal year ended April 30, 2022.</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color w:val="auto"/>
        </w:rPr>
        <w:t>The following table provides our cash flow data for the six months ended October 30, 2021 and October 31, 2020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61"/>
              <w:spacing w:after="0" w:line="119" w:lineRule="exact"/>
              <w:rPr>
                <w:sz w:val="20"/>
                <w:szCs w:val="20"/>
                <w:color w:val="auto"/>
              </w:rPr>
            </w:pPr>
            <w:r>
              <w:rPr>
                <w:rFonts w:ascii="Arial" w:cs="Arial" w:eastAsia="Arial" w:hAnsi="Arial"/>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r>
      <w:tr>
        <w:trPr>
          <w:trHeight w:val="17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4"/>
          </w:tcPr>
          <w:p>
            <w:pPr>
              <w:jc w:val="right"/>
              <w:ind w:right="678"/>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58,593</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(34,787)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(31,944)</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b w:val="1"/>
          <w:bCs w:val="1"/>
          <w:i w:val="1"/>
          <w:iCs w:val="1"/>
          <w:color w:val="auto"/>
        </w:rPr>
        <w:t xml:space="preserve">Cash (Used in) Provided by Operating Activities. </w:t>
      </w:r>
      <w:r>
        <w:rPr>
          <w:rFonts w:ascii="Arial" w:cs="Arial" w:eastAsia="Arial" w:hAnsi="Arial"/>
          <w:sz w:val="16"/>
          <w:szCs w:val="16"/>
          <w:color w:val="auto"/>
        </w:rPr>
        <w:t>Net cash used in operating activities for the six months ended October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2021 increased by $61.9 million to $3.3 million, as compared to net cash provided by operating activities of $58.6 million for the six months ended October 31, 2020. The increase in net cash used in operating activities was primarily due to a decrease in net income of $23.5 million and a decrease in cash as a result of changes in operating assets and liabilities of $55.2 million, largely related to accounts receivable and unbilled retentions and receivables due to year over year timing differences and income taxes receivable, partially offset by an increase in depreciation and amortization of $24.3 million.</w:t>
      </w:r>
    </w:p>
    <w:p>
      <w:pPr>
        <w:spacing w:after="0" w:line="164" w:lineRule="exact"/>
        <w:rPr>
          <w:sz w:val="20"/>
          <w:szCs w:val="20"/>
          <w:color w:val="auto"/>
        </w:rPr>
      </w:pPr>
    </w:p>
    <w:p>
      <w:pPr>
        <w:ind w:left="40" w:right="159"/>
        <w:spacing w:after="0" w:line="296" w:lineRule="auto"/>
        <w:rPr>
          <w:sz w:val="20"/>
          <w:szCs w:val="20"/>
          <w:color w:val="auto"/>
        </w:rPr>
      </w:pPr>
      <w:r>
        <w:rPr>
          <w:rFonts w:ascii="Arial" w:cs="Arial" w:eastAsia="Arial" w:hAnsi="Arial"/>
          <w:sz w:val="16"/>
          <w:szCs w:val="16"/>
          <w:b w:val="1"/>
          <w:bCs w:val="1"/>
          <w:i w:val="1"/>
          <w:iCs w:val="1"/>
          <w:color w:val="auto"/>
        </w:rPr>
        <w:t xml:space="preserve">Cash Used in Investing Activities. </w:t>
      </w:r>
      <w:r>
        <w:rPr>
          <w:rFonts w:ascii="Arial" w:cs="Arial" w:eastAsia="Arial" w:hAnsi="Arial"/>
          <w:sz w:val="16"/>
          <w:szCs w:val="16"/>
          <w:color w:val="auto"/>
        </w:rPr>
        <w:t>Net cash used in investing activities increased by $2.8 million to $34.8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October 30, 2021, as compared to net cash used by investing activities of $31.9 million for the six months ended October 31, 2020. The increase in net cash used in investing activities was primarily due an increase in cash used for the acquisition of Telerob of $46.2 million and a decrease in redemptions of available-for-sale investments of $61.7 million, partially offset by a decrease in purchases of available-for-sale investments of $116.9 million.</w:t>
      </w:r>
    </w:p>
    <w:p>
      <w:pPr>
        <w:spacing w:after="0" w:line="161"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 xml:space="preserve">Cash Used in Financing Activities. </w:t>
      </w:r>
      <w:r>
        <w:rPr>
          <w:rFonts w:ascii="Arial" w:cs="Arial" w:eastAsia="Arial" w:hAnsi="Arial"/>
          <w:sz w:val="18"/>
          <w:szCs w:val="18"/>
          <w:color w:val="auto"/>
        </w:rPr>
        <w:t>Net cash used in financing activities increased by $10.4 million to $12.1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October 30, 2021, as compared to net cash used by financing activities of $1.7 million for the six months ended October 31, 2020. The increase in net cash used by financing activities was primarily due to an increase in holdback and retention payments related to a prior business acquisition of $6.0 million and an increase in payments of loan principal of $5.0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During the three and six months ended October 30, 2021, there were no material changes in our contractual obligations and commercial commitments from those disclosed in our Annual Report on Form 10-K for the fiscal year ended April 30, 2021.</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As of October 30, 2021, we had no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as defined in Item 303(a)(4) of Regulation S</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40" w:right="119"/>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Please refer to Note 1—Organization and Significant Accounting Policies to our unaudited consolidated financial statements in Part I, Item 1 of this Quarterly Report on Form 10-Q for a discussion of new accounting pronouncements and accounting pronouncements adopted during the six months ended October 30, 2021.</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color w:val="auto"/>
        </w:rPr>
        <w:t>It is our policy not to enter into interest rate derivative financial instruments. On February 19, 2021 in connection with the consummation of the Arcturus Acquisition, we entered into the Credit Facilities. The current outstanding balance of the Credit Facilities is $195.0 million and bears a variable interest rate. If market interest rates increase significantly, interest due on the Credit Facilities would increase.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We occasionally engage in forward contracts in foreign currencies to limit our exposure on non-U.S. dollar transactions. With the acquisition of Telerob, a portion of our cash balance is denominated in Euros which is Telerob’s functional currency.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6"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October 30, 2021, the end of the period covered by this Quarterly Report on Form 10-Q.</w:t>
      </w:r>
    </w:p>
    <w:p>
      <w:pPr>
        <w:spacing w:after="0" w:line="187"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October 30, 2021, the end of the period covered by this Quarterly Report on Form 10-Q, our disclosure controls and procedures were effective and were operating at a reasonable assurance level.</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40" w:right="219"/>
        <w:spacing w:after="0" w:line="291" w:lineRule="auto"/>
        <w:rPr>
          <w:sz w:val="20"/>
          <w:szCs w:val="20"/>
          <w:color w:val="auto"/>
        </w:rPr>
      </w:pPr>
      <w:r>
        <w:rPr>
          <w:rFonts w:ascii="Arial" w:cs="Arial" w:eastAsia="Arial" w:hAnsi="Arial"/>
          <w:sz w:val="16"/>
          <w:szCs w:val="16"/>
          <w:color w:val="auto"/>
        </w:rPr>
        <w:t>On February 19, 2021 and May 3, 2021, we acquired Arcturus and Telerob, respectively, and, as a result, we have begun integrating certain processes, systems and controls relating to Arcturus and Telerob into our existing system of internal control over financial reporting in accordance with our integration plans. We do not believe these represent a material change. There were no changes in our internal control over financial reporting or in other factors identified in connection with the evaluation required by paragraph (d) of Rules 13a-15 or 15d-15 under the Exchange Act that occurred during the quarter ended October 30, 2021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On February 22, 2019, Webasto filed a lawsuit, which was subsequently amended on April 5, 2019, against us in Delaware Superior Court, arising from the sale of the EES Business to Webasto in June 2018. Webasto again amended the complaint in May 2021 to include additional claims. The lawsuit generally alleges several claims against us for breach of contract, indemnity, declaratory judgment, and fraud and misrepresentation, including allegations regarding inaccuracy of certain diligence disclosures, financial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 purchase price which was held back at the closing of the transaction (the “Holdback Amount”). On August 16, 2019, we filed our answer to Webasto’s amended complaint filed in April 2019 and a counterclaim against Webasto seeking payment of the Holdback Amount and declaratory relief regarding Webasto’s cancellation of an assigned contract. On June 2, 2021, we filed an answer to Webasto’s second amended complaint filed in May 2021.</w:t>
      </w:r>
    </w:p>
    <w:p>
      <w:pPr>
        <w:spacing w:after="0" w:line="179" w:lineRule="exact"/>
        <w:rPr>
          <w:sz w:val="20"/>
          <w:szCs w:val="20"/>
          <w:color w:val="auto"/>
        </w:rPr>
      </w:pPr>
    </w:p>
    <w:p>
      <w:pPr>
        <w:ind w:left="40" w:right="179"/>
        <w:spacing w:after="0" w:line="272" w:lineRule="auto"/>
        <w:rPr>
          <w:sz w:val="20"/>
          <w:szCs w:val="20"/>
          <w:color w:val="auto"/>
        </w:rPr>
      </w:pPr>
      <w:r>
        <w:rPr>
          <w:rFonts w:ascii="Arial" w:cs="Arial" w:eastAsia="Arial" w:hAnsi="Arial"/>
          <w:sz w:val="17"/>
          <w:szCs w:val="17"/>
          <w:color w:val="auto"/>
        </w:rPr>
        <w:t>In order to avoid the future cost, expense, and distraction of continued litigation, we engaged in settlement negotiations with Webasto and on December 2, 2021 reached an agreement in principle subject to formal documentation with Webasto to settle all claims in the lawsuit for $20 million and allowing Webasto to keep the holdback amount. We are currently negotiating a mutually agreeable written settlement agreement, under which we will not admit to any fault or wrongdoing, to settle all claims officially. We hope to execute the settlement agreement during our third quarter of fiscal year 2022. Should we not be able to negotiate and sign a mutually acceptable settlement agreement with Webasto, we will continue with discovery in the case and defend ourselves vigorously.</w:t>
      </w:r>
    </w:p>
    <w:p>
      <w:pPr>
        <w:spacing w:after="0" w:line="177"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As of the date of this filing, trial is set for July 11, 2022. We expect nationwide court closures and restrictions resulting from the global COVID-19 pandemic to continue easing, but we expect the possibility of another trial continuance to account for pandemic-related delays (especially related to Europe where many relevant witnesses reside) and therefore trial could be pushed into 2023 should the parties not be successful in negotiating a mutually agreement written settlement agreement.</w:t>
      </w:r>
    </w:p>
    <w:p>
      <w:pPr>
        <w:spacing w:after="0" w:line="188"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and other recordkeeping matters. The complaint seeks a jury trial and payment of various alleged unpaid wages, penalties, interest and attorneys’ fees in unspecified amounts. We must file our answer to the complaint the litigation on or before December 16, 2021.</w:t>
      </w:r>
    </w:p>
    <w:p>
      <w:pPr>
        <w:spacing w:after="0" w:line="188" w:lineRule="exact"/>
        <w:rPr>
          <w:sz w:val="20"/>
          <w:szCs w:val="20"/>
          <w:color w:val="auto"/>
        </w:rPr>
      </w:pPr>
    </w:p>
    <w:p>
      <w:pPr>
        <w:jc w:val="both"/>
        <w:ind w:left="40" w:right="139"/>
        <w:spacing w:after="0" w:line="311"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40" w:right="519"/>
        <w:spacing w:after="0" w:line="263" w:lineRule="auto"/>
        <w:rPr>
          <w:sz w:val="20"/>
          <w:szCs w:val="20"/>
          <w:color w:val="auto"/>
        </w:rPr>
      </w:pPr>
      <w:r>
        <w:rPr>
          <w:rFonts w:ascii="Arial" w:cs="Arial" w:eastAsia="Arial" w:hAnsi="Arial"/>
          <w:sz w:val="18"/>
          <w:szCs w:val="18"/>
          <w:color w:val="auto"/>
        </w:rPr>
        <w:t>Except as set for below, there have been no material changes to the risk factors disclosed under Part I, Item 1A, “Risk Factors,” of our Annual Report on Form 10-K for the fiscal year ended April 30, 2021. Please refer to that section for disclosures regarding the risks and uncertainties related to our business.</w:t>
      </w:r>
    </w:p>
    <w:p>
      <w:pPr>
        <w:spacing w:after="0" w:line="184"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84" w:lineRule="exact"/>
        <w:rPr>
          <w:sz w:val="20"/>
          <w:szCs w:val="20"/>
          <w:color w:val="auto"/>
        </w:rPr>
      </w:pPr>
    </w:p>
    <w:p>
      <w:pPr>
        <w:ind w:left="40" w:right="379"/>
        <w:spacing w:after="0" w:line="342" w:lineRule="auto"/>
        <w:rPr>
          <w:sz w:val="20"/>
          <w:szCs w:val="20"/>
          <w:color w:val="auto"/>
        </w:rPr>
      </w:pPr>
      <w:r>
        <w:rPr>
          <w:rFonts w:ascii="Arial" w:cs="Arial" w:eastAsia="Arial" w:hAnsi="Arial"/>
          <w:sz w:val="16"/>
          <w:szCs w:val="16"/>
          <w:color w:val="auto"/>
        </w:rPr>
        <w:t>We obtain hardware components, various subsystems and systems from a limited group of suppliers, some of which are sole source suppliers. Although we hold long term non-binding contracts with certain key suppliers that establishes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5" w:lineRule="auto"/>
        <w:rPr>
          <w:sz w:val="20"/>
          <w:szCs w:val="20"/>
          <w:color w:val="auto"/>
        </w:rPr>
      </w:pPr>
      <w:r>
        <w:rPr>
          <w:rFonts w:ascii="Arial" w:cs="Arial" w:eastAsia="Arial" w:hAnsi="Arial"/>
          <w:sz w:val="17"/>
          <w:szCs w:val="17"/>
          <w:color w:val="auto"/>
        </w:rPr>
        <w:t>pricing, minimizes lead times and to some degree mitigates risk, we do not have long-term agreements with all suppliers that obligate them to continue to sell components, products required to build our systems or products to us. Our reliance on suppliers without long term non-binding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w:t>
      </w:r>
    </w:p>
    <w:p>
      <w:pPr>
        <w:spacing w:after="0" w:line="176" w:lineRule="exact"/>
        <w:rPr>
          <w:sz w:val="20"/>
          <w:szCs w:val="20"/>
          <w:color w:val="auto"/>
        </w:rPr>
      </w:pPr>
    </w:p>
    <w:p>
      <w:pPr>
        <w:ind w:left="40" w:right="59"/>
        <w:spacing w:after="0" w:line="284" w:lineRule="auto"/>
        <w:rPr>
          <w:sz w:val="20"/>
          <w:szCs w:val="20"/>
          <w:color w:val="auto"/>
        </w:rPr>
      </w:pPr>
      <w:r>
        <w:rPr>
          <w:rFonts w:ascii="Arial" w:cs="Arial" w:eastAsia="Arial" w:hAnsi="Arial"/>
          <w:sz w:val="16"/>
          <w:szCs w:val="16"/>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ongoing timely delivery of these components to us. In the quarter ended October 30, 2021, we experienced delays in receiving of certain electronic components for our product lines resulting from the global shortage and began experiencing delays in receiving other components for our products, which caused delays in production and development programs and negatively affected our revenue and results for the period and could negatively impact our revenue and results in future periods. We expect shortages in certain critical components to continue through at least the remainder of our fiscal year 2022. Should such shortages of components continue or additional shortages occur and we are unable to obtain components from third party suppliers in the quantities and of the quality that we require, on a timely basis and at acceptable prices, then we may be impaired in our ability to execute development programs on schedule or deliver products on a timely or cost-effective basis to our customers. Shortages in components for our products and delays in obtaining components for our products could cause customers to terminate their contracts with us, delay orders from us or cause us to delay accepting orders, negatively impact our ability to win new programs and/or contracts, negatively impact and disrupt our development programs, increase our costs and seriously harm our business, results of operations and financial condition. Moreover, if any of our suppliers become financially unstable, or otherwise unable or unwilling to provide us with raw materials or components, then we may have to find new suppliers. It may take several months to locate alternative suppliers, if required, or to redesign our products to accommodate components from different suppliers. Even if we identify alternate suppliers, we may experience significant delays in manufacturing and shipping our products to customers and incur additional development, manufacturing and other costs to establish such alternative sources, are required to redesign our products and to complete additional quality control procedures. We have experienced increased costs for components, as well as increased shipping, warehousing and inventory costs. We cannot predict the extent to which these costs will continue and/or continue to increase or if we will be able to obtain replacement components within the time frames that we require at an affordable cost, if at all.</w:t>
      </w:r>
    </w:p>
    <w:p>
      <w:pPr>
        <w:spacing w:after="0" w:line="391" w:lineRule="exact"/>
        <w:rPr>
          <w:sz w:val="20"/>
          <w:szCs w:val="20"/>
          <w:color w:val="auto"/>
        </w:rPr>
      </w:pPr>
    </w:p>
    <w:p>
      <w:pPr>
        <w:ind w:left="40" w:right="259"/>
        <w:spacing w:after="0" w:line="289" w:lineRule="auto"/>
        <w:rPr>
          <w:sz w:val="20"/>
          <w:szCs w:val="20"/>
          <w:color w:val="auto"/>
        </w:rPr>
      </w:pPr>
      <w:r>
        <w:rPr>
          <w:rFonts w:ascii="Arial" w:cs="Arial" w:eastAsia="Arial" w:hAnsi="Arial"/>
          <w:sz w:val="16"/>
          <w:szCs w:val="16"/>
          <w:color w:val="auto"/>
        </w:rPr>
        <w:t>In particular, governmental measures responsive to the global COVID-19 pandemic have disrupted manufacturing and some supply chains, including our supply chain, which has had, and is expected to continue to have, a significant impact, both direct and indirect, on businesses and commerce worldwide, including our business and operations. We have experienced delays in obtaining certain key components and while we have sought to keep stock of all our raw materials and other product components with long lead times to assist in the event that our supply chain is disrupted, the prolonged outbreak of COVID-19 and the related global supply chain shortages have depleted our on-hand stock of certain components and continues to deplete our reserves of other components, which if the COVID-19 outbreak continues and results in an additional commercial and/or governmental restrictions, may continue to impact our ability to obtain certain raw materials and certain components used in the manufacture of our products and in our development programs.</w:t>
      </w:r>
    </w:p>
    <w:p>
      <w:pPr>
        <w:spacing w:after="0" w:line="16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A decline in the U.S. and other government budgets, changes in spending or budgetary priorities, or delays in contract awards may significantly and adversely affect our future revenue.</w:t>
      </w:r>
    </w:p>
    <w:p>
      <w:pPr>
        <w:spacing w:after="0" w:line="170" w:lineRule="exact"/>
        <w:rPr>
          <w:sz w:val="20"/>
          <w:szCs w:val="20"/>
          <w:color w:val="auto"/>
        </w:rPr>
      </w:pPr>
    </w:p>
    <w:p>
      <w:pPr>
        <w:ind w:left="40" w:right="59"/>
        <w:spacing w:after="0" w:line="290" w:lineRule="auto"/>
        <w:rPr>
          <w:sz w:val="20"/>
          <w:szCs w:val="20"/>
          <w:color w:val="auto"/>
        </w:rPr>
      </w:pPr>
      <w:r>
        <w:rPr>
          <w:rFonts w:ascii="Arial" w:cs="Arial" w:eastAsia="Arial" w:hAnsi="Arial"/>
          <w:sz w:val="16"/>
          <w:szCs w:val="16"/>
          <w:color w:val="auto"/>
        </w:rPr>
        <w:t>Because we generate a significant portion of our total sales, including our small and medium UAS and TMS sales, from the U.S. government and its agencies, our results of operations could be adversely affected by government spending caps or changes in government budgetary priorities, as well as by delays in the government budget process, program starts, or the award of contracts or orders under existing contracts. As a result, our business may be impacted due to shifts in the political environment and changes in the government and agency leadership positions under the new U.S. administration. We cannot assure you that current levels of congressional funding for our products and services will continue and that our business will not decline. If annual budget appropriations or continuing resolutions are not enacted timely, we could face U.S. government shutdowns, which could adversely impact our programs and contracts with the U.S. government,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our ability to receive timely payment from U.S. government entities and our ability to timely obtain export licenses for our products to fulfill contracts with our international customers.</w:t>
      </w:r>
    </w:p>
    <w:p>
      <w:pPr>
        <w:spacing w:after="0" w:line="170"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Additionally, there is a possibility that political decisions made by the new U.S. administration, such as changes in prior military commitments, including the withdrawal from Afghanistan, or an impasse on policy issues, could impact future spending and program authorizations, which may not increase or may decrease or shift to programs in areas in which we do not provide products or services or are less likely to be awarded contracts. Such changes in spending authorizations and budgetary priorities may occur as a result of shifts in spending priorities from defense-related and other programs due to, among other factors, competing demands for federal funds and the number and intensity of military conflicts.</w:t>
      </w:r>
    </w:p>
    <w:p>
      <w:pPr>
        <w:spacing w:after="0" w:line="164"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Military transformation and changes in overseas operational levels may affect future procurement priorities and existing programs, which could limit demand for our UAS.</w:t>
      </w:r>
    </w:p>
    <w:p>
      <w:pPr>
        <w:spacing w:after="0" w:line="170"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With the inception of the global war on terror, operational activity in the US-CENTCOM combatant command area of operations led to broad deployment and increased demand for UAS and TMS products, training and spares. Over the course of the prior six years, the tempo of Department of Defense counterinsurgency operations receded, reducing demand for certain of our small UAS and TMS products, training and spares from prior levels. We cannot predict whether the reduction in overseas operational levels will continue, how future procurement priorities related to defense transformation will be impacted or how changes in the threat environment will impact opportunities and competition for our UAS and TMS products and our ISR services, in terms of existing, additional or replacement programs. If defense transformation or overseas operations slow down further or cease in key operational areas, then our business, financial condition and results of operations could be impacted negatively.</w:t>
      </w:r>
    </w:p>
    <w:p>
      <w:pPr>
        <w:spacing w:after="0" w:line="181" w:lineRule="exact"/>
        <w:rPr>
          <w:sz w:val="20"/>
          <w:szCs w:val="20"/>
          <w:color w:val="auto"/>
        </w:rPr>
      </w:pPr>
    </w:p>
    <w:p>
      <w:pPr>
        <w:ind w:left="40" w:right="299"/>
        <w:spacing w:after="0" w:line="257" w:lineRule="auto"/>
        <w:rPr>
          <w:sz w:val="20"/>
          <w:szCs w:val="20"/>
          <w:color w:val="auto"/>
        </w:rPr>
      </w:pPr>
      <w:r>
        <w:rPr>
          <w:rFonts w:ascii="Arial" w:cs="Arial" w:eastAsia="Arial" w:hAnsi="Arial"/>
          <w:sz w:val="18"/>
          <w:szCs w:val="18"/>
          <w:color w:val="auto"/>
        </w:rPr>
        <w:t>In the past 18 months, the operations tempo in the U.S. Department of Defense both of training and deployments, both domestically and overseas, has reduced as a result of the COVID-19 pandemic. This has negatively affected demand for spares, repairs, and replacement product ordinarily required for the operation and maintenance of our UAS products. We cannot predict whether this reduction in demand will continue and to the extent it may cause an adverse impact on our results of operations.</w:t>
      </w:r>
    </w:p>
    <w:p>
      <w:pPr>
        <w:spacing w:after="0" w:line="188"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the COVID-19 novel coronavirus pandemic and similar public health crises which may adversely impact our business.</w:t>
      </w:r>
    </w:p>
    <w:p>
      <w:pPr>
        <w:spacing w:after="0" w:line="170"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In December 2019, a novel strain of a virus named SARS-CoV-2 (severe acute respiratory syndrome coronavirus 2), or coronavirus, which causes coronavirus disease, or COVID-19, was reported to have surfaced in Wuhan, China, and has reached multiple other regions and countries, including the United States and, more specifically, Southern California, where our primary operations are located. The coronavirus pandemic is evolving, and to date has led to the implementation of various responses and evolving public health safety measures. Although our operations have mostly continued uninterrupted during the COVID-19 outbreak, adoption of work from home protocols, social distancing measures in the workplace, international travel restrictions, vaccine mandates and other responsive actions have required certain changes to our operations. In particular, additional surges in infection rates and resulting travel disruptions, quarantine requirements or other similar logistics restrictions, may further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 Further, the applicability of a vaccine requirement to our workforce has been met with varying levels of support and resistance, creating tensions in an already competitive labor market.</w:t>
      </w:r>
    </w:p>
    <w:p>
      <w:pPr>
        <w:spacing w:after="0" w:line="186" w:lineRule="exact"/>
        <w:rPr>
          <w:sz w:val="20"/>
          <w:szCs w:val="20"/>
          <w:color w:val="auto"/>
        </w:rPr>
      </w:pPr>
    </w:p>
    <w:p>
      <w:pPr>
        <w:ind w:left="40" w:right="139"/>
        <w:spacing w:after="0" w:line="271" w:lineRule="auto"/>
        <w:rPr>
          <w:sz w:val="20"/>
          <w:szCs w:val="20"/>
          <w:color w:val="auto"/>
        </w:rPr>
      </w:pPr>
      <w:r>
        <w:rPr>
          <w:rFonts w:ascii="Arial" w:cs="Arial" w:eastAsia="Arial" w:hAnsi="Arial"/>
          <w:sz w:val="17"/>
          <w:szCs w:val="17"/>
          <w:color w:val="auto"/>
        </w:rPr>
        <w:t>Global health concerns, such as the coronavirus pandemic, could result in social, economic and labor instability in the countries in which we or the third parties with whom we engage operate. It is not currently possible to ascertain the overall impact of the COVID-19 outbreak, if any, on our business. The extent to which COVID-19 impacts on our business, financial condition and results of operations and those of our third party partners will depend on future developments as to the geographic presence of COVID-19, new and potentially more contagious variants of the SARS-CoV-2 virus, rates of vaccination, government and healthcare responses to such spread including the duration of the outbreak, new information that may emerge concerning the severity of the coronavirus and the actions to contain the coronavirus or treat its impact, among others, which remain highly uncertain.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We cannot presently predict the scope and severity of existing and other potential business disruptions, but if we or any of the third parties with whom we engage, including suppliers and other third parties with whom we conduct business, were to experience prolonged shutdowns or other business disruptions, including a slowdown in the effectiveness of our workforce due to illness or otherwise, our ability to conduct our business in the manner presently planned could be materially and negatively impacted. The COVID-19 outbreak has caused delays in the timing of our customers’ awarding of contracts to us, which has begun to have some negative impact on our business for fiscal year 2022; there can be no assurances that any further delays would not have a material adverse impact on our business and results of operations in the future.</w:t>
      </w:r>
    </w:p>
    <w:p>
      <w:pPr>
        <w:spacing w:after="0" w:line="166"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The COVID-19 pandemic could also cause delays or limits in the ability of our customers to make timely payments to us. Additionally, our government customers may have more limited resources available to purchase our products due to deteriorating economic conditions or due to the diversion of resources to other budget priorities, including efforts to address the COVID-19 pandemic. The future progression of the COVID-19 outbreak and its resulting effects on our business, financial condition and results of operations are uncertain and are continuing to be assessed.</w:t>
      </w:r>
    </w:p>
    <w:p>
      <w:pPr>
        <w:spacing w:after="0" w:line="176" w:lineRule="exact"/>
        <w:rPr>
          <w:sz w:val="20"/>
          <w:szCs w:val="20"/>
          <w:color w:val="auto"/>
        </w:rPr>
      </w:pPr>
    </w:p>
    <w:p>
      <w:pPr>
        <w:ind w:left="40" w:right="79"/>
        <w:spacing w:after="0" w:line="342" w:lineRule="auto"/>
        <w:rPr>
          <w:sz w:val="20"/>
          <w:szCs w:val="20"/>
          <w:color w:val="auto"/>
        </w:rPr>
      </w:pPr>
      <w:r>
        <w:rPr>
          <w:rFonts w:ascii="Arial" w:cs="Arial" w:eastAsia="Arial" w:hAnsi="Arial"/>
          <w:sz w:val="16"/>
          <w:szCs w:val="16"/>
          <w:b w:val="1"/>
          <w:bCs w:val="1"/>
          <w:i w:val="1"/>
          <w:iCs w:val="1"/>
          <w:color w:val="auto"/>
        </w:rPr>
        <w:t>Based on current projections, there is a substantial risk that we may be in violation of the financial covenants under our credit agreement which could have a material adverse effect on our business and results of operations.</w:t>
      </w:r>
    </w:p>
    <w:p>
      <w:pPr>
        <w:spacing w:after="0" w:line="124"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Based upon our current projections, there is a substantial risk that we may be in violation of the financial covenants of our credit agreement during the fiscal quarter ending January 29, 2022 if we do not make a prepayment to reduce the outstanding balance of our outstanding loan or obtain an amendment to the credit agreement to remain in compliance with the covenants. While we are in discussions with the lender regarding obtaining an amendment, there can be no assurance that we will be successful in negotiating a mutually acceptable amendment to the credit agreement. If we are required to make a prepayment in order to stay in compliance with the credit agreement, our business and operations could be negatively affected. If we are unable to make a prepayment or enter into an amendment to the credit agreement to remain in compliance with the covenants, an event of default may occur under the credit agreement, upon the occurrence of which, the lenders may cease making future loans under the agreement and may declare all amounts owing under the credit agreement to be immediately due and payable which would adversely affect our business and results of operations.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must recruit and retain highly-skilled employees to succeed in our competitive business.</w:t>
      </w:r>
    </w:p>
    <w:p>
      <w:pPr>
        <w:spacing w:after="0" w:line="225"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 We have experienced shortages of skilled employees that has negatively affected our progress on development programs and our results of operations. We cannot predict the extent to which these shortages will continue or the extent to which they could negatively impact our development programs and results of operations in future periods.</w:t>
      </w:r>
    </w:p>
    <w:p>
      <w:pPr>
        <w:spacing w:after="0" w:line="172" w:lineRule="exact"/>
        <w:rPr>
          <w:sz w:val="20"/>
          <w:szCs w:val="20"/>
          <w:color w:val="auto"/>
        </w:rPr>
      </w:pPr>
    </w:p>
    <w:p>
      <w:pPr>
        <w:ind w:left="40" w:right="199"/>
        <w:spacing w:after="0" w:line="301" w:lineRule="auto"/>
        <w:rPr>
          <w:sz w:val="20"/>
          <w:szCs w:val="20"/>
          <w:color w:val="auto"/>
        </w:rPr>
      </w:pPr>
      <w:r>
        <w:rPr>
          <w:rFonts w:ascii="Arial" w:cs="Arial" w:eastAsia="Arial" w:hAnsi="Arial"/>
          <w:sz w:val="16"/>
          <w:szCs w:val="16"/>
          <w:color w:val="auto"/>
        </w:rPr>
        <w:t>A recent executive order issued by President Biden generally requires that employees of U.S. government contractors receive COVID-19 vaccinations, unless an employee requests and receives a medical or religious accommodation. While the loss of certain employees due to this vaccine mandate has not had a significant impact on our operations to date, our ability to recruit skilled employees in the future may be negatively impacted by the vaccine mandate.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179"/>
        <w:spacing w:after="0" w:line="290"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Share Repurchase Program. The Share Repurchase Program does not obligate us to acquire any particular amount of common stock and may be suspended at any time by our Board of Directors. No shares were repurchased in the six months ended October 30, 2021. As of October 30, 2021, approximately $21.2 million remained authorized for future repurchases under the Share Repurchase Program.</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420" w:type="dxa"/>
            <w:vAlign w:val="bottom"/>
            <w:tcBorders>
              <w:bottom w:val="single" w:sz="8" w:color="auto"/>
            </w:tcBorders>
            <w:gridSpan w:val="14"/>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89"/>
              </w:rPr>
              <w:t>3.1(1)</w:t>
            </w:r>
          </w:p>
        </w:tc>
        <w:tc>
          <w:tcPr>
            <w:tcW w:w="200" w:type="dxa"/>
            <w:vAlign w:val="bottom"/>
          </w:tcPr>
          <w:p>
            <w:pPr>
              <w:spacing w:after="0"/>
              <w:rPr>
                <w:sz w:val="16"/>
                <w:szCs w:val="16"/>
                <w:color w:val="auto"/>
              </w:rPr>
            </w:pPr>
          </w:p>
        </w:tc>
        <w:tc>
          <w:tcPr>
            <w:tcW w:w="20" w:type="dxa"/>
            <w:vAlign w:val="bottom"/>
            <w:tcBorders>
              <w:bottom w:val="single" w:sz="8" w:color="0000EE"/>
            </w:tcBorders>
          </w:tcPr>
          <w:p>
            <w:pPr>
              <w:spacing w:after="0"/>
              <w:rPr>
                <w:sz w:val="16"/>
                <w:szCs w:val="16"/>
                <w:color w:val="auto"/>
              </w:rPr>
            </w:pPr>
          </w:p>
        </w:tc>
        <w:tc>
          <w:tcPr>
            <w:tcW w:w="5400" w:type="dxa"/>
            <w:vAlign w:val="bottom"/>
            <w:tcBorders>
              <w:bottom w:val="single" w:sz="8" w:color="0000EE"/>
            </w:tcBorders>
            <w:gridSpan w:val="6"/>
          </w:tcPr>
          <w:p>
            <w:pPr>
              <w:spacing w:after="0" w:line="189"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Amended and Restated Certificate of Incorporation of AeroVironment, Inc.</w:t>
              </w:r>
            </w:hyperlink>
          </w:p>
        </w:tc>
        <w:tc>
          <w:tcPr>
            <w:tcW w:w="2500" w:type="dxa"/>
            <w:vAlign w:val="bottom"/>
            <w:gridSpan w:val="11"/>
          </w:tcPr>
          <w:p>
            <w:pPr>
              <w:spacing w:after="0"/>
              <w:rPr>
                <w:sz w:val="16"/>
                <w:szCs w:val="16"/>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89"/>
              </w:rPr>
              <w:t>3.2(2)</w:t>
            </w:r>
          </w:p>
        </w:tc>
        <w:tc>
          <w:tcPr>
            <w:tcW w:w="200" w:type="dxa"/>
            <w:vAlign w:val="bottom"/>
          </w:tcPr>
          <w:p>
            <w:pPr>
              <w:spacing w:after="0"/>
              <w:rPr>
                <w:sz w:val="19"/>
                <w:szCs w:val="19"/>
                <w:color w:val="auto"/>
              </w:rPr>
            </w:pPr>
          </w:p>
        </w:tc>
        <w:tc>
          <w:tcPr>
            <w:tcW w:w="7920" w:type="dxa"/>
            <w:vAlign w:val="bottom"/>
            <w:gridSpan w:val="18"/>
          </w:tcPr>
          <w:p>
            <w:pPr>
              <w:spacing w:after="0"/>
              <w:rPr>
                <w:rFonts w:ascii="Arial" w:cs="Arial" w:eastAsia="Arial" w:hAnsi="Arial"/>
                <w:sz w:val="18"/>
                <w:szCs w:val="18"/>
                <w:color w:val="0000EE"/>
              </w:rPr>
            </w:pPr>
            <w:hyperlink r:id="rId88">
              <w:r>
                <w:rPr>
                  <w:rFonts w:ascii="Arial" w:cs="Arial" w:eastAsia="Arial" w:hAnsi="Arial"/>
                  <w:sz w:val="18"/>
                  <w:szCs w:val="18"/>
                  <w:color w:val="0000EE"/>
                </w:rPr>
                <w:t>Third Amended and Restated Bylaws of AeroVironment, Inc.</w:t>
              </w:r>
            </w:hyperlink>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10.1*(3)</w:t>
            </w:r>
          </w:p>
        </w:tc>
        <w:tc>
          <w:tcPr>
            <w:tcW w:w="200" w:type="dxa"/>
            <w:vAlign w:val="bottom"/>
          </w:tcPr>
          <w:p>
            <w:pPr>
              <w:spacing w:after="0"/>
              <w:rPr>
                <w:sz w:val="19"/>
                <w:szCs w:val="19"/>
                <w:color w:val="auto"/>
              </w:rPr>
            </w:pPr>
          </w:p>
        </w:tc>
        <w:tc>
          <w:tcPr>
            <w:tcW w:w="35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AeroVironment, Inc. 2021 Equity Incentive Plan</w:t>
              </w:r>
            </w:hyperlink>
          </w:p>
        </w:tc>
        <w:tc>
          <w:tcPr>
            <w:tcW w:w="920" w:type="dxa"/>
            <w:vAlign w:val="bottom"/>
            <w:tcBorders>
              <w:top w:val="single" w:sz="8" w:color="0000EE"/>
            </w:tcBorders>
          </w:tcPr>
          <w:p>
            <w:pPr>
              <w:spacing w:after="0"/>
              <w:rPr>
                <w:sz w:val="19"/>
                <w:szCs w:val="19"/>
                <w:color w:val="auto"/>
              </w:rPr>
            </w:pPr>
          </w:p>
        </w:tc>
        <w:tc>
          <w:tcPr>
            <w:tcW w:w="3500" w:type="dxa"/>
            <w:vAlign w:val="bottom"/>
            <w:gridSpan w:val="13"/>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10.2*(3)</w:t>
            </w:r>
          </w:p>
        </w:tc>
        <w:tc>
          <w:tcPr>
            <w:tcW w:w="200" w:type="dxa"/>
            <w:vAlign w:val="bottom"/>
          </w:tcPr>
          <w:p>
            <w:pPr>
              <w:spacing w:after="0"/>
              <w:rPr>
                <w:sz w:val="19"/>
                <w:szCs w:val="19"/>
                <w:color w:val="auto"/>
              </w:rPr>
            </w:pPr>
          </w:p>
        </w:tc>
        <w:tc>
          <w:tcPr>
            <w:tcW w:w="7920" w:type="dxa"/>
            <w:vAlign w:val="bottom"/>
            <w:gridSpan w:val="18"/>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Form of Stock Option Grant Notice and Stock Option Agreement pursuant to the AeroVironment, Inc. 2021</w:t>
              </w:r>
            </w:hyperlink>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Equity Incentive Plan</w:t>
              </w:r>
            </w:hyperlink>
          </w:p>
        </w:tc>
        <w:tc>
          <w:tcPr>
            <w:tcW w:w="6200" w:type="dxa"/>
            <w:vAlign w:val="bottom"/>
            <w:tcBorders>
              <w:top w:val="single" w:sz="8" w:color="0000EE"/>
            </w:tcBorders>
            <w:gridSpan w:val="15"/>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10.3*(3)</w:t>
            </w:r>
          </w:p>
        </w:tc>
        <w:tc>
          <w:tcPr>
            <w:tcW w:w="200" w:type="dxa"/>
            <w:vAlign w:val="bottom"/>
          </w:tcPr>
          <w:p>
            <w:pPr>
              <w:spacing w:after="0"/>
              <w:rPr>
                <w:sz w:val="19"/>
                <w:szCs w:val="19"/>
                <w:color w:val="auto"/>
              </w:rPr>
            </w:pPr>
          </w:p>
        </w:tc>
        <w:tc>
          <w:tcPr>
            <w:tcW w:w="7320" w:type="dxa"/>
            <w:vAlign w:val="bottom"/>
            <w:tcBorders>
              <w:bottom w:val="single" w:sz="8" w:color="0000EE"/>
            </w:tcBorders>
            <w:gridSpan w:val="13"/>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Form of Restricted Stock Award Grant Notice and Restricted Stock Award Agreement pursuant to the</w:t>
              </w:r>
            </w:hyperlink>
          </w:p>
        </w:tc>
        <w:tc>
          <w:tcPr>
            <w:tcW w:w="600" w:type="dxa"/>
            <w:vAlign w:val="bottom"/>
            <w:gridSpan w:val="5"/>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60" w:type="dxa"/>
            <w:vAlign w:val="bottom"/>
            <w:tcBorders>
              <w:bottom w:val="single" w:sz="8" w:color="0000EE"/>
            </w:tcBorders>
            <w:gridSpan w:val="10"/>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AeroVironment, Inc. 2021 Equity Incentive Plan (Severance Plan Participants)</w:t>
              </w:r>
            </w:hyperlink>
          </w:p>
        </w:tc>
        <w:tc>
          <w:tcPr>
            <w:tcW w:w="2260" w:type="dxa"/>
            <w:vAlign w:val="bottom"/>
            <w:gridSpan w:val="8"/>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10.4*(3)</w:t>
            </w:r>
          </w:p>
        </w:tc>
        <w:tc>
          <w:tcPr>
            <w:tcW w:w="200" w:type="dxa"/>
            <w:vAlign w:val="bottom"/>
          </w:tcPr>
          <w:p>
            <w:pPr>
              <w:spacing w:after="0"/>
              <w:rPr>
                <w:sz w:val="19"/>
                <w:szCs w:val="19"/>
                <w:color w:val="auto"/>
              </w:rPr>
            </w:pPr>
          </w:p>
        </w:tc>
        <w:tc>
          <w:tcPr>
            <w:tcW w:w="7320" w:type="dxa"/>
            <w:vAlign w:val="bottom"/>
            <w:tcBorders>
              <w:bottom w:val="single" w:sz="8" w:color="0000EE"/>
            </w:tcBorders>
            <w:gridSpan w:val="13"/>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Form of Restricted Stock Award Grant Notice and Restricted Stock Award Agreement pursuant to the</w:t>
              </w:r>
            </w:hyperlink>
          </w:p>
        </w:tc>
        <w:tc>
          <w:tcPr>
            <w:tcW w:w="600" w:type="dxa"/>
            <w:vAlign w:val="bottom"/>
            <w:gridSpan w:val="5"/>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20" w:type="dxa"/>
            <w:vAlign w:val="bottom"/>
            <w:gridSpan w:val="18"/>
          </w:tcPr>
          <w:p>
            <w:pPr>
              <w:spacing w:after="0"/>
              <w:rPr>
                <w:rFonts w:ascii="Arial" w:cs="Arial" w:eastAsia="Arial" w:hAnsi="Arial"/>
                <w:sz w:val="18"/>
                <w:szCs w:val="18"/>
                <w:color w:val="0000EE"/>
              </w:rPr>
            </w:pPr>
            <w:hyperlink r:id="rId89">
              <w:r>
                <w:rPr>
                  <w:rFonts w:ascii="Arial" w:cs="Arial" w:eastAsia="Arial" w:hAnsi="Arial"/>
                  <w:sz w:val="18"/>
                  <w:szCs w:val="18"/>
                  <w:color w:val="0000EE"/>
                </w:rPr>
                <w:t>AeroVironment, Inc. 2021 Equity Incentive Plan (Non-Severance Plan Participants)</w:t>
              </w:r>
            </w:hyperlink>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10.5*(3)</w:t>
            </w:r>
          </w:p>
        </w:tc>
        <w:tc>
          <w:tcPr>
            <w:tcW w:w="200" w:type="dxa"/>
            <w:vAlign w:val="bottom"/>
          </w:tcPr>
          <w:p>
            <w:pPr>
              <w:spacing w:after="0"/>
              <w:rPr>
                <w:sz w:val="19"/>
                <w:szCs w:val="19"/>
                <w:color w:val="auto"/>
              </w:rPr>
            </w:pPr>
          </w:p>
        </w:tc>
        <w:tc>
          <w:tcPr>
            <w:tcW w:w="7320" w:type="dxa"/>
            <w:vAlign w:val="bottom"/>
            <w:tcBorders>
              <w:bottom w:val="single" w:sz="8" w:color="0000EE"/>
            </w:tcBorders>
            <w:gridSpan w:val="13"/>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Form of Restricted Stock Award Grant Notice and Restricted Stock Award Agreement pursuant to the</w:t>
              </w:r>
            </w:hyperlink>
          </w:p>
        </w:tc>
        <w:tc>
          <w:tcPr>
            <w:tcW w:w="600" w:type="dxa"/>
            <w:vAlign w:val="bottom"/>
            <w:gridSpan w:val="5"/>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80" w:type="dxa"/>
            <w:vAlign w:val="bottom"/>
            <w:tcBorders>
              <w:bottom w:val="single" w:sz="8" w:color="0000EE"/>
            </w:tcBorders>
            <w:gridSpan w:val="9"/>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AeroVironment, Inc. 2021 Equity Incentive Plan (Non-Employee Directors)</w:t>
              </w:r>
            </w:hyperlink>
          </w:p>
        </w:tc>
        <w:tc>
          <w:tcPr>
            <w:tcW w:w="2440" w:type="dxa"/>
            <w:vAlign w:val="bottom"/>
            <w:gridSpan w:val="9"/>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10.6*(3)</w:t>
            </w:r>
          </w:p>
        </w:tc>
        <w:tc>
          <w:tcPr>
            <w:tcW w:w="200" w:type="dxa"/>
            <w:vAlign w:val="bottom"/>
          </w:tcPr>
          <w:p>
            <w:pPr>
              <w:spacing w:after="0"/>
              <w:rPr>
                <w:sz w:val="19"/>
                <w:szCs w:val="19"/>
                <w:color w:val="auto"/>
              </w:rPr>
            </w:pPr>
          </w:p>
        </w:tc>
        <w:tc>
          <w:tcPr>
            <w:tcW w:w="7920" w:type="dxa"/>
            <w:vAlign w:val="bottom"/>
            <w:gridSpan w:val="18"/>
          </w:tcPr>
          <w:p>
            <w:pPr>
              <w:spacing w:after="0"/>
              <w:rPr>
                <w:rFonts w:ascii="Arial" w:cs="Arial" w:eastAsia="Arial" w:hAnsi="Arial"/>
                <w:sz w:val="18"/>
                <w:szCs w:val="18"/>
                <w:color w:val="0000EE"/>
                <w:w w:val="98"/>
              </w:rPr>
            </w:pPr>
            <w:hyperlink r:id="rId89">
              <w:r>
                <w:rPr>
                  <w:rFonts w:ascii="Arial" w:cs="Arial" w:eastAsia="Arial" w:hAnsi="Arial"/>
                  <w:sz w:val="18"/>
                  <w:szCs w:val="18"/>
                  <w:color w:val="0000EE"/>
                  <w:w w:val="98"/>
                </w:rPr>
                <w:t>Form of Performance Restricted Stock Award Grant Notice and Performance Restricted Stock Award</w:t>
              </w:r>
            </w:hyperlink>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Agreement pursuant to the AeroVironment, Inc. 2021 Equity Incentive Plan</w:t>
              </w:r>
            </w:hyperlink>
          </w:p>
        </w:tc>
        <w:tc>
          <w:tcPr>
            <w:tcW w:w="1820" w:type="dxa"/>
            <w:vAlign w:val="bottom"/>
            <w:tcBorders>
              <w:top w:val="single" w:sz="8" w:color="0000EE"/>
            </w:tcBorders>
            <w:gridSpan w:val="4"/>
          </w:tcPr>
          <w:p>
            <w:pPr>
              <w:spacing w:after="0"/>
              <w:rPr>
                <w:sz w:val="19"/>
                <w:szCs w:val="19"/>
                <w:color w:val="auto"/>
              </w:rPr>
            </w:pPr>
          </w:p>
        </w:tc>
        <w:tc>
          <w:tcPr>
            <w:tcW w:w="640" w:type="dxa"/>
            <w:vAlign w:val="bottom"/>
            <w:gridSpan w:val="6"/>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10.1*(3)</w:t>
            </w:r>
          </w:p>
        </w:tc>
        <w:tc>
          <w:tcPr>
            <w:tcW w:w="200" w:type="dxa"/>
            <w:vAlign w:val="bottom"/>
          </w:tcPr>
          <w:p>
            <w:pPr>
              <w:spacing w:after="0"/>
              <w:rPr>
                <w:sz w:val="19"/>
                <w:szCs w:val="19"/>
                <w:color w:val="auto"/>
              </w:rPr>
            </w:pPr>
          </w:p>
        </w:tc>
        <w:tc>
          <w:tcPr>
            <w:tcW w:w="3500" w:type="dxa"/>
            <w:vAlign w:val="bottom"/>
            <w:tcBorders>
              <w:bottom w:val="single" w:sz="8" w:color="0000EE"/>
            </w:tcBorders>
            <w:gridSpan w:val="4"/>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AeroVironment, Inc. 2021 Equity Incentive Plan</w:t>
              </w:r>
            </w:hyperlink>
          </w:p>
        </w:tc>
        <w:tc>
          <w:tcPr>
            <w:tcW w:w="4420" w:type="dxa"/>
            <w:vAlign w:val="bottom"/>
            <w:gridSpan w:val="14"/>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19"/>
                <w:szCs w:val="19"/>
                <w:color w:val="auto"/>
              </w:rPr>
            </w:pPr>
          </w:p>
        </w:tc>
        <w:tc>
          <w:tcPr>
            <w:tcW w:w="7920" w:type="dxa"/>
            <w:vAlign w:val="bottom"/>
            <w:gridSpan w:val="18"/>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Certification of Chief Executive Officer pursuant to Rule 13a-14(a) and Rule 15d-14(a) of the Securities</w:t>
              </w:r>
            </w:hyperlink>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00" w:type="dxa"/>
            <w:vAlign w:val="bottom"/>
            <w:tcBorders>
              <w:top w:val="single" w:sz="8" w:color="0000EE"/>
            </w:tcBorders>
            <w:gridSpan w:val="1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420" w:type="dxa"/>
            <w:vAlign w:val="bottom"/>
            <w:gridSpan w:val="3"/>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19"/>
                <w:szCs w:val="19"/>
                <w:color w:val="auto"/>
              </w:rPr>
            </w:pPr>
          </w:p>
        </w:tc>
        <w:tc>
          <w:tcPr>
            <w:tcW w:w="746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Certification of Chief Financial Officer pursuant to Rule 13a-14(a) and Rule 15d-14(a) of the Securities</w:t>
              </w:r>
            </w:hyperlink>
          </w:p>
        </w:tc>
        <w:tc>
          <w:tcPr>
            <w:tcW w:w="460" w:type="dxa"/>
            <w:vAlign w:val="bottom"/>
            <w:gridSpan w:val="4"/>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20" w:type="dxa"/>
            <w:vAlign w:val="bottom"/>
            <w:gridSpan w:val="1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84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86"/>
              </w:rPr>
              <w:t>32#</w:t>
            </w:r>
          </w:p>
        </w:tc>
        <w:tc>
          <w:tcPr>
            <w:tcW w:w="200" w:type="dxa"/>
            <w:vAlign w:val="bottom"/>
          </w:tcPr>
          <w:p>
            <w:pPr>
              <w:spacing w:after="0"/>
              <w:rPr>
                <w:sz w:val="19"/>
                <w:szCs w:val="19"/>
                <w:color w:val="auto"/>
              </w:rPr>
            </w:pPr>
          </w:p>
        </w:tc>
        <w:tc>
          <w:tcPr>
            <w:tcW w:w="7920" w:type="dxa"/>
            <w:vAlign w:val="bottom"/>
            <w:gridSpan w:val="18"/>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Certification of Chief Executive Officer and Chief Financial Officer pursuant to 18 U.S.C. Section 1350, as</w:t>
              </w:r>
            </w:hyperlink>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tcBorders>
              <w:top w:val="single" w:sz="8" w:color="0000EE"/>
            </w:tcBorders>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hyperlink>
          </w:p>
        </w:tc>
        <w:tc>
          <w:tcPr>
            <w:tcW w:w="200" w:type="dxa"/>
            <w:vAlign w:val="bottom"/>
            <w:gridSpan w:val="2"/>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gridSpan w:val="6"/>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r>
      <w:tr>
        <w:trPr>
          <w:trHeight w:val="264"/>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200" w:type="dxa"/>
            <w:vAlign w:val="bottom"/>
          </w:tcPr>
          <w:p>
            <w:pPr>
              <w:spacing w:after="0"/>
              <w:rPr>
                <w:sz w:val="22"/>
                <w:szCs w:val="22"/>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Files because its</w:t>
            </w:r>
          </w:p>
        </w:tc>
      </w:tr>
      <w:tr>
        <w:trPr>
          <w:trHeight w:val="243"/>
        </w:trPr>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200" w:type="dxa"/>
            <w:vAlign w:val="bottom"/>
          </w:tcPr>
          <w:p>
            <w:pPr>
              <w:spacing w:after="0"/>
              <w:rPr>
                <w:sz w:val="21"/>
                <w:szCs w:val="21"/>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200" w:type="dxa"/>
            <w:vAlign w:val="bottom"/>
          </w:tcPr>
          <w:p>
            <w:pPr>
              <w:spacing w:after="0"/>
              <w:rPr>
                <w:sz w:val="21"/>
                <w:szCs w:val="21"/>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200" w:type="dxa"/>
            <w:vAlign w:val="bottom"/>
          </w:tcPr>
          <w:p>
            <w:pPr>
              <w:spacing w:after="0"/>
              <w:rPr>
                <w:sz w:val="21"/>
                <w:szCs w:val="21"/>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200" w:type="dxa"/>
            <w:vAlign w:val="bottom"/>
          </w:tcPr>
          <w:p>
            <w:pPr>
              <w:spacing w:after="0"/>
              <w:rPr>
                <w:sz w:val="21"/>
                <w:szCs w:val="21"/>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tcPr>
          <w:p>
            <w:pPr>
              <w:spacing w:after="0"/>
              <w:rPr>
                <w:sz w:val="21"/>
                <w:szCs w:val="21"/>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1040" w:hanging="728"/>
        <w:spacing w:after="0"/>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360" w:right="139" w:hanging="316"/>
        <w:spacing w:after="0" w:line="223" w:lineRule="exact"/>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89" w:lineRule="exact"/>
        <w:rPr>
          <w:rFonts w:ascii="Arial" w:cs="Arial" w:eastAsia="Arial" w:hAnsi="Arial"/>
          <w:sz w:val="18"/>
          <w:szCs w:val="18"/>
          <w:color w:val="auto"/>
        </w:rPr>
      </w:pPr>
    </w:p>
    <w:p>
      <w:pPr>
        <w:ind w:left="360" w:right="79" w:hanging="316"/>
        <w:spacing w:after="0" w:line="277"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pacing w:after="0" w:line="156" w:lineRule="exact"/>
        <w:rPr>
          <w:rFonts w:ascii="Arial" w:cs="Arial" w:eastAsia="Arial" w:hAnsi="Arial"/>
          <w:sz w:val="18"/>
          <w:szCs w:val="18"/>
          <w:color w:val="auto"/>
        </w:rPr>
      </w:pPr>
    </w:p>
    <w:p>
      <w:pPr>
        <w:ind w:left="360" w:right="199" w:hanging="316"/>
        <w:spacing w:after="0" w:line="277"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Registration Statement on Form S-8 (File No. 333-260227)</w:t>
      </w:r>
    </w:p>
    <w:p>
      <w:pPr>
        <w:spacing w:after="0" w:line="157" w:lineRule="exact"/>
        <w:rPr>
          <w:sz w:val="20"/>
          <w:szCs w:val="20"/>
          <w:color w:val="auto"/>
        </w:rPr>
      </w:pPr>
    </w:p>
    <w:p>
      <w:pPr>
        <w:ind w:left="360" w:hanging="316"/>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2" w:lineRule="exact"/>
        <w:rPr>
          <w:sz w:val="20"/>
          <w:szCs w:val="20"/>
          <w:color w:val="auto"/>
        </w:rPr>
      </w:pPr>
    </w:p>
    <w:p>
      <w:pPr>
        <w:ind w:left="360" w:right="79" w:hanging="316"/>
        <w:spacing w:after="0" w:line="257" w:lineRule="auto"/>
        <w:tabs>
          <w:tab w:leader="none" w:pos="3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Wahid Nawabi, certify that:</w:t>
      </w:r>
    </w:p>
    <w:p>
      <w:pPr>
        <w:spacing w:after="0" w:line="198" w:lineRule="exact"/>
        <w:rPr>
          <w:sz w:val="20"/>
          <w:szCs w:val="20"/>
          <w:color w:val="auto"/>
        </w:rPr>
      </w:pPr>
    </w:p>
    <w:p>
      <w:pPr>
        <w:ind w:left="360" w:hanging="316"/>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79" w:hanging="316"/>
        <w:spacing w:after="0" w:line="248"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2021</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ind w:left="45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6" w:name="page57"/>
    <w:bookmarkEnd w:id="5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Kevin P. McDonnell, certify that:</w:t>
      </w:r>
    </w:p>
    <w:p>
      <w:pPr>
        <w:spacing w:after="0" w:line="198" w:lineRule="exact"/>
        <w:rPr>
          <w:sz w:val="20"/>
          <w:szCs w:val="20"/>
          <w:color w:val="auto"/>
        </w:rPr>
      </w:pPr>
    </w:p>
    <w:p>
      <w:pPr>
        <w:ind w:left="360" w:hanging="316"/>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79" w:hanging="316"/>
        <w:spacing w:after="0" w:line="248"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2021</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7" w:name="page58"/>
    <w:bookmarkEnd w:id="57"/>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right="19"/>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82" w:lineRule="exact"/>
        <w:rPr>
          <w:sz w:val="20"/>
          <w:szCs w:val="20"/>
          <w:color w:val="auto"/>
        </w:rPr>
      </w:pPr>
    </w:p>
    <w:p>
      <w:pPr>
        <w:jc w:val="both"/>
        <w:ind w:left="40" w:right="119" w:firstLine="486"/>
        <w:spacing w:after="0" w:line="24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68" w:lineRule="exact"/>
        <w:rPr>
          <w:sz w:val="20"/>
          <w:szCs w:val="20"/>
          <w:color w:val="auto"/>
        </w:rPr>
      </w:pPr>
    </w:p>
    <w:p>
      <w:pPr>
        <w:ind w:left="40" w:right="59" w:firstLine="486"/>
        <w:spacing w:after="0" w:line="243" w:lineRule="auto"/>
        <w:rPr>
          <w:sz w:val="20"/>
          <w:szCs w:val="20"/>
          <w:color w:val="auto"/>
        </w:rPr>
      </w:pPr>
      <w:r>
        <w:rPr>
          <w:rFonts w:ascii="Arial" w:cs="Arial" w:eastAsia="Arial" w:hAnsi="Arial"/>
          <w:sz w:val="18"/>
          <w:szCs w:val="18"/>
          <w:color w:val="auto"/>
        </w:rPr>
        <w:t>The Quarterly Report on Form 10-Q for the quarter ended October 30, 2021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ind w:left="4500"/>
        <w:spacing w:after="0"/>
        <w:rPr>
          <w:sz w:val="20"/>
          <w:szCs w:val="20"/>
          <w:color w:val="auto"/>
        </w:rPr>
      </w:pPr>
      <w:r>
        <w:rPr>
          <w:rFonts w:ascii="Arial" w:cs="Arial" w:eastAsia="Arial" w:hAnsi="Arial"/>
          <w:sz w:val="18"/>
          <w:szCs w:val="18"/>
          <w:color w:val="auto"/>
        </w:rPr>
        <w:t>President and Chief Executive Officer</w:t>
      </w:r>
    </w:p>
    <w:p>
      <w:pPr>
        <w:spacing w:after="0" w:line="18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December 7, 2021</w:t>
      </w:r>
    </w:p>
    <w:p>
      <w:pPr>
        <w:spacing w:after="0" w:line="198" w:lineRule="exact"/>
        <w:rPr>
          <w:sz w:val="20"/>
          <w:szCs w:val="20"/>
          <w:color w:val="auto"/>
        </w:rPr>
      </w:pPr>
    </w:p>
    <w:p>
      <w:pPr>
        <w:ind w:left="40" w:right="299" w:firstLine="486"/>
        <w:spacing w:after="0" w:line="27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2"/>
    </w:lvl>
  </w:abstractNum>
  <w:abstractNum w:abstractNumId="4">
    <w:nsid w:val="109CF92E"/>
    <w:multiLevelType w:val="hybridMultilevel"/>
    <w:lvl w:ilvl="0">
      <w:lvlJc w:val="left"/>
      <w:lvlText w:val="(%1)"/>
      <w:numFmt w:val="lowerRoman"/>
      <w:start w:val="2"/>
    </w:lvl>
  </w:abstractNum>
  <w:abstractNum w:abstractNumId="5">
    <w:nsid w:val="DED7263"/>
    <w:multiLevelType w:val="hybridMultilevel"/>
    <w:lvl w:ilvl="0">
      <w:lvlJc w:val="left"/>
      <w:lvlText w:val="%1."/>
      <w:numFmt w:val="decimal"/>
      <w:start w:val="18"/>
    </w:lvl>
  </w:abstractNum>
  <w:abstractNum w:abstractNumId="6">
    <w:nsid w:val="7FDCC233"/>
    <w:multiLevelType w:val="hybridMultilevel"/>
    <w:lvl w:ilvl="0">
      <w:lvlJc w:val="left"/>
      <w:lvlText w:val="(%1)"/>
      <w:numFmt w:val="lowerLetter"/>
      <w:start w:val="2"/>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lowerRoman"/>
      <w:start w:val="2"/>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lvl w:ilvl="1">
      <w:lvlJc w:val="left"/>
      <w:lvlText w:val="%2"/>
      <w:numFmt w:val="decimal"/>
      <w:start w:val="104"/>
    </w:lvl>
  </w:abstractNum>
  <w:abstractNum w:abstractNumId="17">
    <w:nsid w:val="62BBD95A"/>
    <w:multiLevelType w:val="hybridMultilevel"/>
    <w:lvl w:ilvl="0">
      <w:lvlJc w:val="left"/>
      <w:lvlText w:val="(%1)"/>
      <w:numFmt w:val="decimal"/>
      <w:start w:val="1"/>
    </w:lvl>
    <w:lvl w:ilvl="1">
      <w:lvlJc w:val="left"/>
      <w:lvlText w:val="%2"/>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87" Type="http://schemas.openxmlformats.org/officeDocument/2006/relationships/hyperlink" Target="http://www.sec.gov/Archives/edgar/data/1368622/000095015007000008/a28119exv3w1.htm" TargetMode="External"/><Relationship Id="rId88" Type="http://schemas.openxmlformats.org/officeDocument/2006/relationships/hyperlink" Target="http://www.sec.gov/Archives/edgar/data/1368622/000104746915005880/a2225241zex-3_3.htm" TargetMode="External"/><Relationship Id="rId89" Type="http://schemas.openxmlformats.org/officeDocument/2006/relationships/hyperlink" Target="https://www.sec.gov/Archives/edgar/data/1368622/000110465921125869/tm212973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2021-12-08T05:11:17Z</dcterms:created>
  <dcterms:modified xsi:type="dcterms:W3CDTF">2021-12-08T05:11:17Z</dcterms:modified>
</cp:coreProperties>
</file>