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AeroVironment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3,281,474.00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3,367,938.00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3,367,938.00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AeroVironment Inc</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241 18TH STREET SOUTH, SUITE 650 ARLINGTON VA 22202</w:t>
            </w:r>
          </w:p>
        </w:tc>
      </w:tr>
      <w:tr>
        <w:trPr/>
        <w:tc>
          <w:tcPr>
            <w:tcW w:w="1126"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6"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6"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r>
      <w:tr>
        <w:trPr/>
        <w:tc>
          <w:tcPr>
            <w:tcW w:w="1126"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3367938</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3281474</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3367938</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AeroVironment Inc. No one person's interest in the common stock of AeroVironment Inc is more than five percent of the total outstanding common shares.</w:t>
            </w:r>
          </w:p>
        </w:tc>
      </w:tr>
      <w:tr>
        <w:trPr/>
        <w:tc>
          <w:tcPr>
            <w:tcW w:w="1126"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6"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r>
        <w:trPr/>
        <w:tc>
          <w:tcPr>
            <w:tcW w:w="1126"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6934</Characters>
  <CharactersWithSpaces>8158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