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vav-20240127x10q.htm"/>
        <w:bookmarkStart w:id="1" w:name="ksavav20240127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left"/>
        <w:rPr>
          <w:shd w:fill="00FF00" w:val="clear"/>
        </w:rPr>
      </w:pPr>
      <w:r>
        <w:rPr>
          <w:shd w:fill="00FF00" w:val="clea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8cef21ca_3f21_4ffd_a6a5_d761c2fa39ac"/>
      <w:bookmarkEnd w:id="2"/>
      <w:r>
        <w:rPr>
          <w:rFonts w:ascii="Times New Roman;Times;serif" w:hAnsi="Times New Roman;Times;serif"/>
          <w:b/>
          <w:sz w:val="32"/>
        </w:rPr>
        <w:t>UNITED STATES</w:t>
        <w:br/>
        <w:t>SECURITIES AND EXCHANGE COMMISSION</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quarterly period ended January 27, 2024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124"/>
        <w:gridCol w:w="316"/>
        <w:gridCol w:w="9765"/>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0"/>
              <w:jc w:val="left"/>
              <w:rPr/>
            </w:pPr>
            <w:r>
              <w:rPr/>
              <w:t>☐</w:t>
            </w:r>
          </w:p>
        </w:tc>
        <w:tc>
          <w:tcPr>
            <w:tcW w:w="976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pBdr/>
        <w:bidi w:val="0"/>
        <w:spacing w:before="0" w:after="0"/>
        <w:ind w:left="360" w:right="0" w:hanging="36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transition period from           to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001-33261</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AEROVIRONMENT,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sgTLr6xzPUuzttSZ-xqGNg_5_2"/>
      <w:bookmarkStart w:id="4" w:name="Tc_mpIc4Yg1j0Cik-6lOD0msA_5_0"/>
      <w:bookmarkStart w:id="5" w:name="Tc_sgAKOiViN0i5g8jhXlnx6g_4_0"/>
      <w:bookmarkStart w:id="6" w:name="Tc_m-Uk0ocEIEiCeiAyQwMsZA_1_2"/>
      <w:bookmarkStart w:id="7" w:name="Tc_mUwj0uayvEyJHRdwAZJqpQ_1_0"/>
      <w:bookmarkStart w:id="8" w:name="_0da2ba65_ce46_466f_9a7c_fe11cc952954"/>
      <w:bookmarkStart w:id="9" w:name="Tc_sgTLr6xzPUuzttSZ-xqGNg_5_2"/>
      <w:bookmarkStart w:id="10" w:name="Tc_mpIc4Yg1j0Cik-6lOD0msA_5_0"/>
      <w:bookmarkStart w:id="11" w:name="Tc_sgAKOiViN0i5g8jhXlnx6g_4_0"/>
      <w:bookmarkStart w:id="12" w:name="Tc_m-Uk0ocEIEiCeiAyQwMsZA_1_2"/>
      <w:bookmarkStart w:id="13" w:name="Tc_mUwj0uayvEyJHRdwAZJqpQ_1_0"/>
      <w:bookmarkStart w:id="14" w:name="_0da2ba65_ce46_466f_9a7c_fe11cc952954"/>
      <w:bookmarkEnd w:id="9"/>
      <w:bookmarkEnd w:id="10"/>
      <w:bookmarkEnd w:id="11"/>
      <w:bookmarkEnd w:id="12"/>
      <w:bookmarkEnd w:id="13"/>
      <w:bookmarkEnd w:id="14"/>
    </w:p>
    <w:tbl>
      <w:tblPr>
        <w:tblW w:w="7071" w:type="dxa"/>
        <w:jc w:val="left"/>
        <w:tblInd w:w="0" w:type="dxa"/>
        <w:tblLayout w:type="fixed"/>
        <w:tblCellMar>
          <w:top w:w="0" w:type="dxa"/>
          <w:left w:w="0" w:type="dxa"/>
          <w:bottom w:w="0" w:type="dxa"/>
          <w:right w:w="0" w:type="dxa"/>
        </w:tblCellMar>
      </w:tblPr>
      <w:tblGrid>
        <w:gridCol w:w="4291"/>
        <w:gridCol w:w="109"/>
        <w:gridCol w:w="2671"/>
      </w:tblGrid>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95-2705790</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r>
        <w:trPr/>
        <w:tc>
          <w:tcPr>
            <w:tcW w:w="429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pPr>
            <w:r>
              <w:rPr/>
              <w:t>​</w:t>
            </w:r>
          </w:p>
        </w:tc>
      </w:tr>
      <w:tr>
        <w:trPr/>
        <w:tc>
          <w:tcPr>
            <w:tcW w:w="4291" w:type="dxa"/>
            <w:tcBorders/>
            <w:vAlign w:val="center"/>
          </w:tcPr>
          <w:p>
            <w:pPr>
              <w:pStyle w:val="TableContents"/>
              <w:bidi w:val="0"/>
              <w:spacing w:lineRule="auto" w:line="240" w:before="0" w:after="0"/>
              <w:ind w:left="0" w:right="0" w:hanging="0"/>
              <w:jc w:val="center"/>
              <w:rPr>
                <w:rFonts w:ascii="Times New Roman;Times;serif" w:hAnsi="Times New Roman;Times;serif"/>
                <w:sz w:val="20"/>
              </w:rPr>
            </w:pPr>
            <w:r>
              <w:rPr>
                <w:rFonts w:ascii="Times New Roman;Times;serif" w:hAnsi="Times New Roman;Times;serif"/>
                <w:b/>
                <w:sz w:val="16"/>
              </w:rPr>
              <w:t>241 18</w:t>
            </w:r>
            <w:r>
              <w:rPr>
                <w:rFonts w:ascii="Times New Roman;Times;serif" w:hAnsi="Times New Roman;Times;serif"/>
                <w:b/>
                <w:sz w:val="12"/>
              </w:rPr>
              <w:t>th</w:t>
            </w:r>
            <w:r>
              <w:rPr>
                <w:rFonts w:ascii="Times New Roman;Times;serif" w:hAnsi="Times New Roman;Times;serif"/>
                <w:sz w:val="20"/>
              </w:rPr>
              <w:t xml:space="preserve"> </w:t>
            </w:r>
            <w:r>
              <w:rPr>
                <w:rFonts w:ascii="Times New Roman;Times;serif" w:hAnsi="Times New Roman;Times;serif"/>
                <w:b/>
                <w:sz w:val="16"/>
              </w:rPr>
              <w:t>Street South, Suite 415</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pPr>
            <w:r>
              <w:rPr/>
              <w:t>​</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Arlington, Virginia</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b/>
                <w:sz w:val="16"/>
              </w:rPr>
            </w:pPr>
            <w:r>
              <w:rPr>
                <w:rFonts w:ascii="Times New Roman;Times;serif" w:hAnsi="Times New Roman;Times;serif"/>
                <w:b/>
                <w:sz w:val="16"/>
              </w:rPr>
              <w:t>22202</w:t>
            </w:r>
          </w:p>
        </w:tc>
      </w:tr>
      <w:tr>
        <w:trPr/>
        <w:tc>
          <w:tcPr>
            <w:tcW w:w="42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w:t>
            </w:r>
          </w:p>
        </w:tc>
        <w:tc>
          <w:tcPr>
            <w:tcW w:w="109" w:type="dxa"/>
            <w:tcBorders/>
            <w:vAlign w:val="center"/>
          </w:tcPr>
          <w:p>
            <w:pPr>
              <w:pStyle w:val="TableContents"/>
              <w:bidi w:val="0"/>
              <w:spacing w:lineRule="atLeast" w:line="180" w:before="0" w:after="0"/>
              <w:ind w:left="0" w:right="0" w:hanging="0"/>
              <w:jc w:val="left"/>
              <w:rPr/>
            </w:pPr>
            <w:r>
              <w:rPr/>
              <w:t>​</w:t>
            </w:r>
          </w:p>
        </w:tc>
        <w:tc>
          <w:tcPr>
            <w:tcW w:w="267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(Zip Code)</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(805) 520-8350</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Normal"/>
        <w:bidi w:val="0"/>
        <w:spacing w:before="0" w:after="0"/>
        <w:jc w:val="left"/>
        <w:rPr>
          <w:sz w:val="4"/>
          <w:szCs w:val="4"/>
        </w:rPr>
      </w:pPr>
      <w:r>
        <w:rPr>
          <w:sz w:val="4"/>
          <w:szCs w:val="4"/>
        </w:rPr>
      </w:r>
      <w:bookmarkStart w:id="15" w:name="Tc_pwqpsgc4HUiWd5xY4xLbrg_2_3"/>
      <w:bookmarkStart w:id="16" w:name="Tc_bCxieV1W2025TI7XYEI9ig_1_3"/>
      <w:bookmarkStart w:id="17" w:name="Tc_Bo5819p7xEuK_z4KR9MfcA_1_2"/>
      <w:bookmarkStart w:id="18" w:name="Tc_uoj53ZJYjUqctXkZL8NisQ_1_0"/>
      <w:bookmarkStart w:id="19" w:name="_0d8fa6c5_1bd0_42d6_ae6f_ef000b8afd02"/>
      <w:bookmarkStart w:id="20" w:name="Tc_pwqpsgc4HUiWd5xY4xLbrg_2_3"/>
      <w:bookmarkStart w:id="21" w:name="Tc_bCxieV1W2025TI7XYEI9ig_1_3"/>
      <w:bookmarkStart w:id="22" w:name="Tc_Bo5819p7xEuK_z4KR9MfcA_1_2"/>
      <w:bookmarkStart w:id="23" w:name="Tc_uoj53ZJYjUqctXkZL8NisQ_1_0"/>
      <w:bookmarkStart w:id="24" w:name="_0d8fa6c5_1bd0_42d6_ae6f_ef000b8afd02"/>
      <w:bookmarkEnd w:id="20"/>
      <w:bookmarkEnd w:id="21"/>
      <w:bookmarkEnd w:id="22"/>
      <w:bookmarkEnd w:id="23"/>
      <w:bookmarkEnd w:id="24"/>
    </w:p>
    <w:tbl>
      <w:tblPr>
        <w:tblW w:w="6322" w:type="dxa"/>
        <w:jc w:val="left"/>
        <w:tblInd w:w="0" w:type="dxa"/>
        <w:tblLayout w:type="fixed"/>
        <w:tblCellMar>
          <w:top w:w="0" w:type="dxa"/>
          <w:left w:w="0" w:type="dxa"/>
          <w:bottom w:w="0" w:type="dxa"/>
          <w:right w:w="0" w:type="dxa"/>
        </w:tblCellMar>
      </w:tblPr>
      <w:tblGrid>
        <w:gridCol w:w="2731"/>
        <w:gridCol w:w="109"/>
        <w:gridCol w:w="1051"/>
        <w:gridCol w:w="2431"/>
      </w:tblGrid>
      <w:tr>
        <w:trPr/>
        <w:tc>
          <w:tcPr>
            <w:tcW w:w="2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34185" cy="29210"/>
                      <wp:effectExtent l="0" t="0" r="0" b="0"/>
                      <wp:wrapNone/>
                      <wp:docPr id="1" name="Frame1"/>
                      <a:graphic xmlns:a="http://schemas.openxmlformats.org/drawingml/2006/main">
                        <a:graphicData uri="http://schemas.microsoft.com/office/word/2010/wordprocessingShape">
                          <wps:wsp>
                            <wps:cNvSpPr txBox="1"/>
                            <wps:spPr>
                              <a:xfrm>
                                <a:off x="0" y="0"/>
                                <a:ext cx="17341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6.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283"/>
              <w:ind w:left="0" w:right="0" w:hanging="0"/>
              <w:jc w:val="left"/>
              <w:rPr>
                <w:sz w:val="4"/>
                <w:szCs w:val="4"/>
              </w:rPr>
            </w:pPr>
            <w:r>
              <w:rPr>
                <w:sz w:val="4"/>
                <w:szCs w:val="4"/>
              </w:rPr>
            </w:r>
          </w:p>
        </w:tc>
        <w:tc>
          <w:tcPr>
            <w:tcW w:w="2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543685" cy="29210"/>
                      <wp:effectExtent l="0" t="0" r="0" b="0"/>
                      <wp:wrapNone/>
                      <wp:docPr id="2" name="Frame2"/>
                      <a:graphic xmlns:a="http://schemas.openxmlformats.org/drawingml/2006/main">
                        <a:graphicData uri="http://schemas.microsoft.com/office/word/2010/wordprocessingShape">
                          <wps:wsp>
                            <wps:cNvSpPr txBox="1"/>
                            <wps:spPr>
                              <a:xfrm>
                                <a:off x="0" y="0"/>
                                <a:ext cx="1543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3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Title of each class</w:t>
            </w:r>
          </w:p>
        </w:tc>
        <w:tc>
          <w:tcPr>
            <w:tcW w:w="109" w:type="dxa"/>
            <w:tcBorders/>
            <w:vAlign w:val="center"/>
          </w:tcPr>
          <w:p>
            <w:pPr>
              <w:pStyle w:val="TableContents"/>
              <w:bidi w:val="0"/>
              <w:spacing w:before="0" w:after="0"/>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Trading Symbol(s)</w:t>
            </w:r>
          </w:p>
        </w:tc>
        <w:tc>
          <w:tcPr>
            <w:tcW w:w="24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Name of each exchange on which registered</w:t>
            </w:r>
          </w:p>
        </w:tc>
      </w:tr>
      <w:tr>
        <w:trPr/>
        <w:tc>
          <w:tcPr>
            <w:tcW w:w="2731" w:type="dxa"/>
            <w:tcBorders>
              <w:top w:val="single" w:sz="2" w:space="0" w:color="000000"/>
            </w:tcBorders>
            <w:tcMar>
              <w:top w:w="28" w:type="dxa"/>
            </w:tcMar>
            <w:vAlign w:val="center"/>
          </w:tcPr>
          <w:p>
            <w:pPr>
              <w:pStyle w:val="TableContents"/>
              <w:pBdr/>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 par value $0.0001 per share</w:t>
            </w:r>
          </w:p>
        </w:tc>
        <w:tc>
          <w:tcPr>
            <w:tcW w:w="109" w:type="dxa"/>
            <w:tcBorders/>
            <w:vAlign w:val="center"/>
          </w:tcPr>
          <w:p>
            <w:pPr>
              <w:pStyle w:val="TableContents"/>
              <w:bidi w:val="0"/>
              <w:spacing w:before="0" w:after="0"/>
              <w:ind w:left="0" w:right="0" w:hanging="0"/>
              <w:jc w:val="center"/>
              <w:rPr/>
            </w:pPr>
            <w:r>
              <w:rPr/>
              <w:t>​</w:t>
            </w:r>
          </w:p>
        </w:tc>
        <w:tc>
          <w:tcPr>
            <w:tcW w:w="105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AVAV</w:t>
            </w:r>
          </w:p>
        </w:tc>
        <w:tc>
          <w:tcPr>
            <w:tcW w:w="243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14"/>
              </w:rPr>
              <w:t>The NASDAQ</w:t>
            </w:r>
            <w:r>
              <w:rPr>
                <w:rFonts w:ascii="Times New Roman;Times;serif" w:hAnsi="Times New Roman;Times;serif"/>
                <w:sz w:val="20"/>
              </w:rPr>
              <w:t xml:space="preserve"> </w:t>
            </w:r>
            <w:r>
              <w:rPr>
                <w:rFonts w:ascii="Times New Roman;Times;serif" w:hAnsi="Times New Roman;Times;serif"/>
                <w:b/>
                <w:sz w:val="14"/>
              </w:rPr>
              <w:t>Stock Market LLC</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296" w:type="dxa"/>
        <w:jc w:val="left"/>
        <w:tblInd w:w="0" w:type="dxa"/>
        <w:tblLayout w:type="fixed"/>
        <w:tblCellMar>
          <w:top w:w="0" w:type="dxa"/>
          <w:left w:w="0" w:type="dxa"/>
          <w:bottom w:w="0" w:type="dxa"/>
          <w:right w:w="0" w:type="dxa"/>
        </w:tblCellMar>
      </w:tblPr>
      <w:tblGrid>
        <w:gridCol w:w="1891"/>
        <w:gridCol w:w="109"/>
        <w:gridCol w:w="2296"/>
      </w:tblGrid>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175260"/>
                      <wp:effectExtent l="0" t="0" r="0" b="0"/>
                      <wp:wrapNone/>
                      <wp:docPr id="3" name="Frame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96"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Large accelerated filer</w:t>
            </w:r>
            <w:r>
              <w:rPr>
                <w:rFonts w:ascii="Times New Roman;Times;serif" w:hAnsi="Times New Roman;Times;serif"/>
                <w:sz w:val="20"/>
              </w:rPr>
              <w:t xml:space="preserve"> ☒</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Accelerated filer ☐</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pPr>
            <w:r>
              <w:rPr/>
              <w:t>​</w:t>
            </w:r>
          </w:p>
        </w:tc>
      </w:tr>
      <w:tr>
        <w:trPr/>
        <w:tc>
          <w:tcPr>
            <w:tcW w:w="1891" w:type="dxa"/>
            <w:tcBorders/>
            <w:vAlign w:val="center"/>
          </w:tcPr>
          <w:p>
            <w:pPr>
              <w:pStyle w:val="TableContents"/>
              <w:bidi w:val="0"/>
              <w:spacing w:lineRule="atLeast" w:line="180" w:before="0" w:after="0"/>
              <w:ind w:left="0" w:right="0" w:hanging="0"/>
              <w:jc w:val="center"/>
              <w:rPr>
                <w:rFonts w:ascii="Times New Roman;Times;serif" w:hAnsi="Times New Roman;Times;serif"/>
                <w:sz w:val="16"/>
              </w:rPr>
            </w:pPr>
            <w:r>
              <w:rPr>
                <w:rFonts w:ascii="Times New Roman;Times;serif" w:hAnsi="Times New Roman;Times;serif"/>
                <w:sz w:val="16"/>
              </w:rPr>
              <w:t>Non-accelerated filer ☐</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 xml:space="preserve">Smaller reporting company </w:t>
            </w:r>
            <w:r>
              <w:rPr>
                <w:rFonts w:ascii="Times New Roman;Times;serif" w:hAnsi="Times New Roman;Times;serif"/>
                <w:sz w:val="20"/>
              </w:rPr>
              <w:t>☐</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pPr>
            <w:r>
              <w:rPr/>
              <w:t>​</w:t>
            </w:r>
          </w:p>
        </w:tc>
      </w:tr>
      <w:tr>
        <w:trPr/>
        <w:tc>
          <w:tcPr>
            <w:tcW w:w="1891" w:type="dxa"/>
            <w:tcBorders/>
            <w:vAlign w:val="center"/>
          </w:tcPr>
          <w:p>
            <w:pPr>
              <w:pStyle w:val="TableContents"/>
              <w:bidi w:val="0"/>
              <w:spacing w:lineRule="atLeast" w:line="180" w:before="0" w:after="0"/>
              <w:ind w:left="0" w:right="0" w:hanging="0"/>
              <w:jc w:val="center"/>
              <w:rPr/>
            </w:pPr>
            <w:r>
              <w:rPr/>
              <w:t>​</w:t>
            </w:r>
          </w:p>
        </w:tc>
        <w:tc>
          <w:tcPr>
            <w:tcW w:w="109" w:type="dxa"/>
            <w:tcBorders/>
            <w:vAlign w:val="center"/>
          </w:tcPr>
          <w:p>
            <w:pPr>
              <w:pStyle w:val="TableContents"/>
              <w:bidi w:val="0"/>
              <w:spacing w:lineRule="atLeast" w:line="180" w:before="0" w:after="0"/>
              <w:ind w:left="0" w:right="0" w:hanging="0"/>
              <w:jc w:val="left"/>
              <w:rPr/>
            </w:pPr>
            <w:r>
              <w:rPr/>
              <w:t>​</w:t>
            </w:r>
          </w:p>
        </w:tc>
        <w:tc>
          <w:tcPr>
            <w:tcW w:w="2296" w:type="dxa"/>
            <w:tcBorders/>
            <w:vAlign w:val="center"/>
          </w:tcPr>
          <w:p>
            <w:pPr>
              <w:pStyle w:val="TableContents"/>
              <w:bidi w:val="0"/>
              <w:spacing w:lineRule="atLeast" w:line="180" w:before="0" w:after="0"/>
              <w:ind w:left="0" w:right="0" w:hanging="0"/>
              <w:jc w:val="center"/>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firstLine="360"/>
        <w:jc w:val="left"/>
        <w:rPr/>
      </w:pPr>
      <w:r>
        <w:rPr/>
        <w:t>​</w:t>
      </w:r>
    </w:p>
    <w:p>
      <w:pPr>
        <w:pStyle w:val="TextBody"/>
        <w:bidi w:val="0"/>
        <w:spacing w:before="0" w:after="0"/>
        <w:ind w:left="0" w:right="0" w:firstLine="360"/>
        <w:jc w:val="left"/>
        <w:rPr>
          <w:rFonts w:ascii="Times New Roman;Times;serif" w:hAnsi="Times New Roman;Times;serif"/>
          <w:sz w:val="16"/>
        </w:rPr>
      </w:pPr>
      <w:r>
        <w:rPr>
          <w:rFonts w:ascii="Times New Roman;Times;serif" w:hAnsi="Times New Roman;Times;serif"/>
          <w:sz w:val="16"/>
        </w:rPr>
        <w:t>As of February 28, 2024, the number of shares outstanding of the registrant’s common stock, $0.0001 par value, was 28,135,734.</w:t>
      </w:r>
    </w:p>
    <w:p>
      <w:pPr>
        <w:pStyle w:val="TextBody"/>
        <w:bidi w:val="0"/>
        <w:spacing w:before="0" w:after="0"/>
        <w:ind w:left="0" w:right="0" w:firstLine="360"/>
        <w:jc w:val="left"/>
        <w:rPr/>
      </w:pPr>
      <w:r>
        <w:rPr/>
        <w:t>​</w:t>
      </w:r>
    </w:p>
    <w:p>
      <w:pPr>
        <w:pStyle w:val="TextBody"/>
        <w:pBdr>
          <w:top w:val="single" w:sz="8" w:space="1" w:color="000000"/>
          <w:bottom w:val="single" w:sz="24" w:space="1" w:color="000000"/>
        </w:pBdr>
        <w:bidi w:val="0"/>
        <w:spacing w:before="0" w:after="0"/>
        <w:ind w:left="0" w:right="0" w:firstLine="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 w:name="_cfefb8dd_0308_43f5_8568_a1cab60ea44f"/>
      <w:bookmarkEnd w:id="25"/>
      <w:r>
        <w:rPr>
          <w:rFonts w:ascii="Times New Roman;Times;serif" w:hAnsi="Times New Roman;Times;serif"/>
          <w:b/>
          <w:sz w:val="20"/>
        </w:rPr>
        <w:t>AeroVironment, Inc.</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6" w:name="Toc"/>
      <w:bookmarkEnd w:id="26"/>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75"/>
        <w:gridCol w:w="8842"/>
        <w:gridCol w:w="326"/>
        <w:gridCol w:w="362"/>
      </w:tblGrid>
      <w:tr>
        <w:trPr/>
        <w:tc>
          <w:tcPr>
            <w:tcW w:w="675" w:type="dxa"/>
            <w:tcBorders/>
            <w:vAlign w:val="center"/>
          </w:tcPr>
          <w:p>
            <w:pPr>
              <w:pStyle w:val="TableContents"/>
              <w:bidi w:val="0"/>
              <w:spacing w:lineRule="auto" w:line="328" w:before="0" w:after="0"/>
              <w:ind w:left="0" w:right="0" w:hanging="0"/>
              <w:jc w:val="left"/>
              <w:rPr/>
            </w:pPr>
            <w:hyperlink w:anchor="ITEM1FINANCIALSTATEMENTS_601539">
              <w:r>
                <w:rPr>
                  <w:rStyle w:val="InternetLink"/>
                  <w:rFonts w:ascii="Times New Roman;Times;serif" w:hAnsi="Times New Roman;Times;serif"/>
                  <w:b w:val="false"/>
                  <w:i w:val="false"/>
                  <w:caps w:val="false"/>
                  <w:smallCaps w:val="false"/>
                  <w:sz w:val="20"/>
                </w:rPr>
                <w:t>Item 1.</w:t>
              </w:r>
            </w:hyperlink>
          </w:p>
        </w:tc>
        <w:tc>
          <w:tcPr>
            <w:tcW w:w="8842" w:type="dxa"/>
            <w:tcBorders/>
            <w:vAlign w:val="center"/>
          </w:tcPr>
          <w:p>
            <w:pPr>
              <w:pStyle w:val="TableContents"/>
              <w:bidi w:val="0"/>
              <w:spacing w:lineRule="auto" w:line="328" w:before="0" w:after="0"/>
              <w:ind w:left="0" w:right="0" w:hanging="0"/>
              <w:jc w:val="left"/>
              <w:rPr/>
            </w:pPr>
            <w:hyperlink w:anchor="ITEM1FINANCIALSTATEMENTS_601539">
              <w:r>
                <w:rPr>
                  <w:rStyle w:val="InternetLink"/>
                  <w:rFonts w:ascii="Times New Roman;Times;serif" w:hAnsi="Times New Roman;Times;serif"/>
                  <w:b w:val="false"/>
                  <w:i w:val="false"/>
                  <w:caps w:val="false"/>
                  <w:smallCaps w:val="false"/>
                  <w:sz w:val="20"/>
                </w:rPr>
                <w:t>Financial Statements</w:t>
              </w:r>
            </w:hyperlink>
            <w:hyperlink w:anchor="ITEM1FINANCIALSTATEMENTS_601539">
              <w:r>
                <w:rPr>
                  <w:rStyle w:val="InternetLink"/>
                  <w:rFonts w:ascii="Times New Roman;Times;serif" w:hAnsi="Times New Roman;Times;serif"/>
                  <w:caps w:val="false"/>
                  <w:smallCaps w:val="false"/>
                  <w:sz w:val="20"/>
                </w:rPr>
                <w:t> </w:t>
              </w:r>
            </w:hyperlink>
            <w:hyperlink w:anchor="ITEM1FINANCIALSTATEMENTS_601539">
              <w:r>
                <w:rPr>
                  <w:rStyle w:val="InternetLink"/>
                  <w:rFonts w:ascii="Times New Roman;Times;serif" w:hAnsi="Times New Roman;Times;serif"/>
                  <w:b w:val="false"/>
                  <w:i w:val="false"/>
                  <w:caps w:val="false"/>
                  <w:smallCaps w:val="false"/>
                  <w:sz w:val="20"/>
                </w:rPr>
                <w:t>:</w:t>
              </w:r>
            </w:hyperlink>
          </w:p>
        </w:tc>
        <w:tc>
          <w:tcPr>
            <w:tcW w:w="326" w:type="dxa"/>
            <w:tcBorders/>
            <w:vAlign w:val="center"/>
          </w:tcPr>
          <w:p>
            <w:pPr>
              <w:pStyle w:val="TableContents"/>
              <w:bidi w:val="0"/>
              <w:spacing w:lineRule="auto" w:line="328" w:before="0" w:after="0"/>
              <w:ind w:left="0" w:right="0" w:hanging="0"/>
              <w:jc w:val="left"/>
              <w:rPr/>
            </w:pPr>
            <w:r>
              <w:rPr/>
              <w:t>    </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75" w:type="dxa"/>
            <w:tcBorders/>
            <w:vAlign w:val="center"/>
          </w:tcPr>
          <w:p>
            <w:pPr>
              <w:pStyle w:val="TableContents"/>
              <w:bidi w:val="0"/>
              <w:spacing w:lineRule="auto" w:line="328" w:before="0" w:after="0"/>
              <w:ind w:left="0" w:right="0" w:hanging="0"/>
              <w:jc w:val="left"/>
              <w:rPr/>
            </w:pPr>
            <w:r>
              <w:rPr/>
              <w:t>​</w:t>
            </w:r>
          </w:p>
        </w:tc>
        <w:tc>
          <w:tcPr>
            <w:tcW w:w="8842" w:type="dxa"/>
            <w:tcBorders/>
            <w:vAlign w:val="center"/>
          </w:tcPr>
          <w:p>
            <w:pPr>
              <w:pStyle w:val="TableContents"/>
              <w:pBdr/>
              <w:bidi w:val="0"/>
              <w:spacing w:lineRule="auto" w:line="328" w:before="0" w:after="0"/>
              <w:ind w:left="0" w:right="0" w:hanging="0"/>
              <w:jc w:val="left"/>
              <w:rPr/>
            </w:pPr>
            <w:hyperlink w:anchor="BalanceSheets_59163">
              <w:r>
                <w:rPr>
                  <w:rStyle w:val="InternetLink"/>
                  <w:rFonts w:ascii="Times New Roman;Times;serif" w:hAnsi="Times New Roman;Times;serif"/>
                  <w:b w:val="false"/>
                  <w:i w:val="false"/>
                  <w:caps w:val="false"/>
                  <w:smallCaps w:val="false"/>
                  <w:sz w:val="20"/>
                </w:rPr>
                <w:t>Condensed Consolidated Balance Sheets as of January 27, 2024 (Unaudited) and April 30, 2023</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675" w:type="dxa"/>
            <w:tcBorders/>
            <w:vAlign w:val="center"/>
          </w:tcPr>
          <w:p>
            <w:pPr>
              <w:pStyle w:val="TableContents"/>
              <w:bidi w:val="0"/>
              <w:spacing w:lineRule="auto" w:line="328" w:before="0" w:after="0"/>
              <w:ind w:left="0" w:right="0" w:hanging="0"/>
              <w:jc w:val="left"/>
              <w:rPr/>
            </w:pPr>
            <w:r>
              <w:rPr/>
              <w:t>​</w:t>
            </w:r>
          </w:p>
        </w:tc>
        <w:tc>
          <w:tcPr>
            <w:tcW w:w="8842" w:type="dxa"/>
            <w:tcBorders/>
            <w:vAlign w:val="center"/>
          </w:tcPr>
          <w:p>
            <w:pPr>
              <w:pStyle w:val="TableContents"/>
              <w:pBdr/>
              <w:bidi w:val="0"/>
              <w:spacing w:lineRule="auto" w:line="328" w:before="0" w:after="0"/>
              <w:ind w:left="0" w:right="0" w:hanging="0"/>
              <w:jc w:val="left"/>
              <w:rPr/>
            </w:pPr>
            <w:hyperlink w:anchor="StatementsofOperations_883541">
              <w:r>
                <w:rPr>
                  <w:rStyle w:val="InternetLink"/>
                  <w:rFonts w:ascii="Times New Roman;Times;serif" w:hAnsi="Times New Roman;Times;serif"/>
                  <w:b w:val="false"/>
                  <w:i w:val="false"/>
                  <w:caps w:val="false"/>
                  <w:smallCaps w:val="false"/>
                  <w:sz w:val="20"/>
                </w:rPr>
                <w:t>Condensed Consolidated Statements of Operations for the three and nine months ended January 27, 2024 (Unaudited) and January 28, 2023 (Unaudited)</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675" w:type="dxa"/>
            <w:tcBorders/>
            <w:vAlign w:val="center"/>
          </w:tcPr>
          <w:p>
            <w:pPr>
              <w:pStyle w:val="TableContents"/>
              <w:bidi w:val="0"/>
              <w:spacing w:lineRule="auto" w:line="328" w:before="0" w:after="0"/>
              <w:ind w:left="0" w:right="0" w:hanging="0"/>
              <w:jc w:val="left"/>
              <w:rPr/>
            </w:pPr>
            <w:r>
              <w:rPr/>
              <w:t>​</w:t>
            </w:r>
          </w:p>
        </w:tc>
        <w:tc>
          <w:tcPr>
            <w:tcW w:w="8842" w:type="dxa"/>
            <w:tcBorders/>
            <w:vAlign w:val="center"/>
          </w:tcPr>
          <w:p>
            <w:pPr>
              <w:pStyle w:val="TableContents"/>
              <w:pBdr/>
              <w:bidi w:val="0"/>
              <w:spacing w:lineRule="auto" w:line="328" w:before="0" w:after="0"/>
              <w:ind w:left="0" w:right="0" w:hanging="0"/>
              <w:jc w:val="left"/>
              <w:rPr/>
            </w:pPr>
            <w:hyperlink w:anchor="ConsolidatedStatementsofComprehensiveInc">
              <w:r>
                <w:rPr>
                  <w:rStyle w:val="InternetLink"/>
                  <w:rFonts w:ascii="Times New Roman;Times;serif" w:hAnsi="Times New Roman;Times;serif"/>
                  <w:b w:val="false"/>
                  <w:i w:val="false"/>
                  <w:caps w:val="false"/>
                  <w:smallCaps w:val="false"/>
                  <w:sz w:val="20"/>
                </w:rPr>
                <w:t>Condensed Consolidated Statements of Comprehensive Income (Loss) for the three and nine months ended January 27, 2024 (Unaudited) and January 28, 2023 (Unaudited)</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675" w:type="dxa"/>
            <w:tcBorders/>
            <w:vAlign w:val="center"/>
          </w:tcPr>
          <w:p>
            <w:pPr>
              <w:pStyle w:val="TableContents"/>
              <w:bidi w:val="0"/>
              <w:spacing w:lineRule="auto" w:line="328" w:before="0" w:after="0"/>
              <w:ind w:left="0" w:right="0" w:hanging="0"/>
              <w:jc w:val="left"/>
              <w:rPr/>
            </w:pPr>
            <w:r>
              <w:rPr/>
              <w:t>​</w:t>
            </w:r>
          </w:p>
        </w:tc>
        <w:tc>
          <w:tcPr>
            <w:tcW w:w="8842" w:type="dxa"/>
            <w:tcBorders/>
            <w:vAlign w:val="center"/>
          </w:tcPr>
          <w:p>
            <w:pPr>
              <w:pStyle w:val="TableContents"/>
              <w:pBdr/>
              <w:bidi w:val="0"/>
              <w:spacing w:lineRule="auto" w:line="328"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for the three and nine months ended January 27, 2024 (Unaudited) and January 28, 2023 (Unaudited)</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675" w:type="dxa"/>
            <w:tcBorders/>
            <w:vAlign w:val="center"/>
          </w:tcPr>
          <w:p>
            <w:pPr>
              <w:pStyle w:val="TableContents"/>
              <w:bidi w:val="0"/>
              <w:spacing w:lineRule="auto" w:line="328" w:before="0" w:after="0"/>
              <w:ind w:left="0" w:right="0" w:hanging="0"/>
              <w:jc w:val="left"/>
              <w:rPr/>
            </w:pPr>
            <w:r>
              <w:rPr/>
              <w:t>​</w:t>
            </w:r>
          </w:p>
        </w:tc>
        <w:tc>
          <w:tcPr>
            <w:tcW w:w="8842" w:type="dxa"/>
            <w:tcBorders/>
            <w:vAlign w:val="center"/>
          </w:tcPr>
          <w:p>
            <w:pPr>
              <w:pStyle w:val="TableContents"/>
              <w:pBdr/>
              <w:bidi w:val="0"/>
              <w:spacing w:lineRule="auto" w:line="328" w:before="0" w:after="0"/>
              <w:ind w:left="0" w:right="0" w:hanging="0"/>
              <w:jc w:val="left"/>
              <w:rPr/>
            </w:pPr>
            <w:hyperlink w:anchor="CashFlows_999318">
              <w:r>
                <w:rPr>
                  <w:rStyle w:val="InternetLink"/>
                  <w:rFonts w:ascii="Times New Roman;Times;serif" w:hAnsi="Times New Roman;Times;serif"/>
                  <w:b w:val="false"/>
                  <w:i w:val="false"/>
                  <w:caps w:val="false"/>
                  <w:smallCaps w:val="false"/>
                  <w:sz w:val="20"/>
                </w:rPr>
                <w:t>Condensed Consolidated Statements of Cash Flows for the nine months ended January 27, 2024 (Unaudited) and January 28, 2023 (Unaudited)</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675" w:type="dxa"/>
            <w:tcBorders/>
            <w:vAlign w:val="center"/>
          </w:tcPr>
          <w:p>
            <w:pPr>
              <w:pStyle w:val="TableContents"/>
              <w:bidi w:val="0"/>
              <w:spacing w:lineRule="auto" w:line="328" w:before="0" w:after="0"/>
              <w:ind w:left="0" w:right="0" w:hanging="0"/>
              <w:jc w:val="left"/>
              <w:rPr/>
            </w:pPr>
            <w:r>
              <w:rPr/>
              <w:t>​</w:t>
            </w:r>
          </w:p>
        </w:tc>
        <w:tc>
          <w:tcPr>
            <w:tcW w:w="8842" w:type="dxa"/>
            <w:tcBorders/>
            <w:vAlign w:val="center"/>
          </w:tcPr>
          <w:p>
            <w:pPr>
              <w:pStyle w:val="TableContents"/>
              <w:bidi w:val="0"/>
              <w:spacing w:lineRule="auto" w:line="328" w:before="0" w:after="0"/>
              <w:ind w:left="0" w:right="0" w:hanging="0"/>
              <w:jc w:val="left"/>
              <w:rPr/>
            </w:pPr>
            <w:hyperlink w:anchor="NotestoConsolidatedFinancial_915262">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675" w:type="dxa"/>
            <w:tcBorders/>
            <w:vAlign w:val="center"/>
          </w:tcPr>
          <w:p>
            <w:pPr>
              <w:pStyle w:val="TableContents"/>
              <w:bidi w:val="0"/>
              <w:spacing w:lineRule="auto" w:line="328" w:before="0" w:after="0"/>
              <w:ind w:left="0" w:right="0" w:hanging="0"/>
              <w:jc w:val="left"/>
              <w:rPr/>
            </w:pPr>
            <w:hyperlink w:anchor="ITEM2_MANAGEMENTSDISCUSSIONANDAN_021218">
              <w:r>
                <w:rPr>
                  <w:rStyle w:val="InternetLink"/>
                  <w:rFonts w:ascii="Times New Roman;Times;serif" w:hAnsi="Times New Roman;Times;serif"/>
                  <w:b w:val="false"/>
                  <w:i w:val="false"/>
                  <w:caps w:val="false"/>
                  <w:smallCaps w:val="false"/>
                  <w:sz w:val="20"/>
                </w:rPr>
                <w:t>Item 2.</w:t>
              </w:r>
            </w:hyperlink>
          </w:p>
        </w:tc>
        <w:tc>
          <w:tcPr>
            <w:tcW w:w="8842" w:type="dxa"/>
            <w:tcBorders/>
            <w:vAlign w:val="center"/>
          </w:tcPr>
          <w:p>
            <w:pPr>
              <w:pStyle w:val="TableContents"/>
              <w:bidi w:val="0"/>
              <w:spacing w:lineRule="auto" w:line="328" w:before="0" w:after="0"/>
              <w:ind w:left="0" w:right="0" w:hanging="0"/>
              <w:jc w:val="left"/>
              <w:rPr/>
            </w:pPr>
            <w:hyperlink w:anchor="ITEM2_MANAGEMENTSDISCUSSIONANDAN_021218">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675" w:type="dxa"/>
            <w:tcBorders/>
            <w:vAlign w:val="center"/>
          </w:tcPr>
          <w:p>
            <w:pPr>
              <w:pStyle w:val="TableContents"/>
              <w:bidi w:val="0"/>
              <w:spacing w:lineRule="auto" w:line="328" w:before="0" w:after="0"/>
              <w:ind w:left="0" w:right="0" w:hanging="0"/>
              <w:jc w:val="left"/>
              <w:rPr/>
            </w:pPr>
            <w:hyperlink w:anchor="ITEM3_QUANTITATIVEANDQUALITATIVE_021302">
              <w:r>
                <w:rPr>
                  <w:rStyle w:val="InternetLink"/>
                  <w:rFonts w:ascii="Times New Roman;Times;serif" w:hAnsi="Times New Roman;Times;serif"/>
                  <w:b w:val="false"/>
                  <w:i w:val="false"/>
                  <w:caps w:val="false"/>
                  <w:smallCaps w:val="false"/>
                  <w:sz w:val="20"/>
                </w:rPr>
                <w:t>Item 3.</w:t>
              </w:r>
            </w:hyperlink>
          </w:p>
        </w:tc>
        <w:tc>
          <w:tcPr>
            <w:tcW w:w="8842" w:type="dxa"/>
            <w:tcBorders/>
            <w:vAlign w:val="center"/>
          </w:tcPr>
          <w:p>
            <w:pPr>
              <w:pStyle w:val="TableContents"/>
              <w:bidi w:val="0"/>
              <w:spacing w:lineRule="auto" w:line="328" w:before="0" w:after="0"/>
              <w:ind w:left="0" w:right="0" w:hanging="0"/>
              <w:jc w:val="left"/>
              <w:rPr/>
            </w:pPr>
            <w:hyperlink w:anchor="ITEM3_QUANTITATIVEANDQUALITATIVE_021302">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75" w:type="dxa"/>
            <w:tcBorders/>
            <w:vAlign w:val="center"/>
          </w:tcPr>
          <w:p>
            <w:pPr>
              <w:pStyle w:val="TableContents"/>
              <w:bidi w:val="0"/>
              <w:spacing w:lineRule="auto" w:line="328" w:before="0" w:after="0"/>
              <w:ind w:left="0" w:right="0" w:hanging="0"/>
              <w:jc w:val="left"/>
              <w:rPr/>
            </w:pPr>
            <w:hyperlink w:anchor="ITEM4CONTROLSANDPROCEDURES_613247">
              <w:r>
                <w:rPr>
                  <w:rStyle w:val="InternetLink"/>
                  <w:rFonts w:ascii="Times New Roman;Times;serif" w:hAnsi="Times New Roman;Times;serif"/>
                  <w:b w:val="false"/>
                  <w:i w:val="false"/>
                  <w:caps w:val="false"/>
                  <w:smallCaps w:val="false"/>
                  <w:sz w:val="20"/>
                </w:rPr>
                <w:t>Item 4.</w:t>
              </w:r>
            </w:hyperlink>
          </w:p>
        </w:tc>
        <w:tc>
          <w:tcPr>
            <w:tcW w:w="8842" w:type="dxa"/>
            <w:tcBorders/>
            <w:vAlign w:val="center"/>
          </w:tcPr>
          <w:p>
            <w:pPr>
              <w:pStyle w:val="TableContents"/>
              <w:bidi w:val="0"/>
              <w:spacing w:lineRule="auto" w:line="328" w:before="0" w:after="0"/>
              <w:ind w:left="0" w:right="0" w:hanging="0"/>
              <w:jc w:val="left"/>
              <w:rPr/>
            </w:pPr>
            <w:hyperlink w:anchor="ITEM4_CONTROLSANDPROCEDURES_021320">
              <w:r>
                <w:rPr>
                  <w:rStyle w:val="InternetLink"/>
                  <w:rFonts w:ascii="Times New Roman;Times;serif" w:hAnsi="Times New Roman;Times;serif"/>
                  <w:b w:val="false"/>
                  <w:i w:val="false"/>
                  <w:caps w:val="false"/>
                  <w:smallCaps w:val="false"/>
                  <w:sz w:val="20"/>
                </w:rPr>
                <w:t>Controls and Procedures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675" w:type="dxa"/>
            <w:tcBorders/>
            <w:vAlign w:val="center"/>
          </w:tcPr>
          <w:p>
            <w:pPr>
              <w:pStyle w:val="TableContents"/>
              <w:bidi w:val="0"/>
              <w:spacing w:lineRule="auto" w:line="328" w:before="0" w:after="0"/>
              <w:ind w:left="0" w:right="0" w:hanging="0"/>
              <w:jc w:val="left"/>
              <w:rPr/>
            </w:pPr>
            <w:r>
              <w:rPr/>
              <w:t>​</w:t>
            </w:r>
          </w:p>
        </w:tc>
        <w:tc>
          <w:tcPr>
            <w:tcW w:w="8842" w:type="dxa"/>
            <w:tcBorders/>
            <w:vAlign w:val="center"/>
          </w:tcPr>
          <w:p>
            <w:pPr>
              <w:pStyle w:val="TableContents"/>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9517" w:type="dxa"/>
            <w:gridSpan w:val="2"/>
            <w:tcBorders/>
            <w:vAlign w:val="center"/>
          </w:tcPr>
          <w:p>
            <w:pPr>
              <w:pStyle w:val="TableContents"/>
              <w:bidi w:val="0"/>
              <w:spacing w:lineRule="auto" w:line="328" w:before="0" w:after="0"/>
              <w:ind w:left="0" w:right="0" w:hanging="0"/>
              <w:jc w:val="left"/>
              <w:rPr/>
            </w:pPr>
            <w:hyperlink w:anchor="PARTIIOTHERINFORMATION_857105">
              <w:r>
                <w:rPr>
                  <w:rStyle w:val="InternetLink"/>
                  <w:rFonts w:ascii="Times New Roman;Times;serif" w:hAnsi="Times New Roman;Times;serif"/>
                  <w:b/>
                  <w:i w:val="false"/>
                  <w:caps w:val="false"/>
                  <w:smallCaps w:val="false"/>
                  <w:sz w:val="20"/>
                </w:rPr>
                <w:t>PART II. OTHER INFORMATION</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75" w:type="dxa"/>
            <w:tcBorders/>
            <w:vAlign w:val="center"/>
          </w:tcPr>
          <w:p>
            <w:pPr>
              <w:pStyle w:val="TableContents"/>
              <w:bidi w:val="0"/>
              <w:spacing w:lineRule="auto" w:line="328" w:before="0" w:after="0"/>
              <w:ind w:left="0" w:right="0" w:hanging="0"/>
              <w:jc w:val="left"/>
              <w:rPr/>
            </w:pPr>
            <w:r>
              <w:rPr/>
              <w:t>​</w:t>
            </w:r>
          </w:p>
        </w:tc>
        <w:tc>
          <w:tcPr>
            <w:tcW w:w="8842" w:type="dxa"/>
            <w:tcBorders/>
            <w:vAlign w:val="center"/>
          </w:tcPr>
          <w:p>
            <w:pPr>
              <w:pStyle w:val="TableContents"/>
              <w:bidi w:val="0"/>
              <w:spacing w:lineRule="auto" w:line="328" w:before="0" w:after="0"/>
              <w:ind w:left="0" w:right="0" w:hanging="0"/>
              <w:jc w:val="left"/>
              <w:rPr/>
            </w:pPr>
            <w:r>
              <w:rPr/>
              <w:t>​</w:t>
            </w:r>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pPr>
            <w:r>
              <w:rPr/>
              <w:t>​</w:t>
            </w:r>
          </w:p>
        </w:tc>
      </w:tr>
      <w:tr>
        <w:trPr/>
        <w:tc>
          <w:tcPr>
            <w:tcW w:w="675" w:type="dxa"/>
            <w:tcBorders/>
            <w:vAlign w:val="center"/>
          </w:tcPr>
          <w:p>
            <w:pPr>
              <w:pStyle w:val="TableContents"/>
              <w:bidi w:val="0"/>
              <w:spacing w:lineRule="auto" w:line="328" w:before="0" w:after="0"/>
              <w:ind w:left="0" w:right="0" w:hanging="0"/>
              <w:jc w:val="left"/>
              <w:rPr/>
            </w:pPr>
            <w:hyperlink w:anchor="ITEM1_LEGALPROCEEDINGS_030840">
              <w:r>
                <w:rPr>
                  <w:rStyle w:val="InternetLink"/>
                  <w:rFonts w:ascii="Times New Roman;Times;serif" w:hAnsi="Times New Roman;Times;serif"/>
                  <w:b w:val="false"/>
                  <w:i w:val="false"/>
                  <w:caps w:val="false"/>
                  <w:smallCaps w:val="false"/>
                  <w:sz w:val="20"/>
                </w:rPr>
                <w:t>Item 1.</w:t>
              </w:r>
            </w:hyperlink>
          </w:p>
        </w:tc>
        <w:tc>
          <w:tcPr>
            <w:tcW w:w="8842" w:type="dxa"/>
            <w:tcBorders/>
            <w:vAlign w:val="center"/>
          </w:tcPr>
          <w:p>
            <w:pPr>
              <w:pStyle w:val="TableContents"/>
              <w:bidi w:val="0"/>
              <w:spacing w:lineRule="auto" w:line="328" w:before="0" w:after="0"/>
              <w:ind w:left="0" w:right="0" w:hanging="0"/>
              <w:jc w:val="left"/>
              <w:rPr/>
            </w:pPr>
            <w:hyperlink w:anchor="ITEM1_LEGALPROCEEDINGS_030840">
              <w:r>
                <w:rPr>
                  <w:rStyle w:val="InternetLink"/>
                  <w:rFonts w:ascii="Times New Roman;Times;serif" w:hAnsi="Times New Roman;Times;serif"/>
                  <w:b w:val="false"/>
                  <w:i w:val="false"/>
                  <w:caps w:val="false"/>
                  <w:smallCaps w:val="false"/>
                  <w:sz w:val="20"/>
                </w:rPr>
                <w:t>Legal Proceedings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75" w:type="dxa"/>
            <w:tcBorders/>
            <w:vAlign w:val="center"/>
          </w:tcPr>
          <w:p>
            <w:pPr>
              <w:pStyle w:val="TableContents"/>
              <w:bidi w:val="0"/>
              <w:spacing w:lineRule="auto" w:line="328" w:before="0" w:after="0"/>
              <w:ind w:left="0" w:right="0" w:hanging="0"/>
              <w:jc w:val="left"/>
              <w:rPr/>
            </w:pPr>
            <w:hyperlink w:anchor="ITEM1A_RISKFACTORS_030841">
              <w:r>
                <w:rPr>
                  <w:rStyle w:val="InternetLink"/>
                  <w:rFonts w:ascii="Times New Roman;Times;serif" w:hAnsi="Times New Roman;Times;serif"/>
                  <w:b w:val="false"/>
                  <w:i w:val="false"/>
                  <w:caps w:val="false"/>
                  <w:smallCaps w:val="false"/>
                  <w:sz w:val="20"/>
                </w:rPr>
                <w:t>Item 1A.</w:t>
              </w:r>
            </w:hyperlink>
          </w:p>
        </w:tc>
        <w:tc>
          <w:tcPr>
            <w:tcW w:w="8842" w:type="dxa"/>
            <w:tcBorders/>
            <w:vAlign w:val="center"/>
          </w:tcPr>
          <w:p>
            <w:pPr>
              <w:pStyle w:val="TableContents"/>
              <w:bidi w:val="0"/>
              <w:spacing w:lineRule="auto" w:line="328" w:before="0" w:after="0"/>
              <w:ind w:left="0" w:right="0" w:hanging="0"/>
              <w:jc w:val="left"/>
              <w:rPr/>
            </w:pPr>
            <w:hyperlink w:anchor="ITEM1A_RISKFACTORS_030841">
              <w:r>
                <w:rPr>
                  <w:rStyle w:val="InternetLink"/>
                  <w:rFonts w:ascii="Times New Roman;Times;serif" w:hAnsi="Times New Roman;Times;serif"/>
                  <w:b w:val="false"/>
                  <w:i w:val="false"/>
                  <w:caps w:val="false"/>
                  <w:smallCaps w:val="false"/>
                  <w:sz w:val="20"/>
                </w:rPr>
                <w:t>Risk Factors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75" w:type="dxa"/>
            <w:tcBorders/>
            <w:vAlign w:val="center"/>
          </w:tcPr>
          <w:p>
            <w:pPr>
              <w:pStyle w:val="TableContents"/>
              <w:bidi w:val="0"/>
              <w:spacing w:lineRule="auto" w:line="328" w:before="0" w:after="0"/>
              <w:ind w:left="0" w:right="0" w:hanging="0"/>
              <w:jc w:val="left"/>
              <w:rPr/>
            </w:pPr>
            <w:hyperlink w:anchor="ITEM2_UNREGISTEREDSALESOFEQUITYS_030842">
              <w:r>
                <w:rPr>
                  <w:rStyle w:val="InternetLink"/>
                  <w:rFonts w:ascii="Times New Roman;Times;serif" w:hAnsi="Times New Roman;Times;serif"/>
                  <w:b w:val="false"/>
                  <w:i w:val="false"/>
                  <w:caps w:val="false"/>
                  <w:smallCaps w:val="false"/>
                  <w:sz w:val="20"/>
                </w:rPr>
                <w:t>Item 2.</w:t>
              </w:r>
            </w:hyperlink>
          </w:p>
        </w:tc>
        <w:tc>
          <w:tcPr>
            <w:tcW w:w="8842" w:type="dxa"/>
            <w:tcBorders/>
            <w:vAlign w:val="center"/>
          </w:tcPr>
          <w:p>
            <w:pPr>
              <w:pStyle w:val="TableContents"/>
              <w:bidi w:val="0"/>
              <w:spacing w:lineRule="auto" w:line="328" w:before="0" w:after="0"/>
              <w:ind w:left="0" w:right="0" w:hanging="0"/>
              <w:jc w:val="left"/>
              <w:rPr/>
            </w:pPr>
            <w:hyperlink w:anchor="ITEM2_UNREGISTEREDSALESOFEQUITYS_030842">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75" w:type="dxa"/>
            <w:tcBorders/>
            <w:vAlign w:val="center"/>
          </w:tcPr>
          <w:p>
            <w:pPr>
              <w:pStyle w:val="TableContents"/>
              <w:bidi w:val="0"/>
              <w:spacing w:lineRule="auto" w:line="328" w:before="0" w:after="0"/>
              <w:ind w:left="0" w:right="0" w:hanging="0"/>
              <w:jc w:val="left"/>
              <w:rPr/>
            </w:pPr>
            <w:hyperlink w:anchor="ITEM3_DEFAULTSUPONSENIORSECURITI_030843">
              <w:r>
                <w:rPr>
                  <w:rStyle w:val="InternetLink"/>
                  <w:rFonts w:ascii="Times New Roman;Times;serif" w:hAnsi="Times New Roman;Times;serif"/>
                  <w:b w:val="false"/>
                  <w:i w:val="false"/>
                  <w:caps w:val="false"/>
                  <w:smallCaps w:val="false"/>
                  <w:sz w:val="20"/>
                </w:rPr>
                <w:t>Item 3.</w:t>
              </w:r>
            </w:hyperlink>
          </w:p>
        </w:tc>
        <w:tc>
          <w:tcPr>
            <w:tcW w:w="8842" w:type="dxa"/>
            <w:tcBorders/>
            <w:vAlign w:val="center"/>
          </w:tcPr>
          <w:p>
            <w:pPr>
              <w:pStyle w:val="TableContents"/>
              <w:bidi w:val="0"/>
              <w:spacing w:lineRule="auto" w:line="328" w:before="0" w:after="0"/>
              <w:ind w:left="0" w:right="0" w:hanging="0"/>
              <w:jc w:val="left"/>
              <w:rPr/>
            </w:pPr>
            <w:hyperlink w:anchor="ITEM3_DEFAULTSUPONSENIORSECURITI_030843">
              <w:r>
                <w:rPr>
                  <w:rStyle w:val="InternetLink"/>
                  <w:rFonts w:ascii="Times New Roman;Times;serif" w:hAnsi="Times New Roman;Times;serif"/>
                  <w:b w:val="false"/>
                  <w:i w:val="false"/>
                  <w:caps w:val="false"/>
                  <w:smallCaps w:val="false"/>
                  <w:sz w:val="20"/>
                </w:rPr>
                <w:t>Defaults Upon Senior Securities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75" w:type="dxa"/>
            <w:tcBorders/>
            <w:vAlign w:val="center"/>
          </w:tcPr>
          <w:p>
            <w:pPr>
              <w:pStyle w:val="TableContents"/>
              <w:bidi w:val="0"/>
              <w:spacing w:lineRule="auto" w:line="328" w:before="0" w:after="0"/>
              <w:ind w:left="0" w:right="0" w:hanging="0"/>
              <w:jc w:val="left"/>
              <w:rPr/>
            </w:pPr>
            <w:hyperlink w:anchor="ITEM4_MINESAFETYDISCLOSURES_030844">
              <w:r>
                <w:rPr>
                  <w:rStyle w:val="InternetLink"/>
                  <w:rFonts w:ascii="Times New Roman;Times;serif" w:hAnsi="Times New Roman;Times;serif"/>
                  <w:b w:val="false"/>
                  <w:i w:val="false"/>
                  <w:caps w:val="false"/>
                  <w:smallCaps w:val="false"/>
                  <w:sz w:val="20"/>
                </w:rPr>
                <w:t>Item 4.</w:t>
              </w:r>
            </w:hyperlink>
          </w:p>
        </w:tc>
        <w:tc>
          <w:tcPr>
            <w:tcW w:w="8842" w:type="dxa"/>
            <w:tcBorders/>
            <w:vAlign w:val="center"/>
          </w:tcPr>
          <w:p>
            <w:pPr>
              <w:pStyle w:val="TableContents"/>
              <w:bidi w:val="0"/>
              <w:spacing w:lineRule="auto" w:line="328" w:before="0" w:after="0"/>
              <w:ind w:left="0" w:right="0" w:hanging="0"/>
              <w:jc w:val="left"/>
              <w:rPr/>
            </w:pPr>
            <w:hyperlink w:anchor="ITEM4_MINESAFETYDISCLOSURES_030844">
              <w:r>
                <w:rPr>
                  <w:rStyle w:val="InternetLink"/>
                  <w:rFonts w:ascii="Times New Roman;Times;serif" w:hAnsi="Times New Roman;Times;serif"/>
                  <w:b w:val="false"/>
                  <w:i w:val="false"/>
                  <w:caps w:val="false"/>
                  <w:smallCaps w:val="false"/>
                  <w:sz w:val="20"/>
                </w:rPr>
                <w:t>Mine Safety Disclosures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75" w:type="dxa"/>
            <w:tcBorders/>
            <w:vAlign w:val="center"/>
          </w:tcPr>
          <w:p>
            <w:pPr>
              <w:pStyle w:val="TableContents"/>
              <w:bidi w:val="0"/>
              <w:spacing w:lineRule="auto" w:line="328" w:before="0" w:after="0"/>
              <w:ind w:left="0" w:right="0" w:hanging="0"/>
              <w:jc w:val="left"/>
              <w:rPr/>
            </w:pPr>
            <w:hyperlink w:anchor="ITEM5_OTHERINFORMATION_030845">
              <w:r>
                <w:rPr>
                  <w:rStyle w:val="InternetLink"/>
                  <w:rFonts w:ascii="Times New Roman;Times;serif" w:hAnsi="Times New Roman;Times;serif"/>
                  <w:b w:val="false"/>
                  <w:i w:val="false"/>
                  <w:caps w:val="false"/>
                  <w:smallCaps w:val="false"/>
                  <w:sz w:val="20"/>
                </w:rPr>
                <w:t>Item 5.</w:t>
              </w:r>
            </w:hyperlink>
          </w:p>
        </w:tc>
        <w:tc>
          <w:tcPr>
            <w:tcW w:w="8842" w:type="dxa"/>
            <w:tcBorders/>
            <w:vAlign w:val="center"/>
          </w:tcPr>
          <w:p>
            <w:pPr>
              <w:pStyle w:val="TableContents"/>
              <w:bidi w:val="0"/>
              <w:spacing w:lineRule="auto" w:line="328" w:before="0" w:after="0"/>
              <w:ind w:left="0" w:right="0" w:hanging="0"/>
              <w:jc w:val="left"/>
              <w:rPr/>
            </w:pPr>
            <w:hyperlink w:anchor="ITEM5_OTHERINFORMATION_030845">
              <w:r>
                <w:rPr>
                  <w:rStyle w:val="InternetLink"/>
                  <w:rFonts w:ascii="Times New Roman;Times;serif" w:hAnsi="Times New Roman;Times;serif"/>
                  <w:b w:val="false"/>
                  <w:i w:val="false"/>
                  <w:caps w:val="false"/>
                  <w:smallCaps w:val="false"/>
                  <w:sz w:val="20"/>
                </w:rPr>
                <w:t>Other Information</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50</w:t>
            </w:r>
          </w:p>
        </w:tc>
      </w:tr>
      <w:tr>
        <w:trPr/>
        <w:tc>
          <w:tcPr>
            <w:tcW w:w="675" w:type="dxa"/>
            <w:tcBorders/>
            <w:vAlign w:val="center"/>
          </w:tcPr>
          <w:p>
            <w:pPr>
              <w:pStyle w:val="TableContents"/>
              <w:bidi w:val="0"/>
              <w:spacing w:lineRule="auto" w:line="328" w:before="0" w:after="0"/>
              <w:ind w:left="0" w:right="0" w:hanging="0"/>
              <w:jc w:val="left"/>
              <w:rPr/>
            </w:pPr>
            <w:hyperlink w:anchor="ITEM6_EXHIBITS_030846">
              <w:r>
                <w:rPr>
                  <w:rStyle w:val="InternetLink"/>
                  <w:rFonts w:ascii="Times New Roman;Times;serif" w:hAnsi="Times New Roman;Times;serif"/>
                  <w:b w:val="false"/>
                  <w:i w:val="false"/>
                  <w:caps w:val="false"/>
                  <w:smallCaps w:val="false"/>
                  <w:sz w:val="20"/>
                </w:rPr>
                <w:t>Item 6.</w:t>
              </w:r>
            </w:hyperlink>
          </w:p>
        </w:tc>
        <w:tc>
          <w:tcPr>
            <w:tcW w:w="8842" w:type="dxa"/>
            <w:tcBorders/>
            <w:vAlign w:val="center"/>
          </w:tcPr>
          <w:p>
            <w:pPr>
              <w:pStyle w:val="TableContents"/>
              <w:bidi w:val="0"/>
              <w:spacing w:lineRule="auto" w:line="328" w:before="0" w:after="0"/>
              <w:ind w:left="0" w:right="0" w:hanging="0"/>
              <w:jc w:val="left"/>
              <w:rPr/>
            </w:pPr>
            <w:hyperlink w:anchor="ITEM6_EXHIBITS_030846">
              <w:r>
                <w:rPr>
                  <w:rStyle w:val="InternetLink"/>
                  <w:rFonts w:ascii="Times New Roman;Times;serif" w:hAnsi="Times New Roman;Times;serif"/>
                  <w:b w:val="false"/>
                  <w:i w:val="false"/>
                  <w:caps w:val="false"/>
                  <w:smallCaps w:val="false"/>
                  <w:sz w:val="20"/>
                </w:rPr>
                <w:t>Exhibits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51</w:t>
            </w:r>
          </w:p>
        </w:tc>
      </w:tr>
      <w:tr>
        <w:trPr/>
        <w:tc>
          <w:tcPr>
            <w:tcW w:w="9517" w:type="dxa"/>
            <w:gridSpan w:val="2"/>
            <w:tcBorders/>
            <w:vAlign w:val="center"/>
          </w:tcPr>
          <w:p>
            <w:pPr>
              <w:pStyle w:val="TableContents"/>
              <w:bidi w:val="0"/>
              <w:spacing w:lineRule="auto" w:line="328" w:before="0" w:after="0"/>
              <w:ind w:left="0" w:right="0" w:hanging="0"/>
              <w:jc w:val="left"/>
              <w:rPr/>
            </w:pPr>
            <w:hyperlink w:anchor="SIGNATURES_030848">
              <w:r>
                <w:rPr>
                  <w:rStyle w:val="InternetLink"/>
                  <w:rFonts w:ascii="Times New Roman;Times;serif" w:hAnsi="Times New Roman;Times;serif"/>
                  <w:b w:val="false"/>
                  <w:i w:val="false"/>
                  <w:caps w:val="false"/>
                  <w:smallCaps w:val="false"/>
                  <w:sz w:val="20"/>
                </w:rPr>
                <w:t>Signatures</w:t>
              </w:r>
            </w:hyperlink>
          </w:p>
        </w:tc>
        <w:tc>
          <w:tcPr>
            <w:tcW w:w="326" w:type="dxa"/>
            <w:tcBorders/>
            <w:vAlign w:val="center"/>
          </w:tcPr>
          <w:p>
            <w:pPr>
              <w:pStyle w:val="TableContents"/>
              <w:bidi w:val="0"/>
              <w:spacing w:lineRule="auto" w:line="328" w:before="0" w:after="0"/>
              <w:ind w:left="0" w:right="0" w:hanging="0"/>
              <w:jc w:val="left"/>
              <w:rPr/>
            </w:pPr>
            <w:r>
              <w:rPr/>
              <w:t>​</w:t>
            </w:r>
          </w:p>
        </w:tc>
        <w:tc>
          <w:tcPr>
            <w:tcW w:w="362" w:type="dxa"/>
            <w:tcBorders/>
            <w:vAlign w:val="center"/>
          </w:tcPr>
          <w:p>
            <w:pPr>
              <w:pStyle w:val="TableContents"/>
              <w:bidi w:val="0"/>
              <w:spacing w:lineRule="auto" w:line="328" w:before="0" w:after="0"/>
              <w:ind w:left="0" w:right="0" w:hanging="0"/>
              <w:jc w:val="right"/>
              <w:rPr>
                <w:rFonts w:ascii="Times New Roman;Times;serif" w:hAnsi="Times New Roman;Times;serif"/>
                <w:sz w:val="20"/>
              </w:rPr>
            </w:pPr>
            <w:r>
              <w:rPr>
                <w:rFonts w:ascii="Times New Roman;Times;serif" w:hAnsi="Times New Roman;Times;serif"/>
                <w:sz w:val="20"/>
              </w:rPr>
              <w:t>52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6"/>
        </w:rPr>
      </w:pPr>
      <w:bookmarkStart w:id="27" w:name="PARTIFINANCIALINFORMATION_89336"/>
      <w:bookmarkStart w:id="28" w:name="_fa51c375_5e36_40c4_a24f_fdb5bf0c0255"/>
      <w:bookmarkEnd w:id="27"/>
      <w:bookmarkEnd w:id="28"/>
      <w:r>
        <w:rPr>
          <w:rFonts w:ascii="Times New Roman;Times;serif" w:hAnsi="Times New Roman;Times;serif"/>
          <w:b/>
          <w:sz w:val="16"/>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16"/>
        </w:rPr>
      </w:pPr>
      <w:bookmarkStart w:id="29" w:name="ITEM1FINANCIALSTATEMENTS_601539"/>
      <w:bookmarkEnd w:id="29"/>
      <w:r>
        <w:rPr>
          <w:rFonts w:ascii="Times New Roman;Times;serif" w:hAnsi="Times New Roman;Times;serif"/>
          <w:b/>
          <w:sz w:val="16"/>
        </w:rPr>
        <w:t>ITEM 1.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AeroVironment, Inc.</w:t>
      </w:r>
    </w:p>
    <w:p>
      <w:pPr>
        <w:pStyle w:val="TextBody"/>
        <w:bidi w:val="0"/>
        <w:spacing w:before="0" w:after="0"/>
        <w:ind w:left="0" w:right="0" w:hanging="0"/>
        <w:jc w:val="center"/>
        <w:rPr>
          <w:rFonts w:ascii="Times New Roman;Times;serif" w:hAnsi="Times New Roman;Times;serif"/>
          <w:b/>
          <w:sz w:val="14"/>
        </w:rPr>
      </w:pPr>
      <w:bookmarkStart w:id="30" w:name="BalanceSheets_59163"/>
      <w:bookmarkEnd w:id="30"/>
      <w:r>
        <w:rPr>
          <w:rFonts w:ascii="Times New Roman;Times;serif" w:hAnsi="Times New Roman;Times;serif"/>
          <w:b/>
          <w:sz w:val="14"/>
        </w:rPr>
        <w:t>Condensed Consolidated Balance Sheets</w:t>
      </w:r>
    </w:p>
    <w:p>
      <w:pPr>
        <w:pStyle w:val="TextBody"/>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 thousands except share and per share data)</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1" w:name="Tc_mwn8l8nnU0SQHnukBAfKVQ_47_5"/>
      <w:bookmarkStart w:id="32" w:name="Tc_OEPhTboy6kaP0qdHwolqQQ_47_2"/>
      <w:bookmarkStart w:id="33" w:name="Tc_oweM_UtlmkOq_oIKe5p8Zg_47_0"/>
      <w:bookmarkStart w:id="34" w:name="Tc_1G0a3LPle0-34VJTcWqxhw_46_0"/>
      <w:bookmarkStart w:id="35" w:name="Tc_Q8k_iDhl7k6cZFWy7D0-XA_45_0"/>
      <w:bookmarkStart w:id="36" w:name="Tc_uqn0ZMA380iRe4qL6Rpg5w_44_0"/>
      <w:bookmarkStart w:id="37" w:name="Tc_uFAoPzngkUWky1rYKugyvg_43_0"/>
      <w:bookmarkStart w:id="38" w:name="Tc_Ft0-BBo_T02Z1DVODN1ikQ_42_0"/>
      <w:bookmarkStart w:id="39" w:name="Tc_T7MBW4oTwEKd7XhUgA6c7A_41_0"/>
      <w:bookmarkStart w:id="40" w:name="Tc_wWMV2ZjDEkSbP2NdlRGbfA_40_0"/>
      <w:bookmarkStart w:id="41" w:name="_b88bd49b_14d7_472e_acab_adb1adac2404_3"/>
      <w:bookmarkStart w:id="42" w:name="_b88bd49b_14d7_472e_acab_adb1adac2404_2"/>
      <w:bookmarkStart w:id="43" w:name="_b88bd49b_14d7_472e_acab_adb1adac2404"/>
      <w:bookmarkStart w:id="44" w:name="_78335524_7e73_4d68_ad20_68b0ea501260_3"/>
      <w:bookmarkStart w:id="45" w:name="_78335524_7e73_4d68_ad20_68b0ea501260_2"/>
      <w:bookmarkStart w:id="46" w:name="_78335524_7e73_4d68_ad20_68b0ea501260"/>
      <w:bookmarkStart w:id="47" w:name="Tc_lXJ28fH7XkSAmCSdcbyT7A_39_0"/>
      <w:bookmarkStart w:id="48" w:name="Tc_JC1rzlBLLUqp51YSue34kQ_38_0"/>
      <w:bookmarkStart w:id="49" w:name="Tc_3TgYOQrBkUmYnWdC98ycbQ_37_0"/>
      <w:bookmarkStart w:id="50" w:name="Tc_CMHYz_q8i0-DO8gRllDPgQ_36_0"/>
      <w:bookmarkStart w:id="51" w:name="Tc_fK0TC7Erbkymc6ONaLAKSw_35_0"/>
      <w:bookmarkStart w:id="52" w:name="Tc_jPc6XE0uk0yARS5HXGYnBA_34_0"/>
      <w:bookmarkStart w:id="53" w:name="Tc_9xG2P-gGREilAYhusJaujg_33_0"/>
      <w:bookmarkStart w:id="54" w:name="Tc_6V2xUz4LWEi-xMANPwdPIQ_32_0"/>
      <w:bookmarkStart w:id="55" w:name="Tc_QB6nfKOM7k-yJZ457zobUg_31_0"/>
      <w:bookmarkStart w:id="56" w:name="Tc_YdO2zuw570eqDiz68KAS4A_30_0"/>
      <w:bookmarkStart w:id="57" w:name="Tc_zpx-e9wNeEa9yDaMG_nZdg_29_0"/>
      <w:bookmarkStart w:id="58" w:name="Tc_Q7TRsfOd4UW5YNBvRXQ7mw_28_0"/>
      <w:bookmarkStart w:id="59" w:name="Tc_FN17xUxxWkWM_EQzKMWcRQ_27_0"/>
      <w:bookmarkStart w:id="60" w:name="Tc_n-2yOiJB3Ei7xJDkdtesbA_26_0"/>
      <w:bookmarkStart w:id="61" w:name="Tc_9b2geghYYEqf8bGlBG_hAg_25_0"/>
      <w:bookmarkStart w:id="62" w:name="Tc_HLeibYNGe0GzcB1IM24Mgw_24_0"/>
      <w:bookmarkStart w:id="63" w:name="Tc_yz4mXojU-0-7z2rTxPUCCw_23_5"/>
      <w:bookmarkStart w:id="64" w:name="Tc_kVVCcDfFMUuACaD38MlYpA_23_2"/>
      <w:bookmarkStart w:id="65" w:name="Tc_60ukIGJFvkmhbDOPsl2a1A_23_0"/>
      <w:bookmarkStart w:id="66" w:name="Tc_tzgA5A01XEe2419lFDhcWw_22_0"/>
      <w:bookmarkStart w:id="67" w:name="Tc_eEcB7k0Dakmoh7OFr87v3A_21_0"/>
      <w:bookmarkStart w:id="68" w:name="Tc_JHgTAnMlJkm15Uu9pqkm6Q_20_5"/>
      <w:bookmarkStart w:id="69" w:name="Tc_yr2_54tCAUKNZmOuNDBbIQ_20_2"/>
      <w:bookmarkStart w:id="70" w:name="Tc_dT39kpqXp02o9OTql8nV-A_20_0"/>
      <w:bookmarkStart w:id="71" w:name="Tc_JezvBNFLmkSS6qJTedjCRw_19_0"/>
      <w:bookmarkStart w:id="72" w:name="Tc_lLvgKlZUyUCbRoczXSHRVw_18_0"/>
      <w:bookmarkStart w:id="73" w:name="Tc_gpzMVWj64Eqkr3J3R4cikg_17_0"/>
      <w:bookmarkStart w:id="74" w:name="Tc_Lp3F-yTZXU2hnwGV4vsXwA_16_0"/>
      <w:bookmarkStart w:id="75" w:name="Tc_4nh-UfpMLkmjKa8KofErIQ_15_0"/>
      <w:bookmarkStart w:id="76" w:name="Tc_ihErCQnM30W_mZGJ2mkpdw_14_0"/>
      <w:bookmarkStart w:id="77" w:name="Tc_n-Z0681RzkePTpXJsCLx-Q_13_0"/>
      <w:bookmarkStart w:id="78" w:name="Tc_UB2WYpmlDkKgEoqEWg2zMg_12_0"/>
      <w:bookmarkStart w:id="79" w:name="Tc_-YJbKD72_0aZNy4NJg3qkQ_11_0"/>
      <w:bookmarkStart w:id="80" w:name="Tc_kEW6SUSKJE-z9EsVJrk4RA_10_6"/>
      <w:bookmarkStart w:id="81" w:name="Tc_DIrfF0tACEW4Pk5w0Dcd-w_10_0"/>
      <w:bookmarkStart w:id="82" w:name="Tc_-50A9TlNIUi0HzdwyAYBGA_9_0"/>
      <w:bookmarkStart w:id="83" w:name="Tc_e-3ZzhJXnkCZuT1Zu8nXlQ_8_0"/>
      <w:bookmarkStart w:id="84" w:name="Tc_qLOIdYLYU0e4NHGk8eP2GQ_7_0"/>
      <w:bookmarkStart w:id="85" w:name="Tc_clYTRfHtBUO9AB-g7S7IMg_6_5"/>
      <w:bookmarkStart w:id="86" w:name="Tc_AmCknwJWc0mGt82nykWOzg_6_2"/>
      <w:bookmarkStart w:id="87" w:name="Tc_jvrZAmd9ME2KZgnijM1prw_6_0"/>
      <w:bookmarkStart w:id="88" w:name="Tc_ulzA-fwLFU-BO74PrOaHuw_5_0"/>
      <w:bookmarkStart w:id="89" w:name="Tc_5s0u73zA6EatcdCW2IkXrg_4_0"/>
      <w:bookmarkStart w:id="90" w:name="Tc_ZwvN1sak5Eirl2c5ANbaWA_3_2"/>
      <w:bookmarkStart w:id="91" w:name="Tc_4UeuTIUpj02MrtrtDpCN4w_2_5"/>
      <w:bookmarkStart w:id="92" w:name="Tc_2bS34pYFe0uovoFuuBXwcA_2_2"/>
      <w:bookmarkStart w:id="93" w:name="Tc_shUx2Ip0r0yptlF2m3k77w_1_5"/>
      <w:bookmarkStart w:id="94" w:name="Tc_1Ymkt5Vqak-nxica2RIF6A_1_2"/>
      <w:bookmarkStart w:id="95" w:name="_41ef5ea5_5cc2_4413_afb2_d58bbe21bdab"/>
      <w:bookmarkStart w:id="96" w:name="Tc_mwn8l8nnU0SQHnukBAfKVQ_47_5"/>
      <w:bookmarkStart w:id="97" w:name="Tc_OEPhTboy6kaP0qdHwolqQQ_47_2"/>
      <w:bookmarkStart w:id="98" w:name="Tc_oweM_UtlmkOq_oIKe5p8Zg_47_0"/>
      <w:bookmarkStart w:id="99" w:name="Tc_1G0a3LPle0-34VJTcWqxhw_46_0"/>
      <w:bookmarkStart w:id="100" w:name="Tc_Q8k_iDhl7k6cZFWy7D0-XA_45_0"/>
      <w:bookmarkStart w:id="101" w:name="Tc_uqn0ZMA380iRe4qL6Rpg5w_44_0"/>
      <w:bookmarkStart w:id="102" w:name="Tc_uFAoPzngkUWky1rYKugyvg_43_0"/>
      <w:bookmarkStart w:id="103" w:name="Tc_Ft0-BBo_T02Z1DVODN1ikQ_42_0"/>
      <w:bookmarkStart w:id="104" w:name="Tc_T7MBW4oTwEKd7XhUgA6c7A_41_0"/>
      <w:bookmarkStart w:id="105" w:name="Tc_wWMV2ZjDEkSbP2NdlRGbfA_40_0"/>
      <w:bookmarkStart w:id="106" w:name="_b88bd49b_14d7_472e_acab_adb1adac2404_3"/>
      <w:bookmarkStart w:id="107" w:name="_b88bd49b_14d7_472e_acab_adb1adac2404_2"/>
      <w:bookmarkStart w:id="108" w:name="_b88bd49b_14d7_472e_acab_adb1adac2404"/>
      <w:bookmarkStart w:id="109" w:name="_78335524_7e73_4d68_ad20_68b0ea501260_3"/>
      <w:bookmarkStart w:id="110" w:name="_78335524_7e73_4d68_ad20_68b0ea501260_2"/>
      <w:bookmarkStart w:id="111" w:name="_78335524_7e73_4d68_ad20_68b0ea501260"/>
      <w:bookmarkStart w:id="112" w:name="Tc_lXJ28fH7XkSAmCSdcbyT7A_39_0"/>
      <w:bookmarkStart w:id="113" w:name="Tc_JC1rzlBLLUqp51YSue34kQ_38_0"/>
      <w:bookmarkStart w:id="114" w:name="Tc_3TgYOQrBkUmYnWdC98ycbQ_37_0"/>
      <w:bookmarkStart w:id="115" w:name="Tc_CMHYz_q8i0-DO8gRllDPgQ_36_0"/>
      <w:bookmarkStart w:id="116" w:name="Tc_fK0TC7Erbkymc6ONaLAKSw_35_0"/>
      <w:bookmarkStart w:id="117" w:name="Tc_jPc6XE0uk0yARS5HXGYnBA_34_0"/>
      <w:bookmarkStart w:id="118" w:name="Tc_9xG2P-gGREilAYhusJaujg_33_0"/>
      <w:bookmarkStart w:id="119" w:name="Tc_6V2xUz4LWEi-xMANPwdPIQ_32_0"/>
      <w:bookmarkStart w:id="120" w:name="Tc_QB6nfKOM7k-yJZ457zobUg_31_0"/>
      <w:bookmarkStart w:id="121" w:name="Tc_YdO2zuw570eqDiz68KAS4A_30_0"/>
      <w:bookmarkStart w:id="122" w:name="Tc_zpx-e9wNeEa9yDaMG_nZdg_29_0"/>
      <w:bookmarkStart w:id="123" w:name="Tc_Q7TRsfOd4UW5YNBvRXQ7mw_28_0"/>
      <w:bookmarkStart w:id="124" w:name="Tc_FN17xUxxWkWM_EQzKMWcRQ_27_0"/>
      <w:bookmarkStart w:id="125" w:name="Tc_n-2yOiJB3Ei7xJDkdtesbA_26_0"/>
      <w:bookmarkStart w:id="126" w:name="Tc_9b2geghYYEqf8bGlBG_hAg_25_0"/>
      <w:bookmarkStart w:id="127" w:name="Tc_HLeibYNGe0GzcB1IM24Mgw_24_0"/>
      <w:bookmarkStart w:id="128" w:name="Tc_yz4mXojU-0-7z2rTxPUCCw_23_5"/>
      <w:bookmarkStart w:id="129" w:name="Tc_kVVCcDfFMUuACaD38MlYpA_23_2"/>
      <w:bookmarkStart w:id="130" w:name="Tc_60ukIGJFvkmhbDOPsl2a1A_23_0"/>
      <w:bookmarkStart w:id="131" w:name="Tc_tzgA5A01XEe2419lFDhcWw_22_0"/>
      <w:bookmarkStart w:id="132" w:name="Tc_eEcB7k0Dakmoh7OFr87v3A_21_0"/>
      <w:bookmarkStart w:id="133" w:name="Tc_JHgTAnMlJkm15Uu9pqkm6Q_20_5"/>
      <w:bookmarkStart w:id="134" w:name="Tc_yr2_54tCAUKNZmOuNDBbIQ_20_2"/>
      <w:bookmarkStart w:id="135" w:name="Tc_dT39kpqXp02o9OTql8nV-A_20_0"/>
      <w:bookmarkStart w:id="136" w:name="Tc_JezvBNFLmkSS6qJTedjCRw_19_0"/>
      <w:bookmarkStart w:id="137" w:name="Tc_lLvgKlZUyUCbRoczXSHRVw_18_0"/>
      <w:bookmarkStart w:id="138" w:name="Tc_gpzMVWj64Eqkr3J3R4cikg_17_0"/>
      <w:bookmarkStart w:id="139" w:name="Tc_Lp3F-yTZXU2hnwGV4vsXwA_16_0"/>
      <w:bookmarkStart w:id="140" w:name="Tc_4nh-UfpMLkmjKa8KofErIQ_15_0"/>
      <w:bookmarkStart w:id="141" w:name="Tc_ihErCQnM30W_mZGJ2mkpdw_14_0"/>
      <w:bookmarkStart w:id="142" w:name="Tc_n-Z0681RzkePTpXJsCLx-Q_13_0"/>
      <w:bookmarkStart w:id="143" w:name="Tc_UB2WYpmlDkKgEoqEWg2zMg_12_0"/>
      <w:bookmarkStart w:id="144" w:name="Tc_-YJbKD72_0aZNy4NJg3qkQ_11_0"/>
      <w:bookmarkStart w:id="145" w:name="Tc_kEW6SUSKJE-z9EsVJrk4RA_10_6"/>
      <w:bookmarkStart w:id="146" w:name="Tc_DIrfF0tACEW4Pk5w0Dcd-w_10_0"/>
      <w:bookmarkStart w:id="147" w:name="Tc_-50A9TlNIUi0HzdwyAYBGA_9_0"/>
      <w:bookmarkStart w:id="148" w:name="Tc_e-3ZzhJXnkCZuT1Zu8nXlQ_8_0"/>
      <w:bookmarkStart w:id="149" w:name="Tc_qLOIdYLYU0e4NHGk8eP2GQ_7_0"/>
      <w:bookmarkStart w:id="150" w:name="Tc_clYTRfHtBUO9AB-g7S7IMg_6_5"/>
      <w:bookmarkStart w:id="151" w:name="Tc_AmCknwJWc0mGt82nykWOzg_6_2"/>
      <w:bookmarkStart w:id="152" w:name="Tc_jvrZAmd9ME2KZgnijM1prw_6_0"/>
      <w:bookmarkStart w:id="153" w:name="Tc_ulzA-fwLFU-BO74PrOaHuw_5_0"/>
      <w:bookmarkStart w:id="154" w:name="Tc_5s0u73zA6EatcdCW2IkXrg_4_0"/>
      <w:bookmarkStart w:id="155" w:name="Tc_ZwvN1sak5Eirl2c5ANbaWA_3_2"/>
      <w:bookmarkStart w:id="156" w:name="Tc_4UeuTIUpj02MrtrtDpCN4w_2_5"/>
      <w:bookmarkStart w:id="157" w:name="Tc_2bS34pYFe0uovoFuuBXwcA_2_2"/>
      <w:bookmarkStart w:id="158" w:name="Tc_shUx2Ip0r0yptlF2m3k77w_1_5"/>
      <w:bookmarkStart w:id="159" w:name="Tc_1Ymkt5Vqak-nxica2RIF6A_1_2"/>
      <w:bookmarkStart w:id="160" w:name="_41ef5ea5_5cc2_4413_afb2_d58bbe21bdab"/>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p>
    <w:tbl>
      <w:tblPr>
        <w:tblW w:w="10205" w:type="dxa"/>
        <w:jc w:val="left"/>
        <w:tblInd w:w="0" w:type="dxa"/>
        <w:tblLayout w:type="fixed"/>
        <w:tblCellMar>
          <w:top w:w="0" w:type="dxa"/>
          <w:left w:w="0" w:type="dxa"/>
          <w:bottom w:w="0" w:type="dxa"/>
          <w:right w:w="0" w:type="dxa"/>
        </w:tblCellMar>
      </w:tblPr>
      <w:tblGrid>
        <w:gridCol w:w="7489"/>
        <w:gridCol w:w="326"/>
        <w:gridCol w:w="217"/>
        <w:gridCol w:w="768"/>
        <w:gridCol w:w="326"/>
        <w:gridCol w:w="196"/>
        <w:gridCol w:w="691"/>
        <w:gridCol w:w="192"/>
      </w:tblGrid>
      <w:tr>
        <w:trPr/>
        <w:tc>
          <w:tcPr>
            <w:tcW w:w="74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755515" cy="175260"/>
                      <wp:effectExtent l="0" t="0" r="0" b="0"/>
                      <wp:wrapNone/>
                      <wp:docPr id="4" name="Frame4"/>
                      <a:graphic xmlns:a="http://schemas.openxmlformats.org/drawingml/2006/main">
                        <a:graphicData uri="http://schemas.microsoft.com/office/word/2010/wordprocessingShape">
                          <wps:wsp>
                            <wps:cNvSpPr txBox="1"/>
                            <wps:spPr>
                              <a:xfrm>
                                <a:off x="0" y="0"/>
                                <a:ext cx="4755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010" cy="175260"/>
                      <wp:effectExtent l="0" t="0" r="0" b="0"/>
                      <wp:wrapNone/>
                      <wp:docPr id="5" name="Frame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37795" cy="175260"/>
                      <wp:effectExtent l="0" t="0" r="0" b="0"/>
                      <wp:wrapNone/>
                      <wp:docPr id="6" name="Frame6"/>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487680" cy="175260"/>
                      <wp:effectExtent l="0" t="0" r="0" b="0"/>
                      <wp:wrapNone/>
                      <wp:docPr id="7" name="Frame7"/>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8" name="Frame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24460" cy="175260"/>
                      <wp:effectExtent l="0" t="0" r="0" b="0"/>
                      <wp:wrapNone/>
                      <wp:docPr id="9" name="Frame9"/>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438785" cy="175260"/>
                      <wp:effectExtent l="0" t="0" r="0" b="0"/>
                      <wp:wrapNone/>
                      <wp:docPr id="10" name="Frame1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21920" cy="175260"/>
                      <wp:effectExtent l="0" t="0" r="0" b="0"/>
                      <wp:wrapNone/>
                      <wp:docPr id="11" name="Frame11"/>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2" w:type="dxa"/>
            <w:tcBorders/>
            <w:vAlign w:val="center"/>
          </w:tcPr>
          <w:p>
            <w:pPr>
              <w:pStyle w:val="TableContents"/>
              <w:bidi w:val="0"/>
              <w:spacing w:before="0" w:after="0"/>
              <w:ind w:left="0" w:right="0" w:hanging="0"/>
              <w:jc w:val="center"/>
              <w:rPr/>
            </w:pPr>
            <w:r>
              <w:rPr/>
              <w:t>​</w:t>
            </w:r>
          </w:p>
        </w:tc>
      </w:tr>
      <w:tr>
        <w:trPr/>
        <w:tc>
          <w:tcPr>
            <w:tcW w:w="74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2" w:type="dxa"/>
            <w:tcBorders/>
            <w:vAlign w:val="center"/>
          </w:tcPr>
          <w:p>
            <w:pPr>
              <w:pStyle w:val="TableContents"/>
              <w:bidi w:val="0"/>
              <w:spacing w:before="0" w:after="0"/>
              <w:ind w:left="0" w:right="0" w:hanging="0"/>
              <w:jc w:val="center"/>
              <w:rPr/>
            </w:pPr>
            <w:r>
              <w:rPr/>
              <w:t>​</w:t>
            </w:r>
          </w:p>
        </w:tc>
      </w:tr>
      <w:tr>
        <w:trPr/>
        <w:tc>
          <w:tcPr>
            <w:tcW w:w="74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2" w:type="dxa"/>
            <w:tcBorders/>
            <w:vAlign w:val="center"/>
          </w:tcPr>
          <w:p>
            <w:pPr>
              <w:pStyle w:val="TableContents"/>
              <w:bidi w:val="0"/>
              <w:spacing w:before="0" w:after="0"/>
              <w:ind w:left="0" w:right="0" w:hanging="0"/>
              <w:jc w:val="center"/>
              <w:rPr/>
            </w:pPr>
            <w:r>
              <w:rPr/>
              <w:t> </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107,694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132,859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 net of allowance for doubtful accounts of $88 at January 27, 2024 and $156 at April 30, 2023</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53,236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87,633</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Unbilled receivables and retentions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148,588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105,653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Inventories, net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161,384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138,814</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8,081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expenses and other current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21,708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12,043</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500,691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477,002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21,282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23,613</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45,053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39,795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right-of-use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28,904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27,363</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21,378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27,206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Intangibles, net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77,597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43,577</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275,189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180,801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10,205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5,220</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980,299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824,577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26,969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31,355</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Wages and related accruals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28,443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35,637</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Customer advances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17,536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16,645</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long-term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7,500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8,934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8,229</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taxes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2,342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current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17,352</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19,626</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107,531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121,334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debt, net of current portion</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31,292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125,904</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21,189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2,105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Liability for uncertain tax positions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2,705</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income taxes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1,729</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Commitments and contingencies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Stockholders’ equity:</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Preferred stock, $0.0001 par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Authorized shares—10,000,000; none issued or outstanding at January 27, 2024 and April 30, 2023</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768"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Common stock, $0.0001 par value:</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Authorized shares—100,000,000</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18"/>
              </w:rPr>
              <w:t>Issued</w:t>
            </w:r>
            <w:r>
              <w:rPr>
                <w:rFonts w:ascii="Times New Roman;Times;serif" w:hAnsi="Times New Roman;Times;serif"/>
                <w:sz w:val="20"/>
              </w:rPr>
              <w:t xml:space="preserve"> </w:t>
            </w:r>
            <w:r>
              <w:rPr>
                <w:rFonts w:ascii="Times New Roman;Times;serif" w:hAnsi="Times New Roman;Times;serif"/>
                <w:sz w:val="18"/>
              </w:rPr>
              <w:t xml:space="preserve">and </w:t>
            </w:r>
            <w:r>
              <w:rPr>
                <w:rFonts w:ascii="Times New Roman;Times;serif" w:hAnsi="Times New Roman;Times;serif"/>
                <w:b w:val="false"/>
                <w:i w:val="false"/>
                <w:caps w:val="false"/>
                <w:smallCaps w:val="false"/>
                <w:sz w:val="18"/>
              </w:rPr>
              <w:t>outstanding</w:t>
            </w:r>
            <w:r>
              <w:rPr>
                <w:rFonts w:ascii="Times New Roman;Times;serif" w:hAnsi="Times New Roman;Times;serif"/>
                <w:sz w:val="20"/>
              </w:rPr>
              <w:t xml:space="preserve"> </w:t>
            </w:r>
            <w:r>
              <w:rPr>
                <w:rFonts w:ascii="Times New Roman;Times;serif" w:hAnsi="Times New Roman;Times;serif"/>
                <w:sz w:val="18"/>
              </w:rPr>
              <w:t>shares—28,136,735</w:t>
            </w:r>
            <w:r>
              <w:rPr>
                <w:rFonts w:ascii="Times New Roman;Times;serif" w:hAnsi="Times New Roman;Times;serif"/>
                <w:sz w:val="20"/>
              </w:rPr>
              <w:t xml:space="preserve"> </w:t>
            </w:r>
            <w:r>
              <w:rPr>
                <w:rFonts w:ascii="Times New Roman;Times;serif" w:hAnsi="Times New Roman;Times;serif"/>
                <w:sz w:val="18"/>
              </w:rPr>
              <w:t>shares at January 27, 2024 and 26,216,897</w:t>
            </w:r>
            <w:r>
              <w:rPr>
                <w:rFonts w:ascii="Times New Roman;Times;serif" w:hAnsi="Times New Roman;Times;serif"/>
                <w:sz w:val="20"/>
              </w:rPr>
              <w:t xml:space="preserve"> </w:t>
            </w:r>
            <w:r>
              <w:rPr>
                <w:rFonts w:ascii="Times New Roman;Times;serif" w:hAnsi="Times New Roman;Times;serif"/>
                <w:sz w:val="18"/>
              </w:rPr>
              <w:t>shares at April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Additional paid-in capital</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593,228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384,397</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Retained earnings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224,641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171,021</w:t>
            </w:r>
          </w:p>
        </w:tc>
        <w:tc>
          <w:tcPr>
            <w:tcW w:w="192" w:type="dxa"/>
            <w:tcBorders/>
            <w:vAlign w:val="center"/>
          </w:tcPr>
          <w:p>
            <w:pPr>
              <w:pStyle w:val="TableContents"/>
              <w:bidi w:val="0"/>
              <w:spacing w:before="0" w:after="0"/>
              <w:ind w:left="0" w:right="0" w:hanging="0"/>
              <w:jc w:val="left"/>
              <w:rPr/>
            </w:pPr>
            <w:r>
              <w:rPr/>
              <w:t>​</w:t>
            </w:r>
          </w:p>
        </w:tc>
      </w:tr>
      <w:tr>
        <w:trPr/>
        <w:tc>
          <w:tcPr>
            <w:tcW w:w="748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stockholders'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812,985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550,970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7489"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Total liabilities and stockholders’ equity</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980,299</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824,577</w:t>
            </w:r>
          </w:p>
        </w:tc>
        <w:tc>
          <w:tcPr>
            <w:tcW w:w="192"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See accompanying notes to condensed consolidated financial statements (unaudited).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61" w:name="_e111848c_3459_4c22_918e_a0a84f121714"/>
      <w:bookmarkEnd w:id="161"/>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162" w:name="StatementsofOperations_883541"/>
      <w:bookmarkEnd w:id="162"/>
      <w:r>
        <w:rPr>
          <w:rFonts w:ascii="Times New Roman;Times;serif" w:hAnsi="Times New Roman;Times;serif"/>
          <w:b/>
          <w:sz w:val="20"/>
        </w:rPr>
        <w:t>Condensed Consolidated Statements of Operations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63" w:name="Tc_YhKi4A3VgUWL4oLCEInvFg_33_0"/>
      <w:bookmarkStart w:id="164" w:name="Tc_xaPR4wuGNke8ER1pS__kBg_32_0"/>
      <w:bookmarkStart w:id="165" w:name="Tc_1Xn3oM2WykaHfR3XmdX78A_31_0"/>
      <w:bookmarkStart w:id="166" w:name="Tc_CROMtUgTHUuvXbL9x2ECcQ_30_11"/>
      <w:bookmarkStart w:id="167" w:name="Tc_9Xq4vEy8XUSdFrLEtWFyvw_30_8"/>
      <w:bookmarkStart w:id="168" w:name="Tc_SPPypuGMRUG09fBuSlC3qA_30_5"/>
      <w:bookmarkStart w:id="169" w:name="Tc_mMGpkJDFqkmG346gbjkHLw_30_2"/>
      <w:bookmarkStart w:id="170" w:name="Tc_C2sx0Ef7KkWwdId3LcE7rA_30_0"/>
      <w:bookmarkStart w:id="171" w:name="Tc_HbtNwFtTWkO9vlVozwa9yw_29_11"/>
      <w:bookmarkStart w:id="172" w:name="Tc_KVUcuS35ZU2pSwRpckFKLg_29_8"/>
      <w:bookmarkStart w:id="173" w:name="Tc_rKtyVQ95v0-nEar4_Ynmgw_29_5"/>
      <w:bookmarkStart w:id="174" w:name="Tc_DTDVqkzCXke9VZzQmRHspw_29_2"/>
      <w:bookmarkStart w:id="175" w:name="Tc_srby29hGaE2CSHOzSjx0aw_29_0"/>
      <w:bookmarkStart w:id="176" w:name="Tc_82_bvGZOwkWYhCjjMmnXuw_28_0"/>
      <w:bookmarkStart w:id="177" w:name="Tc_GIIX2xMoAka_ybiW0KpI0w_27_11"/>
      <w:bookmarkStart w:id="178" w:name="Tc_3K36jsltSku-Bbq9u2BKjA_27_8"/>
      <w:bookmarkStart w:id="179" w:name="Tc_5_R_If3EAkilb1VxHOkIsQ_27_5"/>
      <w:bookmarkStart w:id="180" w:name="Tc_sLHNH1dPFEOF0uyrVs9Ucw_27_2"/>
      <w:bookmarkStart w:id="181" w:name="Tc_IHxRjQpmoEyZ-S_0SqIFCA_27_0"/>
      <w:bookmarkStart w:id="182" w:name="Tc_efHm63O4d06ENjxrXCozrA_26_9"/>
      <w:bookmarkStart w:id="183" w:name="Tc_k36IDbNtYESVaNncSmbB-w_26_6"/>
      <w:bookmarkStart w:id="184" w:name="Tc_ifxiGaR1Fkq_bIr4SH0M_w_26_3"/>
      <w:bookmarkStart w:id="185" w:name="Tc__IqGpH2pTUOIGKwOkVnL2w_26_0"/>
      <w:bookmarkStart w:id="186" w:name="Tc_0y1_fnoOPUaCMrgroLZ19A_25_0"/>
      <w:bookmarkStart w:id="187" w:name="Tc_TocftAvEq0i73Wn96FclLA_24_0"/>
      <w:bookmarkStart w:id="188" w:name="Tc_G0fhbVIPvUqXAtFzf2Gyhg_23_0"/>
      <w:bookmarkStart w:id="189" w:name="Tc_j1LKwZHSN0-NqLOywJewwQ_22_0"/>
      <w:bookmarkStart w:id="190" w:name="Tc_4vPlYD2sYkOObzrDTGNITA_21_0"/>
      <w:bookmarkStart w:id="191" w:name="Tc_JnNmPLVTLk-gGcTBeBXu-w_20_0"/>
      <w:bookmarkStart w:id="192" w:name="Tc_tOCK-slHUkybJJyYkKsrFA_19_0"/>
      <w:bookmarkStart w:id="193" w:name="Tc_pIu8bIvqOEK8AgUcy4czpQ_18_0"/>
      <w:bookmarkStart w:id="194" w:name="Tc_2XvfelY8G0izhyG6j7dMJw_17_0"/>
      <w:bookmarkStart w:id="195" w:name="Tc_ts1wFG1fAkS8g6VZeMOoiA_16_0"/>
      <w:bookmarkStart w:id="196" w:name="Tc_666a_Xhoq0SesDRILVMHyQ_14_0"/>
      <w:bookmarkStart w:id="197" w:name="Tc_ZJ6wk_k_O0ikBHezs9gz0A_13_0"/>
      <w:bookmarkStart w:id="198" w:name="Tc_FPXjyuvFEUu1RIJ-avwRjA_12_0"/>
      <w:bookmarkStart w:id="199" w:name="Tc_3i0VJSN060ODA_712YWVfQ_10_0"/>
      <w:bookmarkStart w:id="200" w:name="Tc__2-yuNKHO0qUicyoreriUw_9_0"/>
      <w:bookmarkStart w:id="201" w:name="Tc_3uE-TsHFzESQGhfEJulmGQ_8_0"/>
      <w:bookmarkStart w:id="202" w:name="Tc_ANS_3JF24Umaf884hQuSRA_6_0"/>
      <w:bookmarkStart w:id="203" w:name="Tc_-mdQUg0mSkqpzIKyZ7cN7w_5_11"/>
      <w:bookmarkStart w:id="204" w:name="Tc_vcIwQDeGTkO0GfIrNALrYA_5_8"/>
      <w:bookmarkStart w:id="205" w:name="Tc_46QDR9Hna022HSvSqxSG4A_5_5"/>
      <w:bookmarkStart w:id="206" w:name="Tc_-u84J4C_mE2bRuoXQk7ggg_5_2"/>
      <w:bookmarkStart w:id="207" w:name="Tc_xQVQIsSBjkuYjx3iM3df8g_5_0"/>
      <w:bookmarkStart w:id="208" w:name="Tc_l6v9i79860GK8qkclyTLYA_4_0"/>
      <w:bookmarkStart w:id="209" w:name="Tc_e58LAeBbJEW-4DbSXPHuHw_3_11"/>
      <w:bookmarkStart w:id="210" w:name="Tc_j2C0696530WoOrBOvlRn1w_3_8"/>
      <w:bookmarkStart w:id="211" w:name="Tc_dm0Y50BvlESPSq9PaOAvcg_3_5"/>
      <w:bookmarkStart w:id="212" w:name="Tc_gikpRqIS0U2PrS4IBIaJEQ_3_2"/>
      <w:bookmarkStart w:id="213" w:name="Tc_8ICiOXTRyUqB79AI-Zgwdw_2_11"/>
      <w:bookmarkStart w:id="214" w:name="Tc_8DsG7GC51k-eZJinOR2ngA_2_8"/>
      <w:bookmarkStart w:id="215" w:name="Tc_Rmr_9_VVjkqdUQWrpAFXRQ_2_5"/>
      <w:bookmarkStart w:id="216" w:name="Tc_T1PBDQdEgUuPPu04R6KXkA_2_2"/>
      <w:bookmarkStart w:id="217" w:name="Tc_QC-yO3xaUUyyFVtMSukHbQ_1_8"/>
      <w:bookmarkStart w:id="218" w:name="Tc_SqbqE7ZU-UWbPqH0p1boXQ_1_2"/>
      <w:bookmarkStart w:id="219" w:name="_75e755d2_7f5f_4d61_8e6e_919400104d9d"/>
      <w:bookmarkStart w:id="220" w:name="Tc_YhKi4A3VgUWL4oLCEInvFg_33_0"/>
      <w:bookmarkStart w:id="221" w:name="Tc_xaPR4wuGNke8ER1pS__kBg_32_0"/>
      <w:bookmarkStart w:id="222" w:name="Tc_1Xn3oM2WykaHfR3XmdX78A_31_0"/>
      <w:bookmarkStart w:id="223" w:name="Tc_CROMtUgTHUuvXbL9x2ECcQ_30_11"/>
      <w:bookmarkStart w:id="224" w:name="Tc_9Xq4vEy8XUSdFrLEtWFyvw_30_8"/>
      <w:bookmarkStart w:id="225" w:name="Tc_SPPypuGMRUG09fBuSlC3qA_30_5"/>
      <w:bookmarkStart w:id="226" w:name="Tc_mMGpkJDFqkmG346gbjkHLw_30_2"/>
      <w:bookmarkStart w:id="227" w:name="Tc_C2sx0Ef7KkWwdId3LcE7rA_30_0"/>
      <w:bookmarkStart w:id="228" w:name="Tc_HbtNwFtTWkO9vlVozwa9yw_29_11"/>
      <w:bookmarkStart w:id="229" w:name="Tc_KVUcuS35ZU2pSwRpckFKLg_29_8"/>
      <w:bookmarkStart w:id="230" w:name="Tc_rKtyVQ95v0-nEar4_Ynmgw_29_5"/>
      <w:bookmarkStart w:id="231" w:name="Tc_DTDVqkzCXke9VZzQmRHspw_29_2"/>
      <w:bookmarkStart w:id="232" w:name="Tc_srby29hGaE2CSHOzSjx0aw_29_0"/>
      <w:bookmarkStart w:id="233" w:name="Tc_82_bvGZOwkWYhCjjMmnXuw_28_0"/>
      <w:bookmarkStart w:id="234" w:name="Tc_GIIX2xMoAka_ybiW0KpI0w_27_11"/>
      <w:bookmarkStart w:id="235" w:name="Tc_3K36jsltSku-Bbq9u2BKjA_27_8"/>
      <w:bookmarkStart w:id="236" w:name="Tc_5_R_If3EAkilb1VxHOkIsQ_27_5"/>
      <w:bookmarkStart w:id="237" w:name="Tc_sLHNH1dPFEOF0uyrVs9Ucw_27_2"/>
      <w:bookmarkStart w:id="238" w:name="Tc_IHxRjQpmoEyZ-S_0SqIFCA_27_0"/>
      <w:bookmarkStart w:id="239" w:name="Tc_efHm63O4d06ENjxrXCozrA_26_9"/>
      <w:bookmarkStart w:id="240" w:name="Tc_k36IDbNtYESVaNncSmbB-w_26_6"/>
      <w:bookmarkStart w:id="241" w:name="Tc_ifxiGaR1Fkq_bIr4SH0M_w_26_3"/>
      <w:bookmarkStart w:id="242" w:name="Tc__IqGpH2pTUOIGKwOkVnL2w_26_0"/>
      <w:bookmarkStart w:id="243" w:name="Tc_0y1_fnoOPUaCMrgroLZ19A_25_0"/>
      <w:bookmarkStart w:id="244" w:name="Tc_TocftAvEq0i73Wn96FclLA_24_0"/>
      <w:bookmarkStart w:id="245" w:name="Tc_G0fhbVIPvUqXAtFzf2Gyhg_23_0"/>
      <w:bookmarkStart w:id="246" w:name="Tc_j1LKwZHSN0-NqLOywJewwQ_22_0"/>
      <w:bookmarkStart w:id="247" w:name="Tc_4vPlYD2sYkOObzrDTGNITA_21_0"/>
      <w:bookmarkStart w:id="248" w:name="Tc_JnNmPLVTLk-gGcTBeBXu-w_20_0"/>
      <w:bookmarkStart w:id="249" w:name="Tc_tOCK-slHUkybJJyYkKsrFA_19_0"/>
      <w:bookmarkStart w:id="250" w:name="Tc_pIu8bIvqOEK8AgUcy4czpQ_18_0"/>
      <w:bookmarkStart w:id="251" w:name="Tc_2XvfelY8G0izhyG6j7dMJw_17_0"/>
      <w:bookmarkStart w:id="252" w:name="Tc_ts1wFG1fAkS8g6VZeMOoiA_16_0"/>
      <w:bookmarkStart w:id="253" w:name="Tc_666a_Xhoq0SesDRILVMHyQ_14_0"/>
      <w:bookmarkStart w:id="254" w:name="Tc_ZJ6wk_k_O0ikBHezs9gz0A_13_0"/>
      <w:bookmarkStart w:id="255" w:name="Tc_FPXjyuvFEUu1RIJ-avwRjA_12_0"/>
      <w:bookmarkStart w:id="256" w:name="Tc_3i0VJSN060ODA_712YWVfQ_10_0"/>
      <w:bookmarkStart w:id="257" w:name="Tc__2-yuNKHO0qUicyoreriUw_9_0"/>
      <w:bookmarkStart w:id="258" w:name="Tc_3uE-TsHFzESQGhfEJulmGQ_8_0"/>
      <w:bookmarkStart w:id="259" w:name="Tc_ANS_3JF24Umaf884hQuSRA_6_0"/>
      <w:bookmarkStart w:id="260" w:name="Tc_-mdQUg0mSkqpzIKyZ7cN7w_5_11"/>
      <w:bookmarkStart w:id="261" w:name="Tc_vcIwQDeGTkO0GfIrNALrYA_5_8"/>
      <w:bookmarkStart w:id="262" w:name="Tc_46QDR9Hna022HSvSqxSG4A_5_5"/>
      <w:bookmarkStart w:id="263" w:name="Tc_-u84J4C_mE2bRuoXQk7ggg_5_2"/>
      <w:bookmarkStart w:id="264" w:name="Tc_xQVQIsSBjkuYjx3iM3df8g_5_0"/>
      <w:bookmarkStart w:id="265" w:name="Tc_l6v9i79860GK8qkclyTLYA_4_0"/>
      <w:bookmarkStart w:id="266" w:name="Tc_e58LAeBbJEW-4DbSXPHuHw_3_11"/>
      <w:bookmarkStart w:id="267" w:name="Tc_j2C0696530WoOrBOvlRn1w_3_8"/>
      <w:bookmarkStart w:id="268" w:name="Tc_dm0Y50BvlESPSq9PaOAvcg_3_5"/>
      <w:bookmarkStart w:id="269" w:name="Tc_gikpRqIS0U2PrS4IBIaJEQ_3_2"/>
      <w:bookmarkStart w:id="270" w:name="Tc_8ICiOXTRyUqB79AI-Zgwdw_2_11"/>
      <w:bookmarkStart w:id="271" w:name="Tc_8DsG7GC51k-eZJinOR2ngA_2_8"/>
      <w:bookmarkStart w:id="272" w:name="Tc_Rmr_9_VVjkqdUQWrpAFXRQ_2_5"/>
      <w:bookmarkStart w:id="273" w:name="Tc_T1PBDQdEgUuPPu04R6KXkA_2_2"/>
      <w:bookmarkStart w:id="274" w:name="Tc_QC-yO3xaUUyyFVtMSukHbQ_1_8"/>
      <w:bookmarkStart w:id="275" w:name="Tc_SqbqE7ZU-UWbPqH0p1boXQ_1_2"/>
      <w:bookmarkStart w:id="276" w:name="_75e755d2_7f5f_4d61_8e6e_919400104d9d"/>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tbl>
      <w:tblPr>
        <w:tblW w:w="10205" w:type="dxa"/>
        <w:jc w:val="left"/>
        <w:tblInd w:w="0" w:type="dxa"/>
        <w:tblLayout w:type="fixed"/>
        <w:tblCellMar>
          <w:top w:w="0" w:type="dxa"/>
          <w:left w:w="0" w:type="dxa"/>
          <w:bottom w:w="0" w:type="dxa"/>
          <w:right w:w="0" w:type="dxa"/>
        </w:tblCellMar>
      </w:tblPr>
      <w:tblGrid>
        <w:gridCol w:w="4262"/>
        <w:gridCol w:w="326"/>
        <w:gridCol w:w="196"/>
        <w:gridCol w:w="916"/>
        <w:gridCol w:w="326"/>
        <w:gridCol w:w="196"/>
        <w:gridCol w:w="916"/>
        <w:gridCol w:w="326"/>
        <w:gridCol w:w="196"/>
        <w:gridCol w:w="916"/>
        <w:gridCol w:w="326"/>
        <w:gridCol w:w="196"/>
        <w:gridCol w:w="916"/>
        <w:gridCol w:w="191"/>
      </w:tblGrid>
      <w:tr>
        <w:trPr/>
        <w:tc>
          <w:tcPr>
            <w:tcW w:w="42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706370" cy="175260"/>
                      <wp:effectExtent l="0" t="0" r="0" b="0"/>
                      <wp:wrapNone/>
                      <wp:docPr id="12" name="Frame12"/>
                      <a:graphic xmlns:a="http://schemas.openxmlformats.org/drawingml/2006/main">
                        <a:graphicData uri="http://schemas.microsoft.com/office/word/2010/wordprocessingShape">
                          <wps:wsp>
                            <wps:cNvSpPr txBox="1"/>
                            <wps:spPr>
                              <a:xfrm>
                                <a:off x="0" y="0"/>
                                <a:ext cx="2706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3" name="Frame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4460" cy="175260"/>
                      <wp:effectExtent l="0" t="0" r="0" b="0"/>
                      <wp:wrapNone/>
                      <wp:docPr id="14" name="Frame1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581660" cy="175260"/>
                      <wp:effectExtent l="0" t="0" r="0" b="0"/>
                      <wp:wrapNone/>
                      <wp:docPr id="15" name="Frame15"/>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6" name="Frame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24460" cy="175260"/>
                      <wp:effectExtent l="0" t="0" r="0" b="0"/>
                      <wp:wrapNone/>
                      <wp:docPr id="17" name="Frame1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581660" cy="175260"/>
                      <wp:effectExtent l="0" t="0" r="0" b="0"/>
                      <wp:wrapNone/>
                      <wp:docPr id="18" name="Frame18"/>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9" name="Frame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24460" cy="175260"/>
                      <wp:effectExtent l="0" t="0" r="0" b="0"/>
                      <wp:wrapNone/>
                      <wp:docPr id="20" name="Frame2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581660" cy="175260"/>
                      <wp:effectExtent l="0" t="0" r="0" b="0"/>
                      <wp:wrapNone/>
                      <wp:docPr id="21" name="Frame2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24460" cy="175260"/>
                      <wp:effectExtent l="0" t="0" r="0" b="0"/>
                      <wp:wrapNone/>
                      <wp:docPr id="23" name="Frame23"/>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81660" cy="175260"/>
                      <wp:effectExtent l="0" t="0" r="0" b="0"/>
                      <wp:wrapNone/>
                      <wp:docPr id="24" name="Frame2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21285" cy="175260"/>
                      <wp:effectExtent l="0" t="0" r="0" b="0"/>
                      <wp:wrapNone/>
                      <wp:docPr id="25" name="Frame2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w:t>
            </w:r>
          </w:p>
        </w:tc>
      </w:tr>
      <w:tr>
        <w:trPr/>
        <w:tc>
          <w:tcPr>
            <w:tcW w:w="4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1" w:type="dxa"/>
            <w:tcBorders/>
            <w:vAlign w:val="center"/>
          </w:tcPr>
          <w:p>
            <w:pPr>
              <w:pStyle w:val="TableContents"/>
              <w:bidi w:val="0"/>
              <w:spacing w:before="0" w:after="0"/>
              <w:ind w:left="0" w:right="0" w:hanging="0"/>
              <w:jc w:val="center"/>
              <w:rPr/>
            </w:pPr>
            <w:r>
              <w:rPr/>
              <w:t>​</w:t>
            </w:r>
          </w:p>
        </w:tc>
      </w:tr>
      <w:tr>
        <w:trPr/>
        <w:tc>
          <w:tcPr>
            <w:tcW w:w="4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155,923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91,216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421,173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211,533</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30,655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43,179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98,568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142,962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186,578</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134,395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519,741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354,495</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99,486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54,866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240,126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127,210</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19,805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34,019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71,318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122,171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119,291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88,885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311,444</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249,381</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Product sales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56,437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36,350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181,047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84,323</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9,160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27,250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20,791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45,510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208,297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105,114</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27,826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24,746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79,800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70,302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25,127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16,157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62,618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47,793</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14,334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65,879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(12,981)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(2,810)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(4,072)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 (expense), net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(2,587)</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(2,983)</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(2,183)</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(loss) before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58,824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(21,886)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(benefit from) income taxes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1,259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(531)</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(8,382)</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Equity method investment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(1,494)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13,885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(15,694)</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attributable to noncontrolling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attributable to AeroVironment, Inc.</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13,885</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53,620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(15,739)</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income (loss) per share attributable to AeroVironment, Inc.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(0.63)</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0.50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(0.03)</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(0.63)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Weighted-average shares outstanding:</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262"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27,907,568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25,012,412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26,957,061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24,906,977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26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Diluted</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28,044,127</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25,012,412</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27,061,409</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24,906,977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77" w:name="_dd0aaff4_42e9_45ed_838b_8625c272cb0f"/>
      <w:bookmarkEnd w:id="277"/>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278" w:name="ConsolidatedStatementsofComprehensiveInc"/>
      <w:bookmarkEnd w:id="278"/>
      <w:r>
        <w:rPr>
          <w:rFonts w:ascii="Times New Roman;Times;serif" w:hAnsi="Times New Roman;Times;serif"/>
          <w:b/>
          <w:sz w:val="20"/>
        </w:rPr>
        <w:t>Condensed Consolidated Statements of Comprehensive Income (Loss)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79" w:name="Tc_ZMan2DUVr0Ksh1_bg6F9Qw_10_11"/>
      <w:bookmarkStart w:id="280" w:name="Tc_ONQui1zme0m_-7yBc8w-Pw_10_8"/>
      <w:bookmarkStart w:id="281" w:name="Tc_Te12HuMhokq0wG9bBQe3dw_10_5"/>
      <w:bookmarkStart w:id="282" w:name="Tc_KzKQ4LRsi0ynGodMbxVpBQ_10_2"/>
      <w:bookmarkStart w:id="283" w:name="Tc_f_4j1r25i0GdnxUHeksRcQ_10_0"/>
      <w:bookmarkStart w:id="284" w:name="Tc_cG9Bb-XCYkGjv83JTpqkfg_9_9"/>
      <w:bookmarkStart w:id="285" w:name="Tc_YaBZnIPL20CFJ-hU-7bBMw_9_6"/>
      <w:bookmarkStart w:id="286" w:name="Tc_o9As5GIikEm2ugsmkyNAbA_9_3"/>
      <w:bookmarkStart w:id="287" w:name="Tc_pYB7fkzMUEWA7bGXVDSPNA_9_0"/>
      <w:bookmarkStart w:id="288" w:name="Tc_Fec3din3sEmV6weLyibhYg_8_0"/>
      <w:bookmarkStart w:id="289" w:name="Tc_n3P7QDxLT0Os85253yuhqg_7_0"/>
      <w:bookmarkStart w:id="290" w:name="Tc_oN5PqLl5jkifPfKzE7Y-Rg_6_9"/>
      <w:bookmarkStart w:id="291" w:name="Tc_zveyjGUeK0CX10mBaTidmA_6_6"/>
      <w:bookmarkStart w:id="292" w:name="Tc_e1ubAbgi4EK4cT28gEZOMA_6_3"/>
      <w:bookmarkStart w:id="293" w:name="Tc_Zm9sMKIkV02DltmRFwXvaA_6_0"/>
      <w:bookmarkStart w:id="294" w:name="Tc_JapU8rx7wEK8I9V8f2mlJA_5_0"/>
      <w:bookmarkStart w:id="295" w:name="Tc_osv2rBsBr0iOmoJd9wePjg_4_11"/>
      <w:bookmarkStart w:id="296" w:name="Tc_-XVMw_YmgEyVKFL2c6CfSQ_4_8"/>
      <w:bookmarkStart w:id="297" w:name="Tc_2k_F5ZsQOEelb_k_2vQ4Ag_4_5"/>
      <w:bookmarkStart w:id="298" w:name="Tc_RzWt_fPwvEOQXvaE-xL-XA_4_2"/>
      <w:bookmarkStart w:id="299" w:name="Tc_Bz4_PjiM8kKf9kKy8kzdsg_4_0"/>
      <w:bookmarkStart w:id="300" w:name="Tc_5_AbnpiYP0OHrUB2MuEysA_3_11"/>
      <w:bookmarkStart w:id="301" w:name="Tc_f4amQ81O1kOcOcyVQntsvA_3_8"/>
      <w:bookmarkStart w:id="302" w:name="Tc_G4xR_VRjkU6nk_ZExeYWew_3_5"/>
      <w:bookmarkStart w:id="303" w:name="Tc_EW5g58FZAUK13-LY20IZdQ_3_2"/>
      <w:bookmarkStart w:id="304" w:name="Tc_G9AjvmoExk-3dT_2CmMFGg_2_11"/>
      <w:bookmarkStart w:id="305" w:name="Tc_0_gF-Uu-r0WjqWsSzebS3w_2_8"/>
      <w:bookmarkStart w:id="306" w:name="Tc_Qr4uev-xXUe0WliAuaTMKw_2_5"/>
      <w:bookmarkStart w:id="307" w:name="Tc_YJcGmyOzw0aMCCyHZpNlUA_2_2"/>
      <w:bookmarkStart w:id="308" w:name="Tc_-axXbk6_RESOd5D7KLZ65Q_1_8"/>
      <w:bookmarkStart w:id="309" w:name="Tc_Oesnb1PeLE6ApQQYXw_fVw_1_2"/>
      <w:bookmarkStart w:id="310" w:name="_aba44ebc_2417_4406_9e52_77e7e14140af"/>
      <w:bookmarkStart w:id="311" w:name="Tc_ZMan2DUVr0Ksh1_bg6F9Qw_10_11"/>
      <w:bookmarkStart w:id="312" w:name="Tc_ONQui1zme0m_-7yBc8w-Pw_10_8"/>
      <w:bookmarkStart w:id="313" w:name="Tc_Te12HuMhokq0wG9bBQe3dw_10_5"/>
      <w:bookmarkStart w:id="314" w:name="Tc_KzKQ4LRsi0ynGodMbxVpBQ_10_2"/>
      <w:bookmarkStart w:id="315" w:name="Tc_f_4j1r25i0GdnxUHeksRcQ_10_0"/>
      <w:bookmarkStart w:id="316" w:name="Tc_cG9Bb-XCYkGjv83JTpqkfg_9_9"/>
      <w:bookmarkStart w:id="317" w:name="Tc_YaBZnIPL20CFJ-hU-7bBMw_9_6"/>
      <w:bookmarkStart w:id="318" w:name="Tc_o9As5GIikEm2ugsmkyNAbA_9_3"/>
      <w:bookmarkStart w:id="319" w:name="Tc_pYB7fkzMUEWA7bGXVDSPNA_9_0"/>
      <w:bookmarkStart w:id="320" w:name="Tc_Fec3din3sEmV6weLyibhYg_8_0"/>
      <w:bookmarkStart w:id="321" w:name="Tc_n3P7QDxLT0Os85253yuhqg_7_0"/>
      <w:bookmarkStart w:id="322" w:name="Tc_oN5PqLl5jkifPfKzE7Y-Rg_6_9"/>
      <w:bookmarkStart w:id="323" w:name="Tc_zveyjGUeK0CX10mBaTidmA_6_6"/>
      <w:bookmarkStart w:id="324" w:name="Tc_e1ubAbgi4EK4cT28gEZOMA_6_3"/>
      <w:bookmarkStart w:id="325" w:name="Tc_Zm9sMKIkV02DltmRFwXvaA_6_0"/>
      <w:bookmarkStart w:id="326" w:name="Tc_JapU8rx7wEK8I9V8f2mlJA_5_0"/>
      <w:bookmarkStart w:id="327" w:name="Tc_osv2rBsBr0iOmoJd9wePjg_4_11"/>
      <w:bookmarkStart w:id="328" w:name="Tc_-XVMw_YmgEyVKFL2c6CfSQ_4_8"/>
      <w:bookmarkStart w:id="329" w:name="Tc_2k_F5ZsQOEelb_k_2vQ4Ag_4_5"/>
      <w:bookmarkStart w:id="330" w:name="Tc_RzWt_fPwvEOQXvaE-xL-XA_4_2"/>
      <w:bookmarkStart w:id="331" w:name="Tc_Bz4_PjiM8kKf9kKy8kzdsg_4_0"/>
      <w:bookmarkStart w:id="332" w:name="Tc_5_AbnpiYP0OHrUB2MuEysA_3_11"/>
      <w:bookmarkStart w:id="333" w:name="Tc_f4amQ81O1kOcOcyVQntsvA_3_8"/>
      <w:bookmarkStart w:id="334" w:name="Tc_G4xR_VRjkU6nk_ZExeYWew_3_5"/>
      <w:bookmarkStart w:id="335" w:name="Tc_EW5g58FZAUK13-LY20IZdQ_3_2"/>
      <w:bookmarkStart w:id="336" w:name="Tc_G9AjvmoExk-3dT_2CmMFGg_2_11"/>
      <w:bookmarkStart w:id="337" w:name="Tc_0_gF-Uu-r0WjqWsSzebS3w_2_8"/>
      <w:bookmarkStart w:id="338" w:name="Tc_Qr4uev-xXUe0WliAuaTMKw_2_5"/>
      <w:bookmarkStart w:id="339" w:name="Tc_YJcGmyOzw0aMCCyHZpNlUA_2_2"/>
      <w:bookmarkStart w:id="340" w:name="Tc_-axXbk6_RESOd5D7KLZ65Q_1_8"/>
      <w:bookmarkStart w:id="341" w:name="Tc_Oesnb1PeLE6ApQQYXw_fVw_1_2"/>
      <w:bookmarkStart w:id="342" w:name="_aba44ebc_2417_4406_9e52_77e7e14140af"/>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tbl>
      <w:tblPr>
        <w:tblW w:w="10205" w:type="dxa"/>
        <w:jc w:val="left"/>
        <w:tblInd w:w="0" w:type="dxa"/>
        <w:tblLayout w:type="fixed"/>
        <w:tblCellMar>
          <w:top w:w="0" w:type="dxa"/>
          <w:left w:w="0" w:type="dxa"/>
          <w:bottom w:w="0" w:type="dxa"/>
          <w:right w:w="0" w:type="dxa"/>
        </w:tblCellMar>
      </w:tblPr>
      <w:tblGrid>
        <w:gridCol w:w="4865"/>
        <w:gridCol w:w="326"/>
        <w:gridCol w:w="228"/>
        <w:gridCol w:w="731"/>
        <w:gridCol w:w="326"/>
        <w:gridCol w:w="258"/>
        <w:gridCol w:w="700"/>
        <w:gridCol w:w="326"/>
        <w:gridCol w:w="228"/>
        <w:gridCol w:w="731"/>
        <w:gridCol w:w="326"/>
        <w:gridCol w:w="211"/>
        <w:gridCol w:w="754"/>
        <w:gridCol w:w="195"/>
      </w:tblGrid>
      <w:tr>
        <w:trPr/>
        <w:tc>
          <w:tcPr>
            <w:tcW w:w="48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3089275" cy="175260"/>
                      <wp:effectExtent l="0" t="0" r="0" b="0"/>
                      <wp:wrapNone/>
                      <wp:docPr id="26" name="Frame26"/>
                      <a:graphic xmlns:a="http://schemas.openxmlformats.org/drawingml/2006/main">
                        <a:graphicData uri="http://schemas.microsoft.com/office/word/2010/wordprocessingShape">
                          <wps:wsp>
                            <wps:cNvSpPr txBox="1"/>
                            <wps:spPr>
                              <a:xfrm>
                                <a:off x="0" y="0"/>
                                <a:ext cx="3089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144780" cy="175260"/>
                      <wp:effectExtent l="0" t="0" r="0" b="0"/>
                      <wp:wrapNone/>
                      <wp:docPr id="28" name="Frame2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464185" cy="175260"/>
                      <wp:effectExtent l="0" t="0" r="0" b="0"/>
                      <wp:wrapNone/>
                      <wp:docPr id="29" name="Frame29"/>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163830" cy="175260"/>
                      <wp:effectExtent l="0" t="0" r="0" b="0"/>
                      <wp:wrapNone/>
                      <wp:docPr id="31" name="Frame3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444500" cy="175260"/>
                      <wp:effectExtent l="0" t="0" r="0" b="0"/>
                      <wp:wrapNone/>
                      <wp:docPr id="32" name="Frame32"/>
                      <a:graphic xmlns:a="http://schemas.openxmlformats.org/drawingml/2006/main">
                        <a:graphicData uri="http://schemas.microsoft.com/office/word/2010/wordprocessingShape">
                          <wps:wsp>
                            <wps:cNvSpPr txBox="1"/>
                            <wps:spPr>
                              <a:xfrm>
                                <a:off x="0" y="0"/>
                                <a:ext cx="4445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144780" cy="175260"/>
                      <wp:effectExtent l="0" t="0" r="0" b="0"/>
                      <wp:wrapNone/>
                      <wp:docPr id="34" name="Frame34"/>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464185" cy="175260"/>
                      <wp:effectExtent l="0" t="0" r="0" b="0"/>
                      <wp:wrapNone/>
                      <wp:docPr id="35" name="Frame35"/>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133985" cy="175260"/>
                      <wp:effectExtent l="0" t="0" r="0" b="0"/>
                      <wp:wrapNone/>
                      <wp:docPr id="37" name="Frame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78790" cy="175260"/>
                      <wp:effectExtent l="0" t="0" r="0" b="0"/>
                      <wp:wrapNone/>
                      <wp:docPr id="38" name="Frame38"/>
                      <a:graphic xmlns:a="http://schemas.openxmlformats.org/drawingml/2006/main">
                        <a:graphicData uri="http://schemas.microsoft.com/office/word/2010/wordprocessingShape">
                          <wps:wsp>
                            <wps:cNvSpPr txBox="1"/>
                            <wps:spPr>
                              <a:xfrm>
                                <a:off x="0" y="0"/>
                                <a:ext cx="47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3825" cy="175260"/>
                      <wp:effectExtent l="0" t="0" r="0" b="0"/>
                      <wp:wrapNone/>
                      <wp:docPr id="39" name="Frame39"/>
                      <a:graphic xmlns:a="http://schemas.openxmlformats.org/drawingml/2006/main">
                        <a:graphicData uri="http://schemas.microsoft.com/office/word/2010/wordprocessingShape">
                          <wps:wsp>
                            <wps:cNvSpPr txBox="1"/>
                            <wps:spPr>
                              <a:xfrm>
                                <a:off x="0" y="0"/>
                                <a:ext cx="123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4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2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5" w:type="dxa"/>
            <w:tcBorders/>
            <w:vAlign w:val="center"/>
          </w:tcPr>
          <w:p>
            <w:pPr>
              <w:pStyle w:val="TableContents"/>
              <w:bidi w:val="0"/>
              <w:spacing w:before="0" w:after="0"/>
              <w:ind w:left="0" w:right="0" w:hanging="0"/>
              <w:jc w:val="center"/>
              <w:rPr/>
            </w:pPr>
            <w:r>
              <w:rPr/>
              <w:t>​</w:t>
            </w:r>
          </w:p>
        </w:tc>
      </w:tr>
      <w:tr>
        <w:trPr/>
        <w:tc>
          <w:tcPr>
            <w:tcW w:w="48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9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326" w:type="dxa"/>
            <w:tcBorders/>
            <w:vAlign w:val="center"/>
          </w:tcPr>
          <w:p>
            <w:pPr>
              <w:pStyle w:val="TableContents"/>
              <w:bidi w:val="0"/>
              <w:spacing w:before="0" w:after="0"/>
              <w:ind w:left="0" w:right="0" w:hanging="0"/>
              <w:jc w:val="center"/>
              <w:rPr/>
            </w:pPr>
            <w:r>
              <w:rPr/>
              <w:t>​</w:t>
            </w:r>
          </w:p>
        </w:tc>
        <w:tc>
          <w:tcPr>
            <w:tcW w:w="9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5" w:type="dxa"/>
            <w:tcBorders/>
            <w:vAlign w:val="center"/>
          </w:tcPr>
          <w:p>
            <w:pPr>
              <w:pStyle w:val="TableContents"/>
              <w:bidi w:val="0"/>
              <w:spacing w:before="0" w:after="0"/>
              <w:ind w:left="0" w:right="0" w:hanging="0"/>
              <w:jc w:val="center"/>
              <w:rPr/>
            </w:pPr>
            <w:r>
              <w:rPr/>
              <w:t>​</w:t>
            </w:r>
          </w:p>
        </w:tc>
      </w:tr>
      <w:tr>
        <w:trPr/>
        <w:tc>
          <w:tcPr>
            <w:tcW w:w="48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9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5" w:type="dxa"/>
            <w:tcBorders/>
            <w:vAlign w:val="center"/>
          </w:tcPr>
          <w:p>
            <w:pPr>
              <w:pStyle w:val="TableContents"/>
              <w:bidi w:val="0"/>
              <w:spacing w:before="0" w:after="0"/>
              <w:ind w:left="0" w:right="0" w:hanging="0"/>
              <w:jc w:val="center"/>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13,885</w:t>
            </w:r>
          </w:p>
        </w:tc>
        <w:tc>
          <w:tcPr>
            <w:tcW w:w="326" w:type="dxa"/>
            <w:tcBorders/>
            <w:shd w:fill="CCEEFF" w:val="clear"/>
            <w:vAlign w:val="center"/>
          </w:tcPr>
          <w:p>
            <w:pPr>
              <w:pStyle w:val="TableContents"/>
              <w:bidi w:val="0"/>
              <w:spacing w:before="0" w:after="0"/>
              <w:ind w:left="0" w:right="0" w:hanging="0"/>
              <w:jc w:val="righ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(15,694)</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4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70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54" w:type="dxa"/>
            <w:tcBorders/>
            <w:vAlign w:val="center"/>
          </w:tcPr>
          <w:p>
            <w:pPr>
              <w:pStyle w:val="TableContents"/>
              <w:bidi w:val="0"/>
              <w:spacing w:before="0" w:after="0"/>
              <w:ind w:left="0" w:right="0" w:hanging="0"/>
              <w:jc w:val="left"/>
              <w:rPr/>
            </w:pPr>
            <w:r>
              <w:rPr/>
              <w:t>​</w:t>
            </w:r>
          </w:p>
        </w:tc>
        <w:tc>
          <w:tcPr>
            <w:tcW w:w="195" w:type="dxa"/>
            <w:tcBorders/>
            <w:vAlign w:val="center"/>
          </w:tcPr>
          <w:p>
            <w:pPr>
              <w:pStyle w:val="TableContents"/>
              <w:bidi w:val="0"/>
              <w:spacing w:before="0" w:after="0"/>
              <w:ind w:left="0" w:right="0" w:hanging="0"/>
              <w:jc w:val="left"/>
              <w:rPr/>
            </w:pPr>
            <w:r>
              <w:rPr/>
              <w:t>​</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gain on available-for-sale investments, net of deferred tax expense of $0 for the </w:t>
            </w:r>
            <w:r>
              <w:rPr>
                <w:rFonts w:ascii="Times New Roman;Times;serif" w:hAnsi="Times New Roman;Times;serif"/>
                <w:b w:val="false"/>
                <w:i w:val="false"/>
                <w:caps w:val="false"/>
                <w:smallCaps w:val="false"/>
                <w:sz w:val="20"/>
              </w:rPr>
              <w:t>three</w:t>
            </w:r>
            <w:r>
              <w:rPr>
                <w:rFonts w:ascii="Times New Roman;Times;serif" w:hAnsi="Times New Roman;Times;serif"/>
                <w:sz w:val="20"/>
              </w:rPr>
              <w:t xml:space="preserve"> and nine months ended January 28,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4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3,425</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c>
          <w:tcPr>
            <w:tcW w:w="195" w:type="dxa"/>
            <w:tcBorders/>
            <w:vAlign w:val="center"/>
          </w:tcPr>
          <w:p>
            <w:pPr>
              <w:pStyle w:val="TableContents"/>
              <w:bidi w:val="0"/>
              <w:spacing w:before="0" w:after="0"/>
              <w:ind w:left="0" w:right="0" w:hanging="0"/>
              <w:jc w:val="left"/>
              <w:rPr/>
            </w:pPr>
            <w:r>
              <w:rPr/>
              <w:t>​</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15,074</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70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(14,235)</w:t>
            </w:r>
          </w:p>
        </w:tc>
        <w:tc>
          <w:tcPr>
            <w:tcW w:w="195" w:type="dxa"/>
            <w:tcBorders/>
            <w:shd w:fill="CCEEFF" w:val="clear"/>
            <w:vAlign w:val="center"/>
          </w:tcPr>
          <w:p>
            <w:pPr>
              <w:pStyle w:val="TableContents"/>
              <w:bidi w:val="0"/>
              <w:spacing w:before="0" w:after="0"/>
              <w:ind w:left="0" w:right="0" w:hanging="0"/>
              <w:jc w:val="left"/>
              <w:rPr/>
            </w:pPr>
            <w:r>
              <w:rPr/>
              <w:t>​</w:t>
            </w:r>
          </w:p>
        </w:tc>
      </w:tr>
      <w:tr>
        <w:trPr/>
        <w:tc>
          <w:tcPr>
            <w:tcW w:w="4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attributable to noncontrolling interest</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0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95" w:type="dxa"/>
            <w:tcBorders/>
            <w:vAlign w:val="center"/>
          </w:tcPr>
          <w:p>
            <w:pPr>
              <w:pStyle w:val="TableContents"/>
              <w:bidi w:val="0"/>
              <w:spacing w:before="0" w:after="0"/>
              <w:ind w:left="0" w:right="0" w:hanging="0"/>
              <w:jc w:val="left"/>
              <w:rPr/>
            </w:pPr>
            <w:r>
              <w:rPr/>
              <w:t>​</w:t>
            </w:r>
          </w:p>
        </w:tc>
      </w:tr>
      <w:tr>
        <w:trPr/>
        <w:tc>
          <w:tcPr>
            <w:tcW w:w="48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 (loss) attributable to AeroVironment, Inc.</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15,074</w:t>
            </w:r>
          </w:p>
        </w:tc>
        <w:tc>
          <w:tcPr>
            <w:tcW w:w="32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2,749</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53,184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(14,280)</w:t>
            </w:r>
          </w:p>
        </w:tc>
        <w:tc>
          <w:tcPr>
            <w:tcW w:w="19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43" w:name="_534038"/>
      <w:bookmarkStart w:id="344" w:name="_4f101a13_bd90_40a3_b444_24b168733a19"/>
      <w:bookmarkEnd w:id="343"/>
      <w:bookmarkEnd w:id="344"/>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345" w:name="CondensedConsolidatedStatementsofStockho"/>
      <w:bookmarkEnd w:id="345"/>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three months ended January 27, 2024 and January 28, 2023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46" w:name="Tc_X6pJbKNNkkKpW8rKmIZPzQ_25_22"/>
      <w:bookmarkStart w:id="347" w:name="Tc_f0WDHx2zSkmWsv5OGAEakA_25_20"/>
      <w:bookmarkStart w:id="348" w:name="Tc_dc-AAmww2ESgMwTFoDkhEQ_25_19"/>
      <w:bookmarkStart w:id="349" w:name="Tc_gVYMAYwUDUWPImGePtpDjQ_25_16"/>
      <w:bookmarkStart w:id="350" w:name="Tc_AdADJaCqsUi2CdtVCTPxXA_25_13"/>
      <w:bookmarkStart w:id="351" w:name="Tc_RpRftWlJWECq9EDdkjyk9A_25_10"/>
      <w:bookmarkStart w:id="352" w:name="Tc_ATnzWhBwcUWXLwYK-Il_8w_25_7"/>
      <w:bookmarkStart w:id="353" w:name="Tc_50rLwEwUXkK7pHy94SI-7w_25_4"/>
      <w:bookmarkStart w:id="354" w:name="Tc_JBIw349GPEKMZP8uyiBeDw_25_0"/>
      <w:bookmarkStart w:id="355" w:name="Tc_CCZpJtR4gk2F2YG_88x32w_24_20"/>
      <w:bookmarkStart w:id="356" w:name="Tc_ZzT7tMhhpkOwwX9xAac7lw_24_14"/>
      <w:bookmarkStart w:id="357" w:name="Tc_-4Ou5WtPH0aAe80AX3T3UQ_24_11"/>
      <w:bookmarkStart w:id="358" w:name="Tc_EqBFze_750OZKjxiXcXTcA_24_5"/>
      <w:bookmarkStart w:id="359" w:name="Tc_lfaxI5pV2Ui0MrJwrrkaxw_24_2"/>
      <w:bookmarkStart w:id="360" w:name="Tc_ykZipSEYqECRBtepvMl_TA_24_0"/>
      <w:bookmarkStart w:id="361" w:name="Tc_72CMixP2vUet2neSkXFBrw_23_20"/>
      <w:bookmarkStart w:id="362" w:name="Tc_agF6XGweW0SqgXzpyZH0Fw_23_14"/>
      <w:bookmarkStart w:id="363" w:name="Tc_B7FujwvBjkC54wHkpmz9Kw_23_11"/>
      <w:bookmarkStart w:id="364" w:name="Tc_g3R-IdWMhkyGvPVmxm8n0A_23_5"/>
      <w:bookmarkStart w:id="365" w:name="Tc_KvOq04t2Jk2Q0-U1O8PPiQ_23_0"/>
      <w:bookmarkStart w:id="366" w:name="Tc_GnbjKe7tJ02FFeXuQTzkKw_22_23"/>
      <w:bookmarkStart w:id="367" w:name="Tc_Ecqiu5Ft2UqM1yuJOBXBDg_22_20"/>
      <w:bookmarkStart w:id="368" w:name="Tc_vxmpmQ2aP0efsTXD4syuWA_22_17"/>
      <w:bookmarkStart w:id="369" w:name="Tc_f_vQrVzh7UCLqMllQpF13w_22_14"/>
      <w:bookmarkStart w:id="370" w:name="Tc_py-f4nqPb0ijAf-WIr-Ujw_22_11"/>
      <w:bookmarkStart w:id="371" w:name="Tc_JrM6pAin0EmakwcEdK2xIQ_22_8"/>
      <w:bookmarkStart w:id="372" w:name="Tc_hfRpEAZ4X0G5EInM5BjLNw_22_5"/>
      <w:bookmarkStart w:id="373" w:name="Tc_ro_pHVUaHk-b_bGld3jrWA_22_0"/>
      <w:bookmarkStart w:id="374" w:name="Tc_rTJ2SZbxiUaoUipU_8nWbA_21_23"/>
      <w:bookmarkStart w:id="375" w:name="Tc_7cLS9Xd5ukiMqTly_2rBDA_21_20"/>
      <w:bookmarkStart w:id="376" w:name="Tc_Mt1wsQGOZ0m9GyYoXibLFw_21_17"/>
      <w:bookmarkStart w:id="377" w:name="Tc_yIjG9hPFkkelHd9I3v2b7A_21_14"/>
      <w:bookmarkStart w:id="378" w:name="Tc_t13DraYjI0qxGP-zTtxLAw_21_11"/>
      <w:bookmarkStart w:id="379" w:name="Tc_PmYxR-iAEki0QQ7GDrLVjw_21_8"/>
      <w:bookmarkStart w:id="380" w:name="Tc_uVDOJAZ1VEaSfXhmLS1WFA_21_5"/>
      <w:bookmarkStart w:id="381" w:name="Tc_oY4mbljXD0OqqnRT3UMQ2A_21_0"/>
      <w:bookmarkStart w:id="382" w:name="Tc_C1wWFbvHOk2GCaEy7HUPdA_20_20"/>
      <w:bookmarkStart w:id="383" w:name="Tc_ymhjf9PplUeFczvdBdIViw_20_14"/>
      <w:bookmarkStart w:id="384" w:name="Tc_ihmBJSBJSECxngsRo4cAzg_20_11"/>
      <w:bookmarkStart w:id="385" w:name="Tc_fLPSxSfNSUako0S7dlwC5g_20_5"/>
      <w:bookmarkStart w:id="386" w:name="Tc_S2PY7H1yn0CJxLpl6BRVuA_20_0"/>
      <w:bookmarkStart w:id="387" w:name="Tc_4-73eHstmkmOP3E_CbrVzw_19_20"/>
      <w:bookmarkStart w:id="388" w:name="Tc_epQCMc9-_k6Xbh7Z7XN-8Q_19_11"/>
      <w:bookmarkStart w:id="389" w:name="Tc_VFwkluTjhka1Y-38CbVUaw_19_8"/>
      <w:bookmarkStart w:id="390" w:name="Tc_uL8usG6IL0q8l5Bt0EIoaQ_19_5"/>
      <w:bookmarkStart w:id="391" w:name="Tc_SFmGY2-iJUenWv4kM-Eiqg_19_2"/>
      <w:bookmarkStart w:id="392" w:name="Tc_ASd8NiVB6EqBUHj7ncERBA_19_0"/>
      <w:bookmarkStart w:id="393" w:name="Tc_GBtTy5nA8UqC37jEckfgPw_18_20"/>
      <w:bookmarkStart w:id="394" w:name="Tc_rFT0P-HrM0ajDaa5cLJXuQ_18_14"/>
      <w:bookmarkStart w:id="395" w:name="Tc_4863lVGJvU2_kw6lTbdq-A_18_8"/>
      <w:bookmarkStart w:id="396" w:name="Tc_IVfeExiGkk-Bj2LgQPXcoA_18_5"/>
      <w:bookmarkStart w:id="397" w:name="Tc_Bet2HbGzf0SA3_hEn6vKEQ_18_2"/>
      <w:bookmarkStart w:id="398" w:name="Tc_w-gK-GxGtE6SFELHwD5MrQ_18_0"/>
      <w:bookmarkStart w:id="399" w:name="Tc_SUL22o-O5kqMPjqKTxkV0w_17_22"/>
      <w:bookmarkStart w:id="400" w:name="Tc_dLkS3Fi5-0OBUd3KBKi10Q_17_20"/>
      <w:bookmarkStart w:id="401" w:name="Tc_B_AIF4WNNkGoKcofcntd2w_17_19"/>
      <w:bookmarkStart w:id="402" w:name="Tc_FsVu1V8V7kiuhWwxRIsg3g_17_16"/>
      <w:bookmarkStart w:id="403" w:name="Tc_w1fjFuFp10Gi4SQ6r9g0uQ_17_13"/>
      <w:bookmarkStart w:id="404" w:name="Tc_1ccgbAtCzU2rziCYTIkixQ_17_10"/>
      <w:bookmarkStart w:id="405" w:name="Tc_H_978Oolakai661Sm5SXJA_17_7"/>
      <w:bookmarkStart w:id="406" w:name="Tc_dPqvPYHxdEOZMVrM6aMilA_17_4"/>
      <w:bookmarkStart w:id="407" w:name="Tc_WocRioX3CkyEO0D7JlQ2eA_17_0"/>
      <w:bookmarkStart w:id="408" w:name="Tc_ZY_NLBXih0Kt4POwSZ2X5g_16_22"/>
      <w:bookmarkStart w:id="409" w:name="Tc_XuAmqsGv-Ue7zuRfdRneqg_16_19"/>
      <w:bookmarkStart w:id="410" w:name="Tc_mJUVyklRo0yqOdRnZwS6fA_16_16"/>
      <w:bookmarkStart w:id="411" w:name="Tc_V3kZLXOcv0SZoz0uKEEOYA_16_13"/>
      <w:bookmarkStart w:id="412" w:name="Tc_6FVmxiJLfke_CQbjbzUZXA_16_10"/>
      <w:bookmarkStart w:id="413" w:name="Tc_2_0gLIhvvkKnyORXcXDSVg_16_7"/>
      <w:bookmarkStart w:id="414" w:name="Tc_KqbjE9XYeUOLfTRZCYdV6g_16_4"/>
      <w:bookmarkStart w:id="415" w:name="Tc_EervW-YAtUKmHNs6qDwT2A_16_2"/>
      <w:bookmarkStart w:id="416" w:name="Tc_cew0ME_SwEulf5ygPX5o5A_15_19"/>
      <w:bookmarkStart w:id="417" w:name="Tc_TXNMS2ctRUK2EyNJVzyGhQ_15_16"/>
      <w:bookmarkStart w:id="418" w:name="Tc_lEj0Go8MHUuVNvm-ND6ZlQ_15_13"/>
      <w:bookmarkStart w:id="419" w:name="Tc_QMydZPwM9UK5DEAOyuiwcQ_15_10"/>
      <w:bookmarkStart w:id="420" w:name="Tc_hDusiLeQZUap5aabS5kc-g_15_7"/>
      <w:bookmarkStart w:id="421" w:name="Tc_UKygFYe-20ykZzRFN6cF0g_15_2"/>
      <w:bookmarkStart w:id="422" w:name="Tc_U-1HF_-0pESCoK5CeZemMg_14_19"/>
      <w:bookmarkStart w:id="423" w:name="Tc_iOcrOjy5xEiYW6TPNSwDyw_14_16"/>
      <w:bookmarkStart w:id="424" w:name="Tc_PORVv2r2p0iFDOc8kf4Zuw_14_13"/>
      <w:bookmarkStart w:id="425" w:name="Tc_39pBKkN0E0O4dBEFDLgumQ_14_7"/>
      <w:bookmarkStart w:id="426" w:name="Tc_7vaEAbOYLEmf1YJ227WFtw_13_13"/>
      <w:bookmarkStart w:id="427" w:name="Tc_42hY10tNiEadDc9ccEIKKA_11_22"/>
      <w:bookmarkStart w:id="428" w:name="Tc_mgW1a9OKQEmuoHVUYMnBjA_11_20"/>
      <w:bookmarkStart w:id="429" w:name="Tc__-BCg0Ci8k6yM4HmM0GPFQ_11_19"/>
      <w:bookmarkStart w:id="430" w:name="Tc_OKpH67B5XUq88jxJJNDDaw_11_16"/>
      <w:bookmarkStart w:id="431" w:name="Tc_UTcvHZhx202x3Z72kI_LJw_11_13"/>
      <w:bookmarkStart w:id="432" w:name="Tc_iiF8G0aJLk-VYK0IHyrOlg_11_10"/>
      <w:bookmarkStart w:id="433" w:name="Tc_20snyb8ZyEaQL0biNSBPzA_11_7"/>
      <w:bookmarkStart w:id="434" w:name="Tc_gAa5nGXRjU-Dn3kRu3KgCg_11_4"/>
      <w:bookmarkStart w:id="435" w:name="Tc_j3JdrYAQskOh-H59yA-OsQ_11_0"/>
      <w:bookmarkStart w:id="436" w:name="Tc_YgfIm34riUGpzfhkxjE1Eg_10_20"/>
      <w:bookmarkStart w:id="437" w:name="Tc_QF09HIuUs0Sk0pLCtcjSfw_10_14"/>
      <w:bookmarkStart w:id="438" w:name="Tc_EPSnBdTzykm6w3kjJc-MYQ_10_11"/>
      <w:bookmarkStart w:id="439" w:name="Tc_oQIcrPDncUqFvL74XplDew_10_5"/>
      <w:bookmarkStart w:id="440" w:name="Tc_WfFEMqwqtE284DAdHtufgA_10_2"/>
      <w:bookmarkStart w:id="441" w:name="Tc_DwGaMPABx06DJBrDZBKuJQ_10_0"/>
      <w:bookmarkStart w:id="442" w:name="Tc_vL2lD4xAcUGwKArdmG_gGA_9_23"/>
      <w:bookmarkStart w:id="443" w:name="Tc_-DbZWzIkZEicthHFvKizVQ_9_20"/>
      <w:bookmarkStart w:id="444" w:name="Tc_HNpUkNgZcEihUxpWWPksIw_9_17"/>
      <w:bookmarkStart w:id="445" w:name="Tc_hl0hftkIm02el2azACY07A_9_14"/>
      <w:bookmarkStart w:id="446" w:name="Tc_I04pMrs0V0KeunFTRWfYPA_9_11"/>
      <w:bookmarkStart w:id="447" w:name="Tc__ZIW1u1IUUSPkc9rjiLcMA_9_8"/>
      <w:bookmarkStart w:id="448" w:name="Tc_GuvyCi4I70WMxSAN3IO50g_9_5"/>
      <w:bookmarkStart w:id="449" w:name="Tc_yrHsIJBm4k-umDwEHZQRDg_9_0"/>
      <w:bookmarkStart w:id="450" w:name="Tc_hSHaDxBIfkeHOEN8_Nx2-A_8_23"/>
      <w:bookmarkStart w:id="451" w:name="Tc_XgnmGYyXkEKzYo-ZJTWiCw_8_20"/>
      <w:bookmarkStart w:id="452" w:name="Tc_CRXU1PxN0k2sEaO4N0Drbw_8_17"/>
      <w:bookmarkStart w:id="453" w:name="Tc_XDIQkRLNFEOZNM2gU1oZTA_8_14"/>
      <w:bookmarkStart w:id="454" w:name="Tc_h8P6cslppEWYNxxvZvZC7g_8_11"/>
      <w:bookmarkStart w:id="455" w:name="Tc_ZNLhWeLihUim0ZsJbtEv9Q_8_8"/>
      <w:bookmarkStart w:id="456" w:name="Tc_32MqBXBXJU-yywF-kzk9rg_8_5"/>
      <w:bookmarkStart w:id="457" w:name="Tc_piu7JWy7u0GIVbmwOB-oFA_8_0"/>
      <w:bookmarkStart w:id="458" w:name="Tc_0-DuEJgt_EyiNB2ejgUR-g_7_20"/>
      <w:bookmarkStart w:id="459" w:name="Tc_HoCV2fimtUG2YWWex9qJCw_7_11"/>
      <w:bookmarkStart w:id="460" w:name="Tc_tyMxF9XFL06BzajFB5GLmA_7_8"/>
      <w:bookmarkStart w:id="461" w:name="Tc_LE4WB4s1mkmARplamopg4w_7_5"/>
      <w:bookmarkStart w:id="462" w:name="Tc_AnoBlNih0k2bhLvdiA9h3w_7_2"/>
      <w:bookmarkStart w:id="463" w:name="Tc_UuLrC7UJ-USA-FCyTzSXug_7_0"/>
      <w:bookmarkStart w:id="464" w:name="Tc_CSzjkfb1X0Wz6o3KfqOHoQ_6_20"/>
      <w:bookmarkStart w:id="465" w:name="Tc_L2OkwUdgtk2i3zVDe5srug_6_14"/>
      <w:bookmarkStart w:id="466" w:name="Tc_CcernF6Q5kifhIvDLFfWBw_6_8"/>
      <w:bookmarkStart w:id="467" w:name="Tc_YrEnMFfglkaba9ohleX73A_6_5"/>
      <w:bookmarkStart w:id="468" w:name="Tc_SlFEjGBy6ES5A5fMDTVIsQ_6_2"/>
      <w:bookmarkStart w:id="469" w:name="Tc_qCDFevbQP0SmCZVezObycQ_6_0"/>
      <w:bookmarkStart w:id="470" w:name="Tc_CZ41ojWqcUiMZSXCN58tvQ_5_22"/>
      <w:bookmarkStart w:id="471" w:name="Tc_p6rKeTcJ_k-t9MXVZhiJ5g_5_20"/>
      <w:bookmarkStart w:id="472" w:name="Tc_IzQnNBvAAEuZQhytEu2k8A_5_19"/>
      <w:bookmarkStart w:id="473" w:name="Tc_hFTXUWvj40-7gtPXKJXdsA_5_16"/>
      <w:bookmarkStart w:id="474" w:name="Tc_OnfgdtwmbkWR1yh3KFgkHQ_5_13"/>
      <w:bookmarkStart w:id="475" w:name="Tc_1tLsurc4akaxqOxdS7-MnQ_5_10"/>
      <w:bookmarkStart w:id="476" w:name="Tc_BENpsk7F9kSMq-8sXxHGIw_5_7"/>
      <w:bookmarkStart w:id="477" w:name="Tc_gp1ef--uXkmNVffMRXQQvw_5_4"/>
      <w:bookmarkStart w:id="478" w:name="Tc_RsQM6vca_UuIHpE_UoTFkw_5_0"/>
      <w:bookmarkStart w:id="479" w:name="Tc_3JLZKRI4Ykakj0woOFa1Dw_4_22"/>
      <w:bookmarkStart w:id="480" w:name="Tc_L9EUqoN7CkCglCVz9jj6FA_4_19"/>
      <w:bookmarkStart w:id="481" w:name="Tc_m8Ol0QzGW0-kuF2FA4zdig_4_16"/>
      <w:bookmarkStart w:id="482" w:name="Tc_lXKSZr13e0mQ9FUA0jcc8w_4_13"/>
      <w:bookmarkStart w:id="483" w:name="Tc_MQ1VMqVAb0aiuhngkfInrg_4_10"/>
      <w:bookmarkStart w:id="484" w:name="Tc_Ttvw3Fe0lE-c8DRFl1_Otw_4_7"/>
      <w:bookmarkStart w:id="485" w:name="Tc_50yTDd40IkSZT6CMvfXhlA_4_4"/>
      <w:bookmarkStart w:id="486" w:name="Tc_rjjSWH6L6U2k5XRAvYXpcw_4_2"/>
      <w:bookmarkStart w:id="487" w:name="Tc_9ZBEcfs7yE-pAd2B506-HQ_3_19"/>
      <w:bookmarkStart w:id="488" w:name="Tc_oGaa59DhxUOawN9JKKGdaA_3_16"/>
      <w:bookmarkStart w:id="489" w:name="Tc_Fk5vOgPv5k2iT0MzVRPexg_3_13"/>
      <w:bookmarkStart w:id="490" w:name="Tc_8s2Mm3NTiUSuqrxKO8Wh_Q_3_10"/>
      <w:bookmarkStart w:id="491" w:name="Tc_QezVOKRhm0OmNsAnDq1Z-g_3_7"/>
      <w:bookmarkStart w:id="492" w:name="Tc_KiXEnTsj8EWgJnEdqKQN9Q_3_2"/>
      <w:bookmarkStart w:id="493" w:name="Tc_40t3JUvpMEW3K52iqzhOjA_2_19"/>
      <w:bookmarkStart w:id="494" w:name="Tc_yB4GS-Jqu0uq44JPjHCx9w_2_16"/>
      <w:bookmarkStart w:id="495" w:name="Tc_ExRP6_LRKkiW3rTb_rVygQ_2_13"/>
      <w:bookmarkStart w:id="496" w:name="Tc_nuJT14JJs0eHcdmK4gwlZw_2_7"/>
      <w:bookmarkStart w:id="497" w:name="Tc_SHgBI6YprUaEnUyElsdpmQ_1_13"/>
      <w:bookmarkStart w:id="498" w:name="_e343fd71_9370_4891_9d98_da0ca59612cb"/>
      <w:bookmarkStart w:id="499" w:name="Tc_X6pJbKNNkkKpW8rKmIZPzQ_25_22"/>
      <w:bookmarkStart w:id="500" w:name="Tc_f0WDHx2zSkmWsv5OGAEakA_25_20"/>
      <w:bookmarkStart w:id="501" w:name="Tc_dc-AAmww2ESgMwTFoDkhEQ_25_19"/>
      <w:bookmarkStart w:id="502" w:name="Tc_gVYMAYwUDUWPImGePtpDjQ_25_16"/>
      <w:bookmarkStart w:id="503" w:name="Tc_AdADJaCqsUi2CdtVCTPxXA_25_13"/>
      <w:bookmarkStart w:id="504" w:name="Tc_RpRftWlJWECq9EDdkjyk9A_25_10"/>
      <w:bookmarkStart w:id="505" w:name="Tc_ATnzWhBwcUWXLwYK-Il_8w_25_7"/>
      <w:bookmarkStart w:id="506" w:name="Tc_50rLwEwUXkK7pHy94SI-7w_25_4"/>
      <w:bookmarkStart w:id="507" w:name="Tc_JBIw349GPEKMZP8uyiBeDw_25_0"/>
      <w:bookmarkStart w:id="508" w:name="Tc_CCZpJtR4gk2F2YG_88x32w_24_20"/>
      <w:bookmarkStart w:id="509" w:name="Tc_ZzT7tMhhpkOwwX9xAac7lw_24_14"/>
      <w:bookmarkStart w:id="510" w:name="Tc_-4Ou5WtPH0aAe80AX3T3UQ_24_11"/>
      <w:bookmarkStart w:id="511" w:name="Tc_EqBFze_750OZKjxiXcXTcA_24_5"/>
      <w:bookmarkStart w:id="512" w:name="Tc_lfaxI5pV2Ui0MrJwrrkaxw_24_2"/>
      <w:bookmarkStart w:id="513" w:name="Tc_ykZipSEYqECRBtepvMl_TA_24_0"/>
      <w:bookmarkStart w:id="514" w:name="Tc_72CMixP2vUet2neSkXFBrw_23_20"/>
      <w:bookmarkStart w:id="515" w:name="Tc_agF6XGweW0SqgXzpyZH0Fw_23_14"/>
      <w:bookmarkStart w:id="516" w:name="Tc_B7FujwvBjkC54wHkpmz9Kw_23_11"/>
      <w:bookmarkStart w:id="517" w:name="Tc_g3R-IdWMhkyGvPVmxm8n0A_23_5"/>
      <w:bookmarkStart w:id="518" w:name="Tc_KvOq04t2Jk2Q0-U1O8PPiQ_23_0"/>
      <w:bookmarkStart w:id="519" w:name="Tc_GnbjKe7tJ02FFeXuQTzkKw_22_23"/>
      <w:bookmarkStart w:id="520" w:name="Tc_Ecqiu5Ft2UqM1yuJOBXBDg_22_20"/>
      <w:bookmarkStart w:id="521" w:name="Tc_vxmpmQ2aP0efsTXD4syuWA_22_17"/>
      <w:bookmarkStart w:id="522" w:name="Tc_f_vQrVzh7UCLqMllQpF13w_22_14"/>
      <w:bookmarkStart w:id="523" w:name="Tc_py-f4nqPb0ijAf-WIr-Ujw_22_11"/>
      <w:bookmarkStart w:id="524" w:name="Tc_JrM6pAin0EmakwcEdK2xIQ_22_8"/>
      <w:bookmarkStart w:id="525" w:name="Tc_hfRpEAZ4X0G5EInM5BjLNw_22_5"/>
      <w:bookmarkStart w:id="526" w:name="Tc_ro_pHVUaHk-b_bGld3jrWA_22_0"/>
      <w:bookmarkStart w:id="527" w:name="Tc_rTJ2SZbxiUaoUipU_8nWbA_21_23"/>
      <w:bookmarkStart w:id="528" w:name="Tc_7cLS9Xd5ukiMqTly_2rBDA_21_20"/>
      <w:bookmarkStart w:id="529" w:name="Tc_Mt1wsQGOZ0m9GyYoXibLFw_21_17"/>
      <w:bookmarkStart w:id="530" w:name="Tc_yIjG9hPFkkelHd9I3v2b7A_21_14"/>
      <w:bookmarkStart w:id="531" w:name="Tc_t13DraYjI0qxGP-zTtxLAw_21_11"/>
      <w:bookmarkStart w:id="532" w:name="Tc_PmYxR-iAEki0QQ7GDrLVjw_21_8"/>
      <w:bookmarkStart w:id="533" w:name="Tc_uVDOJAZ1VEaSfXhmLS1WFA_21_5"/>
      <w:bookmarkStart w:id="534" w:name="Tc_oY4mbljXD0OqqnRT3UMQ2A_21_0"/>
      <w:bookmarkStart w:id="535" w:name="Tc_C1wWFbvHOk2GCaEy7HUPdA_20_20"/>
      <w:bookmarkStart w:id="536" w:name="Tc_ymhjf9PplUeFczvdBdIViw_20_14"/>
      <w:bookmarkStart w:id="537" w:name="Tc_ihmBJSBJSECxngsRo4cAzg_20_11"/>
      <w:bookmarkStart w:id="538" w:name="Tc_fLPSxSfNSUako0S7dlwC5g_20_5"/>
      <w:bookmarkStart w:id="539" w:name="Tc_S2PY7H1yn0CJxLpl6BRVuA_20_0"/>
      <w:bookmarkStart w:id="540" w:name="Tc_4-73eHstmkmOP3E_CbrVzw_19_20"/>
      <w:bookmarkStart w:id="541" w:name="Tc_epQCMc9-_k6Xbh7Z7XN-8Q_19_11"/>
      <w:bookmarkStart w:id="542" w:name="Tc_VFwkluTjhka1Y-38CbVUaw_19_8"/>
      <w:bookmarkStart w:id="543" w:name="Tc_uL8usG6IL0q8l5Bt0EIoaQ_19_5"/>
      <w:bookmarkStart w:id="544" w:name="Tc_SFmGY2-iJUenWv4kM-Eiqg_19_2"/>
      <w:bookmarkStart w:id="545" w:name="Tc_ASd8NiVB6EqBUHj7ncERBA_19_0"/>
      <w:bookmarkStart w:id="546" w:name="Tc_GBtTy5nA8UqC37jEckfgPw_18_20"/>
      <w:bookmarkStart w:id="547" w:name="Tc_rFT0P-HrM0ajDaa5cLJXuQ_18_14"/>
      <w:bookmarkStart w:id="548" w:name="Tc_4863lVGJvU2_kw6lTbdq-A_18_8"/>
      <w:bookmarkStart w:id="549" w:name="Tc_IVfeExiGkk-Bj2LgQPXcoA_18_5"/>
      <w:bookmarkStart w:id="550" w:name="Tc_Bet2HbGzf0SA3_hEn6vKEQ_18_2"/>
      <w:bookmarkStart w:id="551" w:name="Tc_w-gK-GxGtE6SFELHwD5MrQ_18_0"/>
      <w:bookmarkStart w:id="552" w:name="Tc_SUL22o-O5kqMPjqKTxkV0w_17_22"/>
      <w:bookmarkStart w:id="553" w:name="Tc_dLkS3Fi5-0OBUd3KBKi10Q_17_20"/>
      <w:bookmarkStart w:id="554" w:name="Tc_B_AIF4WNNkGoKcofcntd2w_17_19"/>
      <w:bookmarkStart w:id="555" w:name="Tc_FsVu1V8V7kiuhWwxRIsg3g_17_16"/>
      <w:bookmarkStart w:id="556" w:name="Tc_w1fjFuFp10Gi4SQ6r9g0uQ_17_13"/>
      <w:bookmarkStart w:id="557" w:name="Tc_1ccgbAtCzU2rziCYTIkixQ_17_10"/>
      <w:bookmarkStart w:id="558" w:name="Tc_H_978Oolakai661Sm5SXJA_17_7"/>
      <w:bookmarkStart w:id="559" w:name="Tc_dPqvPYHxdEOZMVrM6aMilA_17_4"/>
      <w:bookmarkStart w:id="560" w:name="Tc_WocRioX3CkyEO0D7JlQ2eA_17_0"/>
      <w:bookmarkStart w:id="561" w:name="Tc_ZY_NLBXih0Kt4POwSZ2X5g_16_22"/>
      <w:bookmarkStart w:id="562" w:name="Tc_XuAmqsGv-Ue7zuRfdRneqg_16_19"/>
      <w:bookmarkStart w:id="563" w:name="Tc_mJUVyklRo0yqOdRnZwS6fA_16_16"/>
      <w:bookmarkStart w:id="564" w:name="Tc_V3kZLXOcv0SZoz0uKEEOYA_16_13"/>
      <w:bookmarkStart w:id="565" w:name="Tc_6FVmxiJLfke_CQbjbzUZXA_16_10"/>
      <w:bookmarkStart w:id="566" w:name="Tc_2_0gLIhvvkKnyORXcXDSVg_16_7"/>
      <w:bookmarkStart w:id="567" w:name="Tc_KqbjE9XYeUOLfTRZCYdV6g_16_4"/>
      <w:bookmarkStart w:id="568" w:name="Tc_EervW-YAtUKmHNs6qDwT2A_16_2"/>
      <w:bookmarkStart w:id="569" w:name="Tc_cew0ME_SwEulf5ygPX5o5A_15_19"/>
      <w:bookmarkStart w:id="570" w:name="Tc_TXNMS2ctRUK2EyNJVzyGhQ_15_16"/>
      <w:bookmarkStart w:id="571" w:name="Tc_lEj0Go8MHUuVNvm-ND6ZlQ_15_13"/>
      <w:bookmarkStart w:id="572" w:name="Tc_QMydZPwM9UK5DEAOyuiwcQ_15_10"/>
      <w:bookmarkStart w:id="573" w:name="Tc_hDusiLeQZUap5aabS5kc-g_15_7"/>
      <w:bookmarkStart w:id="574" w:name="Tc_UKygFYe-20ykZzRFN6cF0g_15_2"/>
      <w:bookmarkStart w:id="575" w:name="Tc_U-1HF_-0pESCoK5CeZemMg_14_19"/>
      <w:bookmarkStart w:id="576" w:name="Tc_iOcrOjy5xEiYW6TPNSwDyw_14_16"/>
      <w:bookmarkStart w:id="577" w:name="Tc_PORVv2r2p0iFDOc8kf4Zuw_14_13"/>
      <w:bookmarkStart w:id="578" w:name="Tc_39pBKkN0E0O4dBEFDLgumQ_14_7"/>
      <w:bookmarkStart w:id="579" w:name="Tc_7vaEAbOYLEmf1YJ227WFtw_13_13"/>
      <w:bookmarkStart w:id="580" w:name="Tc_42hY10tNiEadDc9ccEIKKA_11_22"/>
      <w:bookmarkStart w:id="581" w:name="Tc_mgW1a9OKQEmuoHVUYMnBjA_11_20"/>
      <w:bookmarkStart w:id="582" w:name="Tc__-BCg0Ci8k6yM4HmM0GPFQ_11_19"/>
      <w:bookmarkStart w:id="583" w:name="Tc_OKpH67B5XUq88jxJJNDDaw_11_16"/>
      <w:bookmarkStart w:id="584" w:name="Tc_UTcvHZhx202x3Z72kI_LJw_11_13"/>
      <w:bookmarkStart w:id="585" w:name="Tc_iiF8G0aJLk-VYK0IHyrOlg_11_10"/>
      <w:bookmarkStart w:id="586" w:name="Tc_20snyb8ZyEaQL0biNSBPzA_11_7"/>
      <w:bookmarkStart w:id="587" w:name="Tc_gAa5nGXRjU-Dn3kRu3KgCg_11_4"/>
      <w:bookmarkStart w:id="588" w:name="Tc_j3JdrYAQskOh-H59yA-OsQ_11_0"/>
      <w:bookmarkStart w:id="589" w:name="Tc_YgfIm34riUGpzfhkxjE1Eg_10_20"/>
      <w:bookmarkStart w:id="590" w:name="Tc_QF09HIuUs0Sk0pLCtcjSfw_10_14"/>
      <w:bookmarkStart w:id="591" w:name="Tc_EPSnBdTzykm6w3kjJc-MYQ_10_11"/>
      <w:bookmarkStart w:id="592" w:name="Tc_oQIcrPDncUqFvL74XplDew_10_5"/>
      <w:bookmarkStart w:id="593" w:name="Tc_WfFEMqwqtE284DAdHtufgA_10_2"/>
      <w:bookmarkStart w:id="594" w:name="Tc_DwGaMPABx06DJBrDZBKuJQ_10_0"/>
      <w:bookmarkStart w:id="595" w:name="Tc_vL2lD4xAcUGwKArdmG_gGA_9_23"/>
      <w:bookmarkStart w:id="596" w:name="Tc_-DbZWzIkZEicthHFvKizVQ_9_20"/>
      <w:bookmarkStart w:id="597" w:name="Tc_HNpUkNgZcEihUxpWWPksIw_9_17"/>
      <w:bookmarkStart w:id="598" w:name="Tc_hl0hftkIm02el2azACY07A_9_14"/>
      <w:bookmarkStart w:id="599" w:name="Tc_I04pMrs0V0KeunFTRWfYPA_9_11"/>
      <w:bookmarkStart w:id="600" w:name="Tc__ZIW1u1IUUSPkc9rjiLcMA_9_8"/>
      <w:bookmarkStart w:id="601" w:name="Tc_GuvyCi4I70WMxSAN3IO50g_9_5"/>
      <w:bookmarkStart w:id="602" w:name="Tc_yrHsIJBm4k-umDwEHZQRDg_9_0"/>
      <w:bookmarkStart w:id="603" w:name="Tc_hSHaDxBIfkeHOEN8_Nx2-A_8_23"/>
      <w:bookmarkStart w:id="604" w:name="Tc_XgnmGYyXkEKzYo-ZJTWiCw_8_20"/>
      <w:bookmarkStart w:id="605" w:name="Tc_CRXU1PxN0k2sEaO4N0Drbw_8_17"/>
      <w:bookmarkStart w:id="606" w:name="Tc_XDIQkRLNFEOZNM2gU1oZTA_8_14"/>
      <w:bookmarkStart w:id="607" w:name="Tc_h8P6cslppEWYNxxvZvZC7g_8_11"/>
      <w:bookmarkStart w:id="608" w:name="Tc_ZNLhWeLihUim0ZsJbtEv9Q_8_8"/>
      <w:bookmarkStart w:id="609" w:name="Tc_32MqBXBXJU-yywF-kzk9rg_8_5"/>
      <w:bookmarkStart w:id="610" w:name="Tc_piu7JWy7u0GIVbmwOB-oFA_8_0"/>
      <w:bookmarkStart w:id="611" w:name="Tc_0-DuEJgt_EyiNB2ejgUR-g_7_20"/>
      <w:bookmarkStart w:id="612" w:name="Tc_HoCV2fimtUG2YWWex9qJCw_7_11"/>
      <w:bookmarkStart w:id="613" w:name="Tc_tyMxF9XFL06BzajFB5GLmA_7_8"/>
      <w:bookmarkStart w:id="614" w:name="Tc_LE4WB4s1mkmARplamopg4w_7_5"/>
      <w:bookmarkStart w:id="615" w:name="Tc_AnoBlNih0k2bhLvdiA9h3w_7_2"/>
      <w:bookmarkStart w:id="616" w:name="Tc_UuLrC7UJ-USA-FCyTzSXug_7_0"/>
      <w:bookmarkStart w:id="617" w:name="Tc_CSzjkfb1X0Wz6o3KfqOHoQ_6_20"/>
      <w:bookmarkStart w:id="618" w:name="Tc_L2OkwUdgtk2i3zVDe5srug_6_14"/>
      <w:bookmarkStart w:id="619" w:name="Tc_CcernF6Q5kifhIvDLFfWBw_6_8"/>
      <w:bookmarkStart w:id="620" w:name="Tc_YrEnMFfglkaba9ohleX73A_6_5"/>
      <w:bookmarkStart w:id="621" w:name="Tc_SlFEjGBy6ES5A5fMDTVIsQ_6_2"/>
      <w:bookmarkStart w:id="622" w:name="Tc_qCDFevbQP0SmCZVezObycQ_6_0"/>
      <w:bookmarkStart w:id="623" w:name="Tc_CZ41ojWqcUiMZSXCN58tvQ_5_22"/>
      <w:bookmarkStart w:id="624" w:name="Tc_p6rKeTcJ_k-t9MXVZhiJ5g_5_20"/>
      <w:bookmarkStart w:id="625" w:name="Tc_IzQnNBvAAEuZQhytEu2k8A_5_19"/>
      <w:bookmarkStart w:id="626" w:name="Tc_hFTXUWvj40-7gtPXKJXdsA_5_16"/>
      <w:bookmarkStart w:id="627" w:name="Tc_OnfgdtwmbkWR1yh3KFgkHQ_5_13"/>
      <w:bookmarkStart w:id="628" w:name="Tc_1tLsurc4akaxqOxdS7-MnQ_5_10"/>
      <w:bookmarkStart w:id="629" w:name="Tc_BENpsk7F9kSMq-8sXxHGIw_5_7"/>
      <w:bookmarkStart w:id="630" w:name="Tc_gp1ef--uXkmNVffMRXQQvw_5_4"/>
      <w:bookmarkStart w:id="631" w:name="Tc_RsQM6vca_UuIHpE_UoTFkw_5_0"/>
      <w:bookmarkStart w:id="632" w:name="Tc_3JLZKRI4Ykakj0woOFa1Dw_4_22"/>
      <w:bookmarkStart w:id="633" w:name="Tc_L9EUqoN7CkCglCVz9jj6FA_4_19"/>
      <w:bookmarkStart w:id="634" w:name="Tc_m8Ol0QzGW0-kuF2FA4zdig_4_16"/>
      <w:bookmarkStart w:id="635" w:name="Tc_lXKSZr13e0mQ9FUA0jcc8w_4_13"/>
      <w:bookmarkStart w:id="636" w:name="Tc_MQ1VMqVAb0aiuhngkfInrg_4_10"/>
      <w:bookmarkStart w:id="637" w:name="Tc_Ttvw3Fe0lE-c8DRFl1_Otw_4_7"/>
      <w:bookmarkStart w:id="638" w:name="Tc_50yTDd40IkSZT6CMvfXhlA_4_4"/>
      <w:bookmarkStart w:id="639" w:name="Tc_rjjSWH6L6U2k5XRAvYXpcw_4_2"/>
      <w:bookmarkStart w:id="640" w:name="Tc_9ZBEcfs7yE-pAd2B506-HQ_3_19"/>
      <w:bookmarkStart w:id="641" w:name="Tc_oGaa59DhxUOawN9JKKGdaA_3_16"/>
      <w:bookmarkStart w:id="642" w:name="Tc_Fk5vOgPv5k2iT0MzVRPexg_3_13"/>
      <w:bookmarkStart w:id="643" w:name="Tc_8s2Mm3NTiUSuqrxKO8Wh_Q_3_10"/>
      <w:bookmarkStart w:id="644" w:name="Tc_QezVOKRhm0OmNsAnDq1Z-g_3_7"/>
      <w:bookmarkStart w:id="645" w:name="Tc_KiXEnTsj8EWgJnEdqKQN9Q_3_2"/>
      <w:bookmarkStart w:id="646" w:name="Tc_40t3JUvpMEW3K52iqzhOjA_2_19"/>
      <w:bookmarkStart w:id="647" w:name="Tc_yB4GS-Jqu0uq44JPjHCx9w_2_16"/>
      <w:bookmarkStart w:id="648" w:name="Tc_ExRP6_LRKkiW3rTb_rVygQ_2_13"/>
      <w:bookmarkStart w:id="649" w:name="Tc_nuJT14JJs0eHcdmK4gwlZw_2_7"/>
      <w:bookmarkStart w:id="650" w:name="Tc_SHgBI6YprUaEnUyElsdpmQ_1_13"/>
      <w:bookmarkStart w:id="651" w:name="_e343fd71_9370_4891_9d98_da0ca59612cb"/>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tbl>
      <w:tblPr>
        <w:tblW w:w="10646" w:type="dxa"/>
        <w:jc w:val="left"/>
        <w:tblInd w:w="0" w:type="dxa"/>
        <w:tblLayout w:type="fixed"/>
        <w:tblCellMar>
          <w:top w:w="0" w:type="dxa"/>
          <w:left w:w="0" w:type="dxa"/>
          <w:bottom w:w="0" w:type="dxa"/>
          <w:right w:w="0" w:type="dxa"/>
        </w:tblCellMar>
      </w:tblPr>
      <w:tblGrid>
        <w:gridCol w:w="1336"/>
        <w:gridCol w:w="326"/>
        <w:gridCol w:w="916"/>
        <w:gridCol w:w="326"/>
        <w:gridCol w:w="206"/>
        <w:gridCol w:w="365"/>
        <w:gridCol w:w="326"/>
        <w:gridCol w:w="196"/>
        <w:gridCol w:w="691"/>
        <w:gridCol w:w="326"/>
        <w:gridCol w:w="196"/>
        <w:gridCol w:w="691"/>
        <w:gridCol w:w="326"/>
        <w:gridCol w:w="260"/>
        <w:gridCol w:w="761"/>
        <w:gridCol w:w="109"/>
        <w:gridCol w:w="232"/>
        <w:gridCol w:w="819"/>
        <w:gridCol w:w="109"/>
        <w:gridCol w:w="293"/>
        <w:gridCol w:w="518"/>
        <w:gridCol w:w="326"/>
        <w:gridCol w:w="196"/>
        <w:gridCol w:w="796"/>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848360" cy="175260"/>
                      <wp:effectExtent l="0" t="0" r="0" b="0"/>
                      <wp:wrapNone/>
                      <wp:docPr id="40" name="Frame40"/>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81660" cy="175260"/>
                      <wp:effectExtent l="0" t="0" r="0" b="0"/>
                      <wp:wrapNone/>
                      <wp:docPr id="42" name="Frame4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30810" cy="175260"/>
                      <wp:effectExtent l="0" t="0" r="0" b="0"/>
                      <wp:wrapNone/>
                      <wp:docPr id="44" name="Frame4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31775" cy="175260"/>
                      <wp:effectExtent l="0" t="0" r="0" b="0"/>
                      <wp:wrapNone/>
                      <wp:docPr id="45" name="Frame45"/>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124460" cy="175260"/>
                      <wp:effectExtent l="0" t="0" r="0" b="0"/>
                      <wp:wrapNone/>
                      <wp:docPr id="47" name="Frame4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438785" cy="175260"/>
                      <wp:effectExtent l="0" t="0" r="0" b="0"/>
                      <wp:wrapNone/>
                      <wp:docPr id="48" name="Frame4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07010" cy="175260"/>
                      <wp:effectExtent l="0" t="0" r="0" b="0"/>
                      <wp:wrapNone/>
                      <wp:docPr id="49" name="Frame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124460" cy="175260"/>
                      <wp:effectExtent l="0" t="0" r="0" b="0"/>
                      <wp:wrapNone/>
                      <wp:docPr id="50" name="Frame5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438785" cy="175260"/>
                      <wp:effectExtent l="0" t="0" r="0" b="0"/>
                      <wp:wrapNone/>
                      <wp:docPr id="51" name="Frame5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65100" cy="175260"/>
                      <wp:effectExtent l="0" t="0" r="0" b="0"/>
                      <wp:wrapNone/>
                      <wp:docPr id="53" name="Frame5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483235" cy="175260"/>
                      <wp:effectExtent l="0" t="0" r="0" b="0"/>
                      <wp:wrapNone/>
                      <wp:docPr id="54" name="Frame5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47320" cy="175260"/>
                      <wp:effectExtent l="0" t="0" r="0" b="0"/>
                      <wp:wrapNone/>
                      <wp:docPr id="56" name="Frame56"/>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520065" cy="175260"/>
                      <wp:effectExtent l="0" t="0" r="0" b="0"/>
                      <wp:wrapNone/>
                      <wp:docPr id="57" name="Frame57"/>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86055" cy="175260"/>
                      <wp:effectExtent l="0" t="0" r="0" b="0"/>
                      <wp:wrapNone/>
                      <wp:docPr id="59" name="Frame59"/>
                      <a:graphic xmlns:a="http://schemas.openxmlformats.org/drawingml/2006/main">
                        <a:graphicData uri="http://schemas.microsoft.com/office/word/2010/wordprocessingShape">
                          <wps:wsp>
                            <wps:cNvSpPr txBox="1"/>
                            <wps:spPr>
                              <a:xfrm>
                                <a:off x="0" y="0"/>
                                <a:ext cx="1860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328930" cy="175260"/>
                      <wp:effectExtent l="0" t="0" r="0" b="0"/>
                      <wp:wrapNone/>
                      <wp:docPr id="60" name="Frame60"/>
                      <a:graphic xmlns:a="http://schemas.openxmlformats.org/drawingml/2006/main">
                        <a:graphicData uri="http://schemas.microsoft.com/office/word/2010/wordprocessingShape">
                          <wps:wsp>
                            <wps:cNvSpPr txBox="1"/>
                            <wps:spPr>
                              <a:xfrm>
                                <a:off x="0" y="0"/>
                                <a:ext cx="32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505460" cy="175260"/>
                      <wp:effectExtent l="0" t="0" r="0" b="0"/>
                      <wp:wrapNone/>
                      <wp:docPr id="63" name="Frame6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81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3" w:type="dxa"/>
            <w:tcBorders/>
            <w:vAlign w:val="center"/>
          </w:tcPr>
          <w:p>
            <w:pPr>
              <w:pStyle w:val="TableContents"/>
              <w:bidi w:val="0"/>
              <w:spacing w:before="0" w:after="0"/>
              <w:ind w:left="0" w:right="0" w:hanging="0"/>
              <w:jc w:val="center"/>
              <w:rPr/>
            </w:pPr>
            <w:r>
              <w:rPr/>
              <w:t>​</w:t>
            </w:r>
          </w:p>
        </w:tc>
        <w:tc>
          <w:tcPr>
            <w:tcW w:w="5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AeroVironment, Inc.</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Controlling</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October 28, 2023</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28,135,539</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589,047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210,756</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(6,077)</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793,730</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793,730</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13,885</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13,885</w:t>
            </w:r>
          </w:p>
        </w:tc>
        <w:tc>
          <w:tcPr>
            <w:tcW w:w="109"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13,885</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1,189</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1,189</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1,189</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4,622</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(3,426)</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4,181</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4,181</w:t>
            </w:r>
          </w:p>
        </w:tc>
        <w:tc>
          <w:tcPr>
            <w:tcW w:w="109" w:type="dxa"/>
            <w:tcBorders/>
            <w:vAlign w:val="center"/>
          </w:tcPr>
          <w:p>
            <w:pPr>
              <w:pStyle w:val="TableContents"/>
              <w:bidi w:val="0"/>
              <w:spacing w:before="0" w:after="0"/>
              <w:ind w:left="0" w:right="0" w:hanging="0"/>
              <w:jc w:val="righ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4,181</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27, 2024</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28,136,735</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593,228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224,641</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(4,888)</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812,985</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812,985</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93" w:type="dxa"/>
            <w:tcBorders/>
            <w:vAlign w:val="center"/>
          </w:tcPr>
          <w:p>
            <w:pPr>
              <w:pStyle w:val="TableContents"/>
              <w:bidi w:val="0"/>
              <w:spacing w:before="0" w:after="0"/>
              <w:ind w:left="0" w:right="0" w:hanging="0"/>
              <w:jc w:val="left"/>
              <w:rPr/>
            </w:pPr>
            <w:r>
              <w:rPr/>
              <w:t>​</w:t>
            </w:r>
          </w:p>
        </w:tc>
        <w:tc>
          <w:tcPr>
            <w:tcW w:w="51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81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93" w:type="dxa"/>
            <w:tcBorders/>
            <w:vAlign w:val="center"/>
          </w:tcPr>
          <w:p>
            <w:pPr>
              <w:pStyle w:val="TableContents"/>
              <w:bidi w:val="0"/>
              <w:spacing w:before="0" w:after="0"/>
              <w:ind w:left="0" w:right="0" w:hanging="0"/>
              <w:jc w:val="center"/>
              <w:rPr/>
            </w:pPr>
            <w:r>
              <w:rPr/>
              <w:t>​</w:t>
            </w:r>
          </w:p>
        </w:tc>
        <w:tc>
          <w:tcPr>
            <w:tcW w:w="51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AeroVironment, Inc.</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Controlling</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October 29, 2022</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25,157,618</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283,789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332,170</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(8,480)</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607,483</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607,483</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c>
          <w:tcPr>
            <w:tcW w:w="109"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(676)</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3,425</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3,425</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3,425</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 exercised</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c>
          <w:tcPr>
            <w:tcW w:w="109"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1,812</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(1,935)</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93" w:type="dxa"/>
            <w:tcBorders/>
            <w:vAlign w:val="center"/>
          </w:tcPr>
          <w:p>
            <w:pPr>
              <w:pStyle w:val="TableContents"/>
              <w:bidi w:val="0"/>
              <w:spacing w:before="0" w:after="0"/>
              <w:ind w:left="0" w:right="0" w:hanging="0"/>
              <w:jc w:val="right"/>
              <w:rPr/>
            </w:pPr>
            <w:r>
              <w:rPr/>
              <w:t>​</w:t>
            </w:r>
          </w:p>
        </w:tc>
        <w:tc>
          <w:tcPr>
            <w:tcW w:w="51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net of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96,530</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8,389</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shd w:fill="CCEEFF" w:val="clear"/>
            <w:vAlign w:val="center"/>
          </w:tcPr>
          <w:p>
            <w:pPr>
              <w:pStyle w:val="TableContents"/>
              <w:bidi w:val="0"/>
              <w:spacing w:before="0" w:after="0"/>
              <w:ind w:left="0" w:right="0" w:hanging="0"/>
              <w:jc w:val="right"/>
              <w:rPr/>
            </w:pPr>
            <w:r>
              <w:rPr/>
              <w:t>​</w:t>
            </w:r>
          </w:p>
        </w:tc>
        <w:tc>
          <w:tcPr>
            <w:tcW w:w="518"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8,389</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2,706</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2,706</w:t>
            </w:r>
          </w:p>
        </w:tc>
        <w:tc>
          <w:tcPr>
            <w:tcW w:w="109" w:type="dxa"/>
            <w:tcBorders/>
            <w:vAlign w:val="center"/>
          </w:tcPr>
          <w:p>
            <w:pPr>
              <w:pStyle w:val="TableContents"/>
              <w:bidi w:val="0"/>
              <w:spacing w:before="0" w:after="0"/>
              <w:ind w:left="0" w:right="0" w:hanging="0"/>
              <w:jc w:val="right"/>
              <w:rPr/>
            </w:pPr>
            <w:r>
              <w:rPr/>
              <w:t>​</w:t>
            </w:r>
          </w:p>
        </w:tc>
        <w:tc>
          <w:tcPr>
            <w:tcW w:w="29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51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2,706</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28, 2023</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25,264,025</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295,070</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331,494</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(5,055)</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621,513</w:t>
            </w:r>
          </w:p>
        </w:tc>
        <w:tc>
          <w:tcPr>
            <w:tcW w:w="109" w:type="dxa"/>
            <w:tcBorders/>
            <w:shd w:fill="CCEEFF" w:val="clear"/>
            <w:vAlign w:val="center"/>
          </w:tcPr>
          <w:p>
            <w:pPr>
              <w:pStyle w:val="TableContents"/>
              <w:bidi w:val="0"/>
              <w:spacing w:before="0" w:after="0"/>
              <w:ind w:left="0" w:right="0" w:hanging="0"/>
              <w:jc w:val="right"/>
              <w:rPr/>
            </w:pPr>
            <w:r>
              <w:rPr/>
              <w:t>​</w:t>
            </w:r>
          </w:p>
        </w:tc>
        <w:tc>
          <w:tcPr>
            <w:tcW w:w="29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621,513</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nine months ended January 27, 2024 and January 28, 2023 (Unaudited)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52" w:name="Tc_gG7dWI6kAkScddUxYmCDWg_31_22"/>
      <w:bookmarkStart w:id="653" w:name="Tc_2F8bziDdn0SnXzSvaxfdHg_31_20"/>
      <w:bookmarkStart w:id="654" w:name="Tc_hmBAWzoQA0S02hNK_HT-QQ_31_19"/>
      <w:bookmarkStart w:id="655" w:name="Tc_ThwVGNMo7k2z0zIcgBjkqA_31_16"/>
      <w:bookmarkStart w:id="656" w:name="Tc_hzIaqboadUaUNfZO0r9Aqg_31_13"/>
      <w:bookmarkStart w:id="657" w:name="Tc_m63gDiF-UEyJOXfd_tH76Q_31_10"/>
      <w:bookmarkStart w:id="658" w:name="Tc_cDm4XRlpDEuHfyeZ8lkygA_31_7"/>
      <w:bookmarkStart w:id="659" w:name="Tc__-_VH42J4UOFwGZcd4mRcw_31_4"/>
      <w:bookmarkStart w:id="660" w:name="Tc_essBZYUjP0GPdF4PdpTRGw_31_0"/>
      <w:bookmarkStart w:id="661" w:name="Tc_p2xCzoj_VUe2eyRuzdaZMA_30_20"/>
      <w:bookmarkStart w:id="662" w:name="Tc_qO_RvqYtg0mGgT2vANoIBA_30_14"/>
      <w:bookmarkStart w:id="663" w:name="Tc_tgske2ccKkOy9fosUz_Dcw_30_11"/>
      <w:bookmarkStart w:id="664" w:name="Tc_hABwLvIug0WsRfCSuv8gDw_30_5"/>
      <w:bookmarkStart w:id="665" w:name="Tc_uWrlkZb5mU6hCYVJXW3F1g_30_2"/>
      <w:bookmarkStart w:id="666" w:name="Tc_46CltMSOdU-v1nksCETH9A_30_0"/>
      <w:bookmarkStart w:id="667" w:name="Tc_ItpL5UfW_kyiQJy7BQoq9g_29_17"/>
      <w:bookmarkStart w:id="668" w:name="Tc_7hfQIK8YF0GJitiubJBv9A_29_14"/>
      <w:bookmarkStart w:id="669" w:name="Tc_-TR0RlGOzki06a-oEoU8GA_29_11"/>
      <w:bookmarkStart w:id="670" w:name="Tc_VPml0pDKN0youQfpH_g0IA_29_8"/>
      <w:bookmarkStart w:id="671" w:name="Tc_MfcPgAJfjUaqApip8AKgsA_29_5"/>
      <w:bookmarkStart w:id="672" w:name="Tc_UTJM4M9QlUG5uaD-wb4pyg_29_2"/>
      <w:bookmarkStart w:id="673" w:name="Tc_Y8fv2_R7g0O63YWQLm6lPw_29_0"/>
      <w:bookmarkStart w:id="674" w:name="Tc_APeXZrjqsEuKVZ02Q4Jayg_28_20"/>
      <w:bookmarkStart w:id="675" w:name="Tc_vgUvsNsvSk6TtvkBQzkIVg_28_14"/>
      <w:bookmarkStart w:id="676" w:name="Tc__LyzpL5mwka3tVE_5qG_Xg_28_11"/>
      <w:bookmarkStart w:id="677" w:name="Tc_XtRyHbBbrku_ahtqVVsQgA_28_0"/>
      <w:bookmarkStart w:id="678" w:name="Tc_nPb1RVO6gUurJ56oojKeSg_27_20"/>
      <w:bookmarkStart w:id="679" w:name="Tc_KAkXJNMa7UKoV0rSwcEBaw_27_14"/>
      <w:bookmarkStart w:id="680" w:name="Tc_ofTTwzdyD0GK1SbRm7z4ng_27_11"/>
      <w:bookmarkStart w:id="681" w:name="Tc_TzL14--t0kaxIpGC70VIWQ_27_5"/>
      <w:bookmarkStart w:id="682" w:name="Tc_9YNQeNp5LUO9nnKfyVpjew_27_0"/>
      <w:bookmarkStart w:id="683" w:name="Tc_LFeIRHjweEW1Ww9PSxjiew_26_23"/>
      <w:bookmarkStart w:id="684" w:name="Tc_N_NI4B1-wk2x2d-Wq3jndg_26_20"/>
      <w:bookmarkStart w:id="685" w:name="Tc_ufnDR5honkqn4KXvJSW3ig_26_17"/>
      <w:bookmarkStart w:id="686" w:name="Tc_-6qmhKT0JEq1A05Q6BMR-g_26_14"/>
      <w:bookmarkStart w:id="687" w:name="Tc_qv0L3TaO9USVrHNKC97TrQ_26_11"/>
      <w:bookmarkStart w:id="688" w:name="Tc_uVnUKdZC7Ee56zBx-4yv5A_26_8"/>
      <w:bookmarkStart w:id="689" w:name="Tc_flm9SCVgHk-a7FAVX5-Zrw_26_5"/>
      <w:bookmarkStart w:id="690" w:name="Tc_dNYZPLOIvECGAM9KFkHhqA_26_0"/>
      <w:bookmarkStart w:id="691" w:name="Tc_Ue3DccgneEeFdJQMGE6DSw_25_23"/>
      <w:bookmarkStart w:id="692" w:name="Tc_mEWF7UzxU0Sue2MWUTLsXg_25_20"/>
      <w:bookmarkStart w:id="693" w:name="Tc_Pgr_JepMi0WCwJQkGgLZSA_25_17"/>
      <w:bookmarkStart w:id="694" w:name="Tc_xzikMXcthk6EMJHa0xpSuw_25_14"/>
      <w:bookmarkStart w:id="695" w:name="Tc_ey8qdS-l8UG0st5fSsNW_w_25_11"/>
      <w:bookmarkStart w:id="696" w:name="Tc_h7G0Zc3r2UqIFpZizokmyg_25_8"/>
      <w:bookmarkStart w:id="697" w:name="Tc_10Tv837UkE2cc8uprdihJw_25_5"/>
      <w:bookmarkStart w:id="698" w:name="Tc_mJbpEmfDJ0qLQ13DPXm3pQ_25_0"/>
      <w:bookmarkStart w:id="699" w:name="Tc_NRcoKt4QB0W2WdDDWMFMTA_24_20"/>
      <w:bookmarkStart w:id="700" w:name="Tc_wbQ74as8pkeYVfNWldBYOA_24_14"/>
      <w:bookmarkStart w:id="701" w:name="Tc_06WqT-RW10KkDdqNBohtzQ_24_11"/>
      <w:bookmarkStart w:id="702" w:name="Tc_LuulwxOlVECp5GchH6IFqw_24_5"/>
      <w:bookmarkStart w:id="703" w:name="Tc_MjsrmSQnRU-WVDH0dV4F0Q_24_0"/>
      <w:bookmarkStart w:id="704" w:name="Tc_dh6AB-v-WEmHVKs8CkcK7Q_23_20"/>
      <w:bookmarkStart w:id="705" w:name="Tc_SdxX12OJ8k2cMNF8_YIK1Q_23_11"/>
      <w:bookmarkStart w:id="706" w:name="Tc_AYWC9sge9E6emDmwM4f4Fw_23_8"/>
      <w:bookmarkStart w:id="707" w:name="Tc_DWQFXSXBSkiQsDClbW-JYw_23_5"/>
      <w:bookmarkStart w:id="708" w:name="Tc_9_gdofNX30qXwtwBR0ZdHw_23_2"/>
      <w:bookmarkStart w:id="709" w:name="Tc_xdSUUrTDpUmBVffGQhkEvg_23_0"/>
      <w:bookmarkStart w:id="710" w:name="Tc_PDneXPg8o0qQ60eZNT5H8Q_22_20"/>
      <w:bookmarkStart w:id="711" w:name="Tc_SGttcIvpDU69Hru1zida7Q_22_11"/>
      <w:bookmarkStart w:id="712" w:name="Tc_JXktHNZhA0CQJZs_V589hQ_22_8"/>
      <w:bookmarkStart w:id="713" w:name="Tc_x8III5JcXEivbs-Dto-tmg_22_5"/>
      <w:bookmarkStart w:id="714" w:name="Tc_8y1aH1cx3UOQYuG6ZJo60w_22_2"/>
      <w:bookmarkStart w:id="715" w:name="Tc_2STz9fkulEaW-jFKsfQWaA_22_0"/>
      <w:bookmarkStart w:id="716" w:name="Tc_jZ1QV2ZwdEKFnDlEatWg7A_21_14"/>
      <w:bookmarkStart w:id="717" w:name="Tc_n6e4hgYnI0u07HeO8HTR9Q_21_8"/>
      <w:bookmarkStart w:id="718" w:name="Tc__UP17cmgqEiE3AfszmSlxQ_21_5"/>
      <w:bookmarkStart w:id="719" w:name="Tc_h3snxS-fz06Vwe__BtByKw_21_2"/>
      <w:bookmarkStart w:id="720" w:name="Tc_ABanct0yKUKAY9e1_atDWA_21_0"/>
      <w:bookmarkStart w:id="721" w:name="Tc_6oTFZmIHiUeTg1hAHK-E6w_20_22"/>
      <w:bookmarkStart w:id="722" w:name="Tc_cmUvt49FeUSA_7lzgwmtLA_20_19"/>
      <w:bookmarkStart w:id="723" w:name="Tc_zfbOXsUCCk-cXGT5XChGKw_20_16"/>
      <w:bookmarkStart w:id="724" w:name="Tc_3DMlb6w950KPhlrU24JBbA_20_13"/>
      <w:bookmarkStart w:id="725" w:name="Tc_cKe65No1dkO06s5nh15ShA_20_10"/>
      <w:bookmarkStart w:id="726" w:name="Tc_x0MsdtAuHkuik4X33okNDg_20_7"/>
      <w:bookmarkStart w:id="727" w:name="Tc_W2jumrYp80qaHAz3F9KGKg_20_4"/>
      <w:bookmarkStart w:id="728" w:name="Tc_tAA4EFnhsk61hj_smIZ5zw_20_0"/>
      <w:bookmarkStart w:id="729" w:name="Tc_MlM_0wOh20m2bCEKSFCk2A_19_22"/>
      <w:bookmarkStart w:id="730" w:name="Tc_RpgT4HyiOUKOQ6Av5fw1uA_19_19"/>
      <w:bookmarkStart w:id="731" w:name="Tc_k54h8kfjhkOP6wtvg3WSQA_19_16"/>
      <w:bookmarkStart w:id="732" w:name="Tc_gqjNPkGzLUSqbLaiXZdV_w_19_13"/>
      <w:bookmarkStart w:id="733" w:name="Tc_YA1IN3lE7k2k5HAdnB8aIA_19_10"/>
      <w:bookmarkStart w:id="734" w:name="Tc_bItzpDCli06QXm_jR0sZvA_19_7"/>
      <w:bookmarkStart w:id="735" w:name="Tc_S2QXizlXo0-qgTPPzp9qRw_19_4"/>
      <w:bookmarkStart w:id="736" w:name="Tc_gf1MkI1J2UmtFjYv39ZdEA_19_2"/>
      <w:bookmarkStart w:id="737" w:name="Tc_zNIByLnVik-LJdtx2jp4wg_18_19"/>
      <w:bookmarkStart w:id="738" w:name="Tc_jfMuU9Gam0eQSLYaVunPwA_18_16"/>
      <w:bookmarkStart w:id="739" w:name="Tc_V3fgQQEteUaLu3gu7rbv-Q_18_13"/>
      <w:bookmarkStart w:id="740" w:name="Tc_kPVf6TUCUESM6iJ5tYEECQ_18_10"/>
      <w:bookmarkStart w:id="741" w:name="Tc_QCxiaUVhI0ml2vRGLSX1sw_18_7"/>
      <w:bookmarkStart w:id="742" w:name="Tc_VDjfI3eiW02yl3ErKbyoCQ_18_2"/>
      <w:bookmarkStart w:id="743" w:name="Tc_7_fxlrWuXkKOnrY3rgwdbQ_17_19"/>
      <w:bookmarkStart w:id="744" w:name="Tc_QkanOIr8tU27b_8BdaTcvw_17_16"/>
      <w:bookmarkStart w:id="745" w:name="Tc_BEPB5hq9BEqExqJeHyqecw_17_13"/>
      <w:bookmarkStart w:id="746" w:name="Tc_ko8HswcL60av8wlCSQOs3A_17_7"/>
      <w:bookmarkStart w:id="747" w:name="Tc_ciMRhuV--0G8nOjNyTfMDw_16_13"/>
      <w:bookmarkStart w:id="748" w:name="Tc_djKo0Soy5EaxKXgDb5Udgw_14_22"/>
      <w:bookmarkStart w:id="749" w:name="Tc_q6dFK9boek2dEtLZUFPxkg_14_20"/>
      <w:bookmarkStart w:id="750" w:name="Tc_AiITWDiaYUOqSkByujiyLw_14_19"/>
      <w:bookmarkStart w:id="751" w:name="Tc_3neXRxa7nEiVRJfaLc0sVw_14_16"/>
      <w:bookmarkStart w:id="752" w:name="Tc_sTL-Qqa9gkCp0Ld0R-2FAw_14_13"/>
      <w:bookmarkStart w:id="753" w:name="Tc_gMU2yEDprEufzCmw3kiNQQ_14_10"/>
      <w:bookmarkStart w:id="754" w:name="Tc_3HX7lYQziUexgpeyP-bmCA_14_7"/>
      <w:bookmarkStart w:id="755" w:name="Tc__dyPSp_5YkyFD0IxuKIzdw_14_4"/>
      <w:bookmarkStart w:id="756" w:name="Tc_jJsBY9m8HE2xXwZ3TdFqGA_14_0"/>
      <w:bookmarkStart w:id="757" w:name="Tc_DKmRLsJHy0ezqJ_fITSENQ_13_20"/>
      <w:bookmarkStart w:id="758" w:name="Tc_lI6ZqDNjpEqs_3moRccsmg_13_14"/>
      <w:bookmarkStart w:id="759" w:name="Tc_Qs9VbCclekeWpRJGzJdxoA_13_11"/>
      <w:bookmarkStart w:id="760" w:name="Tc_a5GCj_9CfE2cuFBrWTGHBw_13_5"/>
      <w:bookmarkStart w:id="761" w:name="Tc_Wam6bGz910arKm1HiqDRvw_13_2"/>
      <w:bookmarkStart w:id="762" w:name="Tc_2SXQGAjcxkaAJxIzQz4N8Q_13_0"/>
      <w:bookmarkStart w:id="763" w:name="Tc_o14CjQj7BkuEyLHREsDbtA_12_20"/>
      <w:bookmarkStart w:id="764" w:name="Tc_TYk4aCpLmUivDG_KqsCdAw_12_14"/>
      <w:bookmarkStart w:id="765" w:name="Tc_O00lsIH57UW65UElhMBEyA_12_11"/>
      <w:bookmarkStart w:id="766" w:name="Tc_kGsbbfWE3EGd6BFwUdP9-Q_12_5"/>
      <w:bookmarkStart w:id="767" w:name="Tc_PGKJl4p7akCQ3RihqjmN2Q_12_0"/>
      <w:bookmarkStart w:id="768" w:name="Tc_DVLS_gMs8UGQkWLWXqiMaQ_11_20"/>
      <w:bookmarkStart w:id="769" w:name="Tc_yi-i9Kqbr0Wxqz2dyjAAiw_11_14"/>
      <w:bookmarkStart w:id="770" w:name="Tc_YiYEw2CmVEqa6wlhFE_TLQ_11_11"/>
      <w:bookmarkStart w:id="771" w:name="Tc_IU_Uz-L-P0WkCHHG1fy8bw_11_5"/>
      <w:bookmarkStart w:id="772" w:name="Tc_m1TSOW6_U0af4dh-vvOAgg_11_0"/>
      <w:bookmarkStart w:id="773" w:name="Tc_is9unQj6NEKdhVEtOds6TA_10_20"/>
      <w:bookmarkStart w:id="774" w:name="Tc_Oh0OMgz_nkCYcLw58r16Lg_10_14"/>
      <w:bookmarkStart w:id="775" w:name="Tc_kkFnTFlFsEq4Z_u58iqC3g_10_11"/>
      <w:bookmarkStart w:id="776" w:name="Tc_LttsPeDX20yZCzOocfPbqA_10_5"/>
      <w:bookmarkStart w:id="777" w:name="Tc_7JrgNFs9aEyt5Zc-0jgpGg_10_0"/>
      <w:bookmarkStart w:id="778" w:name="Tc_3clLjT9tfEKWo29ujD7gzA_9_23"/>
      <w:bookmarkStart w:id="779" w:name="Tc_7DDteKzauky4d2N8WLgKWw_9_20"/>
      <w:bookmarkStart w:id="780" w:name="Tc_T-a-Inz9e0OUHweWNOEs8A_9_17"/>
      <w:bookmarkStart w:id="781" w:name="Tc_OOxu_oJNYEGEi4beFAbtBQ_9_14"/>
      <w:bookmarkStart w:id="782" w:name="Tc_d2cPCAAXoEyRQyG_bwjNIA_9_11"/>
      <w:bookmarkStart w:id="783" w:name="Tc_a5_P7XY_TkKuuFLngwB3XQ_9_8"/>
      <w:bookmarkStart w:id="784" w:name="Tc_2E6yVake7k6cZNY54uXnjg_9_5"/>
      <w:bookmarkStart w:id="785" w:name="Tc_s0HM-pU3sU6xLTrdeqMVqw_9_0"/>
      <w:bookmarkStart w:id="786" w:name="Tc_D1uh-jYNEkyvZ02Rel6rIg_8_23"/>
      <w:bookmarkStart w:id="787" w:name="Tc_Upmx4FdO-kGlEBJ9GggbWw_8_20"/>
      <w:bookmarkStart w:id="788" w:name="Tc_PAXFUnkaYU6Vgnj1wp9-QA_8_17"/>
      <w:bookmarkStart w:id="789" w:name="Tc_ta5Htnoy2kK6JyO6eOXLTg_8_14"/>
      <w:bookmarkStart w:id="790" w:name="Tc_LTjQpbNksUOZ84ceSGmaxg_8_11"/>
      <w:bookmarkStart w:id="791" w:name="Tc__ZQb6GmVtUu-OeMLNkp8cg_8_8"/>
      <w:bookmarkStart w:id="792" w:name="Tc_GUcGBOo10k-lv6FStFoogg_8_5"/>
      <w:bookmarkStart w:id="793" w:name="Tc_9U8kUFDiv0uIG3K27vZWqw_8_0"/>
      <w:bookmarkStart w:id="794" w:name="Tc_XNDXLoT_4k2okU6_lf3GNQ_7_20"/>
      <w:bookmarkStart w:id="795" w:name="Tc_x44I-QsHbkeGcizbbYeQTA_7_11"/>
      <w:bookmarkStart w:id="796" w:name="Tc_NBLcnG3dckCfAZhpi_2nGg_7_8"/>
      <w:bookmarkStart w:id="797" w:name="Tc_K8Q-szvBckuAWrgqs6VIDA_7_5"/>
      <w:bookmarkStart w:id="798" w:name="Tc_Vd9Mta6lqUW4-hdr9fXEyg_7_2"/>
      <w:bookmarkStart w:id="799" w:name="Tc_pRe1BGLdKk-zuX-NswWdsA_7_0"/>
      <w:bookmarkStart w:id="800" w:name="Tc_QknFj2tTXkCcIiXWxUPMBA_6_20"/>
      <w:bookmarkStart w:id="801" w:name="Tc_flOKKTYAAkmuLtGWSk4Beg_6_14"/>
      <w:bookmarkStart w:id="802" w:name="Tc_p01V36vUm0eb6doZRnyncw_6_8"/>
      <w:bookmarkStart w:id="803" w:name="Tc_yXIiaOsVL0SCgblmPUfttA_6_5"/>
      <w:bookmarkStart w:id="804" w:name="Tc_Jc5Lu5h6oEa4XlUmyw1lhA_6_2"/>
      <w:bookmarkStart w:id="805" w:name="Tc_wPMVbd7TnUWBkGHCKWm0Jw_6_0"/>
      <w:bookmarkStart w:id="806" w:name="Tc_LTtJhh0-0UKKng6iwb5rHw_5_22"/>
      <w:bookmarkStart w:id="807" w:name="Tc_ZjButpdGi02ayQLPvGjUOg_5_20"/>
      <w:bookmarkStart w:id="808" w:name="Tc_WjuQVAbwfUibE_7_ckeQvw_5_19"/>
      <w:bookmarkStart w:id="809" w:name="Tc_npurqZxrmkCdZfWnXMaVcg_5_16"/>
      <w:bookmarkStart w:id="810" w:name="Tc_m3Ov6E9ut0OargcvWkxfGg_5_13"/>
      <w:bookmarkStart w:id="811" w:name="Tc_SI_nnLxoAU2BV1RkiBv77g_5_10"/>
      <w:bookmarkStart w:id="812" w:name="Tc_z4MTaioyCEOsXA_f94H0kw_5_7"/>
      <w:bookmarkStart w:id="813" w:name="Tc_Wb5GVs6ip0qHihOevLtGdQ_5_4"/>
      <w:bookmarkStart w:id="814" w:name="Tc_EFRUyzLyw0iMbYgMXQa2EA_5_0"/>
      <w:bookmarkStart w:id="815" w:name="Tc_UrBChcIlX0SKt8NQMUxXsQ_4_22"/>
      <w:bookmarkStart w:id="816" w:name="Tc_OFwu2WxcX0W2eTWWWUvQtA_4_19"/>
      <w:bookmarkStart w:id="817" w:name="Tc__-2G5AD5CkylIcPojixaIA_4_16"/>
      <w:bookmarkStart w:id="818" w:name="Tc_0BvgL_5LJUi_mvXhGhDIgQ_4_13"/>
      <w:bookmarkStart w:id="819" w:name="Tc_d3xZb8flrk6aIDHjsu7YOQ_4_10"/>
      <w:bookmarkStart w:id="820" w:name="Tc_coy6eyyWmkuR1DITcAp78g_4_7"/>
      <w:bookmarkStart w:id="821" w:name="Tc_o85XGLa8i0i7-x31bxmktg_4_4"/>
      <w:bookmarkStart w:id="822" w:name="Tc_albJOhvLTEizFzx_YTiVkg_4_2"/>
      <w:bookmarkStart w:id="823" w:name="Tc_ccBghB8WZkez5q6QnhlxXQ_3_19"/>
      <w:bookmarkStart w:id="824" w:name="Tc_u3pPmTFL4kW9J4B7eY5cRA_3_16"/>
      <w:bookmarkStart w:id="825" w:name="Tc_lbUDs6pdnEau78CgNiri8Q_3_13"/>
      <w:bookmarkStart w:id="826" w:name="Tc_SHYcWzmkvkGyb7MVtwwQFw_3_10"/>
      <w:bookmarkStart w:id="827" w:name="Tc_lC2nSUX7X0qjGZBOX8_w0A_3_7"/>
      <w:bookmarkStart w:id="828" w:name="Tc_4HpHNkML7UmJIpKjiq4RIA_3_2"/>
      <w:bookmarkStart w:id="829" w:name="Tc_RHgGvc8DX06j1BW5MJM2WA_2_19"/>
      <w:bookmarkStart w:id="830" w:name="Tc_GE4lBxVO_0aFO-sv5szAQw_2_16"/>
      <w:bookmarkStart w:id="831" w:name="Tc_JqM5lgcMHUy3Vm_Umwll2A_2_13"/>
      <w:bookmarkStart w:id="832" w:name="Tc_PvuBbZP24ECmmAIDK9cCUQ_2_7"/>
      <w:bookmarkStart w:id="833" w:name="Tc_y0111muRSkaiqsyJqPyDVw_1_13"/>
      <w:bookmarkStart w:id="834" w:name="_78ddac3d_d49d_4fbd_b93c_b61fa209aa92"/>
      <w:bookmarkStart w:id="835" w:name="Tc_gG7dWI6kAkScddUxYmCDWg_31_22"/>
      <w:bookmarkStart w:id="836" w:name="Tc_2F8bziDdn0SnXzSvaxfdHg_31_20"/>
      <w:bookmarkStart w:id="837" w:name="Tc_hmBAWzoQA0S02hNK_HT-QQ_31_19"/>
      <w:bookmarkStart w:id="838" w:name="Tc_ThwVGNMo7k2z0zIcgBjkqA_31_16"/>
      <w:bookmarkStart w:id="839" w:name="Tc_hzIaqboadUaUNfZO0r9Aqg_31_13"/>
      <w:bookmarkStart w:id="840" w:name="Tc_m63gDiF-UEyJOXfd_tH76Q_31_10"/>
      <w:bookmarkStart w:id="841" w:name="Tc_cDm4XRlpDEuHfyeZ8lkygA_31_7"/>
      <w:bookmarkStart w:id="842" w:name="Tc__-_VH42J4UOFwGZcd4mRcw_31_4"/>
      <w:bookmarkStart w:id="843" w:name="Tc_essBZYUjP0GPdF4PdpTRGw_31_0"/>
      <w:bookmarkStart w:id="844" w:name="Tc_p2xCzoj_VUe2eyRuzdaZMA_30_20"/>
      <w:bookmarkStart w:id="845" w:name="Tc_qO_RvqYtg0mGgT2vANoIBA_30_14"/>
      <w:bookmarkStart w:id="846" w:name="Tc_tgske2ccKkOy9fosUz_Dcw_30_11"/>
      <w:bookmarkStart w:id="847" w:name="Tc_hABwLvIug0WsRfCSuv8gDw_30_5"/>
      <w:bookmarkStart w:id="848" w:name="Tc_uWrlkZb5mU6hCYVJXW3F1g_30_2"/>
      <w:bookmarkStart w:id="849" w:name="Tc_46CltMSOdU-v1nksCETH9A_30_0"/>
      <w:bookmarkStart w:id="850" w:name="Tc_ItpL5UfW_kyiQJy7BQoq9g_29_17"/>
      <w:bookmarkStart w:id="851" w:name="Tc_7hfQIK8YF0GJitiubJBv9A_29_14"/>
      <w:bookmarkStart w:id="852" w:name="Tc_-TR0RlGOzki06a-oEoU8GA_29_11"/>
      <w:bookmarkStart w:id="853" w:name="Tc_VPml0pDKN0youQfpH_g0IA_29_8"/>
      <w:bookmarkStart w:id="854" w:name="Tc_MfcPgAJfjUaqApip8AKgsA_29_5"/>
      <w:bookmarkStart w:id="855" w:name="Tc_UTJM4M9QlUG5uaD-wb4pyg_29_2"/>
      <w:bookmarkStart w:id="856" w:name="Tc_Y8fv2_R7g0O63YWQLm6lPw_29_0"/>
      <w:bookmarkStart w:id="857" w:name="Tc_APeXZrjqsEuKVZ02Q4Jayg_28_20"/>
      <w:bookmarkStart w:id="858" w:name="Tc_vgUvsNsvSk6TtvkBQzkIVg_28_14"/>
      <w:bookmarkStart w:id="859" w:name="Tc__LyzpL5mwka3tVE_5qG_Xg_28_11"/>
      <w:bookmarkStart w:id="860" w:name="Tc_XtRyHbBbrku_ahtqVVsQgA_28_0"/>
      <w:bookmarkStart w:id="861" w:name="Tc_nPb1RVO6gUurJ56oojKeSg_27_20"/>
      <w:bookmarkStart w:id="862" w:name="Tc_KAkXJNMa7UKoV0rSwcEBaw_27_14"/>
      <w:bookmarkStart w:id="863" w:name="Tc_ofTTwzdyD0GK1SbRm7z4ng_27_11"/>
      <w:bookmarkStart w:id="864" w:name="Tc_TzL14--t0kaxIpGC70VIWQ_27_5"/>
      <w:bookmarkStart w:id="865" w:name="Tc_9YNQeNp5LUO9nnKfyVpjew_27_0"/>
      <w:bookmarkStart w:id="866" w:name="Tc_LFeIRHjweEW1Ww9PSxjiew_26_23"/>
      <w:bookmarkStart w:id="867" w:name="Tc_N_NI4B1-wk2x2d-Wq3jndg_26_20"/>
      <w:bookmarkStart w:id="868" w:name="Tc_ufnDR5honkqn4KXvJSW3ig_26_17"/>
      <w:bookmarkStart w:id="869" w:name="Tc_-6qmhKT0JEq1A05Q6BMR-g_26_14"/>
      <w:bookmarkStart w:id="870" w:name="Tc_qv0L3TaO9USVrHNKC97TrQ_26_11"/>
      <w:bookmarkStart w:id="871" w:name="Tc_uVnUKdZC7Ee56zBx-4yv5A_26_8"/>
      <w:bookmarkStart w:id="872" w:name="Tc_flm9SCVgHk-a7FAVX5-Zrw_26_5"/>
      <w:bookmarkStart w:id="873" w:name="Tc_dNYZPLOIvECGAM9KFkHhqA_26_0"/>
      <w:bookmarkStart w:id="874" w:name="Tc_Ue3DccgneEeFdJQMGE6DSw_25_23"/>
      <w:bookmarkStart w:id="875" w:name="Tc_mEWF7UzxU0Sue2MWUTLsXg_25_20"/>
      <w:bookmarkStart w:id="876" w:name="Tc_Pgr_JepMi0WCwJQkGgLZSA_25_17"/>
      <w:bookmarkStart w:id="877" w:name="Tc_xzikMXcthk6EMJHa0xpSuw_25_14"/>
      <w:bookmarkStart w:id="878" w:name="Tc_ey8qdS-l8UG0st5fSsNW_w_25_11"/>
      <w:bookmarkStart w:id="879" w:name="Tc_h7G0Zc3r2UqIFpZizokmyg_25_8"/>
      <w:bookmarkStart w:id="880" w:name="Tc_10Tv837UkE2cc8uprdihJw_25_5"/>
      <w:bookmarkStart w:id="881" w:name="Tc_mJbpEmfDJ0qLQ13DPXm3pQ_25_0"/>
      <w:bookmarkStart w:id="882" w:name="Tc_NRcoKt4QB0W2WdDDWMFMTA_24_20"/>
      <w:bookmarkStart w:id="883" w:name="Tc_wbQ74as8pkeYVfNWldBYOA_24_14"/>
      <w:bookmarkStart w:id="884" w:name="Tc_06WqT-RW10KkDdqNBohtzQ_24_11"/>
      <w:bookmarkStart w:id="885" w:name="Tc_LuulwxOlVECp5GchH6IFqw_24_5"/>
      <w:bookmarkStart w:id="886" w:name="Tc_MjsrmSQnRU-WVDH0dV4F0Q_24_0"/>
      <w:bookmarkStart w:id="887" w:name="Tc_dh6AB-v-WEmHVKs8CkcK7Q_23_20"/>
      <w:bookmarkStart w:id="888" w:name="Tc_SdxX12OJ8k2cMNF8_YIK1Q_23_11"/>
      <w:bookmarkStart w:id="889" w:name="Tc_AYWC9sge9E6emDmwM4f4Fw_23_8"/>
      <w:bookmarkStart w:id="890" w:name="Tc_DWQFXSXBSkiQsDClbW-JYw_23_5"/>
      <w:bookmarkStart w:id="891" w:name="Tc_9_gdofNX30qXwtwBR0ZdHw_23_2"/>
      <w:bookmarkStart w:id="892" w:name="Tc_xdSUUrTDpUmBVffGQhkEvg_23_0"/>
      <w:bookmarkStart w:id="893" w:name="Tc_PDneXPg8o0qQ60eZNT5H8Q_22_20"/>
      <w:bookmarkStart w:id="894" w:name="Tc_SGttcIvpDU69Hru1zida7Q_22_11"/>
      <w:bookmarkStart w:id="895" w:name="Tc_JXktHNZhA0CQJZs_V589hQ_22_8"/>
      <w:bookmarkStart w:id="896" w:name="Tc_x8III5JcXEivbs-Dto-tmg_22_5"/>
      <w:bookmarkStart w:id="897" w:name="Tc_8y1aH1cx3UOQYuG6ZJo60w_22_2"/>
      <w:bookmarkStart w:id="898" w:name="Tc_2STz9fkulEaW-jFKsfQWaA_22_0"/>
      <w:bookmarkStart w:id="899" w:name="Tc_jZ1QV2ZwdEKFnDlEatWg7A_21_14"/>
      <w:bookmarkStart w:id="900" w:name="Tc_n6e4hgYnI0u07HeO8HTR9Q_21_8"/>
      <w:bookmarkStart w:id="901" w:name="Tc__UP17cmgqEiE3AfszmSlxQ_21_5"/>
      <w:bookmarkStart w:id="902" w:name="Tc_h3snxS-fz06Vwe__BtByKw_21_2"/>
      <w:bookmarkStart w:id="903" w:name="Tc_ABanct0yKUKAY9e1_atDWA_21_0"/>
      <w:bookmarkStart w:id="904" w:name="Tc_6oTFZmIHiUeTg1hAHK-E6w_20_22"/>
      <w:bookmarkStart w:id="905" w:name="Tc_cmUvt49FeUSA_7lzgwmtLA_20_19"/>
      <w:bookmarkStart w:id="906" w:name="Tc_zfbOXsUCCk-cXGT5XChGKw_20_16"/>
      <w:bookmarkStart w:id="907" w:name="Tc_3DMlb6w950KPhlrU24JBbA_20_13"/>
      <w:bookmarkStart w:id="908" w:name="Tc_cKe65No1dkO06s5nh15ShA_20_10"/>
      <w:bookmarkStart w:id="909" w:name="Tc_x0MsdtAuHkuik4X33okNDg_20_7"/>
      <w:bookmarkStart w:id="910" w:name="Tc_W2jumrYp80qaHAz3F9KGKg_20_4"/>
      <w:bookmarkStart w:id="911" w:name="Tc_tAA4EFnhsk61hj_smIZ5zw_20_0"/>
      <w:bookmarkStart w:id="912" w:name="Tc_MlM_0wOh20m2bCEKSFCk2A_19_22"/>
      <w:bookmarkStart w:id="913" w:name="Tc_RpgT4HyiOUKOQ6Av5fw1uA_19_19"/>
      <w:bookmarkStart w:id="914" w:name="Tc_k54h8kfjhkOP6wtvg3WSQA_19_16"/>
      <w:bookmarkStart w:id="915" w:name="Tc_gqjNPkGzLUSqbLaiXZdV_w_19_13"/>
      <w:bookmarkStart w:id="916" w:name="Tc_YA1IN3lE7k2k5HAdnB8aIA_19_10"/>
      <w:bookmarkStart w:id="917" w:name="Tc_bItzpDCli06QXm_jR0sZvA_19_7"/>
      <w:bookmarkStart w:id="918" w:name="Tc_S2QXizlXo0-qgTPPzp9qRw_19_4"/>
      <w:bookmarkStart w:id="919" w:name="Tc_gf1MkI1J2UmtFjYv39ZdEA_19_2"/>
      <w:bookmarkStart w:id="920" w:name="Tc_zNIByLnVik-LJdtx2jp4wg_18_19"/>
      <w:bookmarkStart w:id="921" w:name="Tc_jfMuU9Gam0eQSLYaVunPwA_18_16"/>
      <w:bookmarkStart w:id="922" w:name="Tc_V3fgQQEteUaLu3gu7rbv-Q_18_13"/>
      <w:bookmarkStart w:id="923" w:name="Tc_kPVf6TUCUESM6iJ5tYEECQ_18_10"/>
      <w:bookmarkStart w:id="924" w:name="Tc_QCxiaUVhI0ml2vRGLSX1sw_18_7"/>
      <w:bookmarkStart w:id="925" w:name="Tc_VDjfI3eiW02yl3ErKbyoCQ_18_2"/>
      <w:bookmarkStart w:id="926" w:name="Tc_7_fxlrWuXkKOnrY3rgwdbQ_17_19"/>
      <w:bookmarkStart w:id="927" w:name="Tc_QkanOIr8tU27b_8BdaTcvw_17_16"/>
      <w:bookmarkStart w:id="928" w:name="Tc_BEPB5hq9BEqExqJeHyqecw_17_13"/>
      <w:bookmarkStart w:id="929" w:name="Tc_ko8HswcL60av8wlCSQOs3A_17_7"/>
      <w:bookmarkStart w:id="930" w:name="Tc_ciMRhuV--0G8nOjNyTfMDw_16_13"/>
      <w:bookmarkStart w:id="931" w:name="Tc_djKo0Soy5EaxKXgDb5Udgw_14_22"/>
      <w:bookmarkStart w:id="932" w:name="Tc_q6dFK9boek2dEtLZUFPxkg_14_20"/>
      <w:bookmarkStart w:id="933" w:name="Tc_AiITWDiaYUOqSkByujiyLw_14_19"/>
      <w:bookmarkStart w:id="934" w:name="Tc_3neXRxa7nEiVRJfaLc0sVw_14_16"/>
      <w:bookmarkStart w:id="935" w:name="Tc_sTL-Qqa9gkCp0Ld0R-2FAw_14_13"/>
      <w:bookmarkStart w:id="936" w:name="Tc_gMU2yEDprEufzCmw3kiNQQ_14_10"/>
      <w:bookmarkStart w:id="937" w:name="Tc_3HX7lYQziUexgpeyP-bmCA_14_7"/>
      <w:bookmarkStart w:id="938" w:name="Tc__dyPSp_5YkyFD0IxuKIzdw_14_4"/>
      <w:bookmarkStart w:id="939" w:name="Tc_jJsBY9m8HE2xXwZ3TdFqGA_14_0"/>
      <w:bookmarkStart w:id="940" w:name="Tc_DKmRLsJHy0ezqJ_fITSENQ_13_20"/>
      <w:bookmarkStart w:id="941" w:name="Tc_lI6ZqDNjpEqs_3moRccsmg_13_14"/>
      <w:bookmarkStart w:id="942" w:name="Tc_Qs9VbCclekeWpRJGzJdxoA_13_11"/>
      <w:bookmarkStart w:id="943" w:name="Tc_a5GCj_9CfE2cuFBrWTGHBw_13_5"/>
      <w:bookmarkStart w:id="944" w:name="Tc_Wam6bGz910arKm1HiqDRvw_13_2"/>
      <w:bookmarkStart w:id="945" w:name="Tc_2SXQGAjcxkaAJxIzQz4N8Q_13_0"/>
      <w:bookmarkStart w:id="946" w:name="Tc_o14CjQj7BkuEyLHREsDbtA_12_20"/>
      <w:bookmarkStart w:id="947" w:name="Tc_TYk4aCpLmUivDG_KqsCdAw_12_14"/>
      <w:bookmarkStart w:id="948" w:name="Tc_O00lsIH57UW65UElhMBEyA_12_11"/>
      <w:bookmarkStart w:id="949" w:name="Tc_kGsbbfWE3EGd6BFwUdP9-Q_12_5"/>
      <w:bookmarkStart w:id="950" w:name="Tc_PGKJl4p7akCQ3RihqjmN2Q_12_0"/>
      <w:bookmarkStart w:id="951" w:name="Tc_DVLS_gMs8UGQkWLWXqiMaQ_11_20"/>
      <w:bookmarkStart w:id="952" w:name="Tc_yi-i9Kqbr0Wxqz2dyjAAiw_11_14"/>
      <w:bookmarkStart w:id="953" w:name="Tc_YiYEw2CmVEqa6wlhFE_TLQ_11_11"/>
      <w:bookmarkStart w:id="954" w:name="Tc_IU_Uz-L-P0WkCHHG1fy8bw_11_5"/>
      <w:bookmarkStart w:id="955" w:name="Tc_m1TSOW6_U0af4dh-vvOAgg_11_0"/>
      <w:bookmarkStart w:id="956" w:name="Tc_is9unQj6NEKdhVEtOds6TA_10_20"/>
      <w:bookmarkStart w:id="957" w:name="Tc_Oh0OMgz_nkCYcLw58r16Lg_10_14"/>
      <w:bookmarkStart w:id="958" w:name="Tc_kkFnTFlFsEq4Z_u58iqC3g_10_11"/>
      <w:bookmarkStart w:id="959" w:name="Tc_LttsPeDX20yZCzOocfPbqA_10_5"/>
      <w:bookmarkStart w:id="960" w:name="Tc_7JrgNFs9aEyt5Zc-0jgpGg_10_0"/>
      <w:bookmarkStart w:id="961" w:name="Tc_3clLjT9tfEKWo29ujD7gzA_9_23"/>
      <w:bookmarkStart w:id="962" w:name="Tc_7DDteKzauky4d2N8WLgKWw_9_20"/>
      <w:bookmarkStart w:id="963" w:name="Tc_T-a-Inz9e0OUHweWNOEs8A_9_17"/>
      <w:bookmarkStart w:id="964" w:name="Tc_OOxu_oJNYEGEi4beFAbtBQ_9_14"/>
      <w:bookmarkStart w:id="965" w:name="Tc_d2cPCAAXoEyRQyG_bwjNIA_9_11"/>
      <w:bookmarkStart w:id="966" w:name="Tc_a5_P7XY_TkKuuFLngwB3XQ_9_8"/>
      <w:bookmarkStart w:id="967" w:name="Tc_2E6yVake7k6cZNY54uXnjg_9_5"/>
      <w:bookmarkStart w:id="968" w:name="Tc_s0HM-pU3sU6xLTrdeqMVqw_9_0"/>
      <w:bookmarkStart w:id="969" w:name="Tc_D1uh-jYNEkyvZ02Rel6rIg_8_23"/>
      <w:bookmarkStart w:id="970" w:name="Tc_Upmx4FdO-kGlEBJ9GggbWw_8_20"/>
      <w:bookmarkStart w:id="971" w:name="Tc_PAXFUnkaYU6Vgnj1wp9-QA_8_17"/>
      <w:bookmarkStart w:id="972" w:name="Tc_ta5Htnoy2kK6JyO6eOXLTg_8_14"/>
      <w:bookmarkStart w:id="973" w:name="Tc_LTjQpbNksUOZ84ceSGmaxg_8_11"/>
      <w:bookmarkStart w:id="974" w:name="Tc__ZQb6GmVtUu-OeMLNkp8cg_8_8"/>
      <w:bookmarkStart w:id="975" w:name="Tc_GUcGBOo10k-lv6FStFoogg_8_5"/>
      <w:bookmarkStart w:id="976" w:name="Tc_9U8kUFDiv0uIG3K27vZWqw_8_0"/>
      <w:bookmarkStart w:id="977" w:name="Tc_XNDXLoT_4k2okU6_lf3GNQ_7_20"/>
      <w:bookmarkStart w:id="978" w:name="Tc_x44I-QsHbkeGcizbbYeQTA_7_11"/>
      <w:bookmarkStart w:id="979" w:name="Tc_NBLcnG3dckCfAZhpi_2nGg_7_8"/>
      <w:bookmarkStart w:id="980" w:name="Tc_K8Q-szvBckuAWrgqs6VIDA_7_5"/>
      <w:bookmarkStart w:id="981" w:name="Tc_Vd9Mta6lqUW4-hdr9fXEyg_7_2"/>
      <w:bookmarkStart w:id="982" w:name="Tc_pRe1BGLdKk-zuX-NswWdsA_7_0"/>
      <w:bookmarkStart w:id="983" w:name="Tc_QknFj2tTXkCcIiXWxUPMBA_6_20"/>
      <w:bookmarkStart w:id="984" w:name="Tc_flOKKTYAAkmuLtGWSk4Beg_6_14"/>
      <w:bookmarkStart w:id="985" w:name="Tc_p01V36vUm0eb6doZRnyncw_6_8"/>
      <w:bookmarkStart w:id="986" w:name="Tc_yXIiaOsVL0SCgblmPUfttA_6_5"/>
      <w:bookmarkStart w:id="987" w:name="Tc_Jc5Lu5h6oEa4XlUmyw1lhA_6_2"/>
      <w:bookmarkStart w:id="988" w:name="Tc_wPMVbd7TnUWBkGHCKWm0Jw_6_0"/>
      <w:bookmarkStart w:id="989" w:name="Tc_LTtJhh0-0UKKng6iwb5rHw_5_22"/>
      <w:bookmarkStart w:id="990" w:name="Tc_ZjButpdGi02ayQLPvGjUOg_5_20"/>
      <w:bookmarkStart w:id="991" w:name="Tc_WjuQVAbwfUibE_7_ckeQvw_5_19"/>
      <w:bookmarkStart w:id="992" w:name="Tc_npurqZxrmkCdZfWnXMaVcg_5_16"/>
      <w:bookmarkStart w:id="993" w:name="Tc_m3Ov6E9ut0OargcvWkxfGg_5_13"/>
      <w:bookmarkStart w:id="994" w:name="Tc_SI_nnLxoAU2BV1RkiBv77g_5_10"/>
      <w:bookmarkStart w:id="995" w:name="Tc_z4MTaioyCEOsXA_f94H0kw_5_7"/>
      <w:bookmarkStart w:id="996" w:name="Tc_Wb5GVs6ip0qHihOevLtGdQ_5_4"/>
      <w:bookmarkStart w:id="997" w:name="Tc_EFRUyzLyw0iMbYgMXQa2EA_5_0"/>
      <w:bookmarkStart w:id="998" w:name="Tc_UrBChcIlX0SKt8NQMUxXsQ_4_22"/>
      <w:bookmarkStart w:id="999" w:name="Tc_OFwu2WxcX0W2eTWWWUvQtA_4_19"/>
      <w:bookmarkStart w:id="1000" w:name="Tc__-2G5AD5CkylIcPojixaIA_4_16"/>
      <w:bookmarkStart w:id="1001" w:name="Tc_0BvgL_5LJUi_mvXhGhDIgQ_4_13"/>
      <w:bookmarkStart w:id="1002" w:name="Tc_d3xZb8flrk6aIDHjsu7YOQ_4_10"/>
      <w:bookmarkStart w:id="1003" w:name="Tc_coy6eyyWmkuR1DITcAp78g_4_7"/>
      <w:bookmarkStart w:id="1004" w:name="Tc_o85XGLa8i0i7-x31bxmktg_4_4"/>
      <w:bookmarkStart w:id="1005" w:name="Tc_albJOhvLTEizFzx_YTiVkg_4_2"/>
      <w:bookmarkStart w:id="1006" w:name="Tc_ccBghB8WZkez5q6QnhlxXQ_3_19"/>
      <w:bookmarkStart w:id="1007" w:name="Tc_u3pPmTFL4kW9J4B7eY5cRA_3_16"/>
      <w:bookmarkStart w:id="1008" w:name="Tc_lbUDs6pdnEau78CgNiri8Q_3_13"/>
      <w:bookmarkStart w:id="1009" w:name="Tc_SHYcWzmkvkGyb7MVtwwQFw_3_10"/>
      <w:bookmarkStart w:id="1010" w:name="Tc_lC2nSUX7X0qjGZBOX8_w0A_3_7"/>
      <w:bookmarkStart w:id="1011" w:name="Tc_4HpHNkML7UmJIpKjiq4RIA_3_2"/>
      <w:bookmarkStart w:id="1012" w:name="Tc_RHgGvc8DX06j1BW5MJM2WA_2_19"/>
      <w:bookmarkStart w:id="1013" w:name="Tc_GE4lBxVO_0aFO-sv5szAQw_2_16"/>
      <w:bookmarkStart w:id="1014" w:name="Tc_JqM5lgcMHUy3Vm_Umwll2A_2_13"/>
      <w:bookmarkStart w:id="1015" w:name="Tc_PvuBbZP24ECmmAIDK9cCUQ_2_7"/>
      <w:bookmarkStart w:id="1016" w:name="Tc_y0111muRSkaiqsyJqPyDVw_1_13"/>
      <w:bookmarkStart w:id="1017" w:name="_78ddac3d_d49d_4fbd_b93c_b61fa209aa92"/>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tbl>
      <w:tblPr>
        <w:tblW w:w="10732" w:type="dxa"/>
        <w:jc w:val="left"/>
        <w:tblInd w:w="0" w:type="dxa"/>
        <w:tblLayout w:type="fixed"/>
        <w:tblCellMar>
          <w:top w:w="0" w:type="dxa"/>
          <w:left w:w="0" w:type="dxa"/>
          <w:bottom w:w="0" w:type="dxa"/>
          <w:right w:w="0" w:type="dxa"/>
        </w:tblCellMar>
      </w:tblPr>
      <w:tblGrid>
        <w:gridCol w:w="1336"/>
        <w:gridCol w:w="326"/>
        <w:gridCol w:w="916"/>
        <w:gridCol w:w="326"/>
        <w:gridCol w:w="206"/>
        <w:gridCol w:w="365"/>
        <w:gridCol w:w="326"/>
        <w:gridCol w:w="196"/>
        <w:gridCol w:w="691"/>
        <w:gridCol w:w="326"/>
        <w:gridCol w:w="196"/>
        <w:gridCol w:w="691"/>
        <w:gridCol w:w="326"/>
        <w:gridCol w:w="260"/>
        <w:gridCol w:w="761"/>
        <w:gridCol w:w="109"/>
        <w:gridCol w:w="232"/>
        <w:gridCol w:w="819"/>
        <w:gridCol w:w="109"/>
        <w:gridCol w:w="251"/>
        <w:gridCol w:w="560"/>
        <w:gridCol w:w="326"/>
        <w:gridCol w:w="196"/>
        <w:gridCol w:w="691"/>
        <w:gridCol w:w="191"/>
      </w:tblGrid>
      <w:tr>
        <w:trPr/>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848360" cy="175260"/>
                      <wp:effectExtent l="0" t="0" r="0" b="0"/>
                      <wp:wrapNone/>
                      <wp:docPr id="64" name="Frame64"/>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7010" cy="175260"/>
                      <wp:effectExtent l="0" t="0" r="0" b="0"/>
                      <wp:wrapNone/>
                      <wp:docPr id="65" name="Frame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81660" cy="175260"/>
                      <wp:effectExtent l="0" t="0" r="0" b="0"/>
                      <wp:wrapNone/>
                      <wp:docPr id="66" name="Frame66"/>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0810" cy="175260"/>
                      <wp:effectExtent l="0" t="0" r="0" b="0"/>
                      <wp:wrapNone/>
                      <wp:docPr id="68" name="Frame6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31775" cy="175260"/>
                      <wp:effectExtent l="0" t="0" r="0" b="0"/>
                      <wp:wrapNone/>
                      <wp:docPr id="69" name="Frame69"/>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24460" cy="175260"/>
                      <wp:effectExtent l="0" t="0" r="0" b="0"/>
                      <wp:wrapNone/>
                      <wp:docPr id="71" name="Frame71"/>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438785" cy="175260"/>
                      <wp:effectExtent l="0" t="0" r="0" b="0"/>
                      <wp:wrapNone/>
                      <wp:docPr id="72" name="Frame72"/>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07010" cy="175260"/>
                      <wp:effectExtent l="0" t="0" r="0" b="0"/>
                      <wp:wrapNone/>
                      <wp:docPr id="73"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24460" cy="175260"/>
                      <wp:effectExtent l="0" t="0" r="0" b="0"/>
                      <wp:wrapNone/>
                      <wp:docPr id="74" name="Frame7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38785" cy="175260"/>
                      <wp:effectExtent l="0" t="0" r="0" b="0"/>
                      <wp:wrapNone/>
                      <wp:docPr id="75" name="Frame7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07010" cy="175260"/>
                      <wp:effectExtent l="0" t="0" r="0" b="0"/>
                      <wp:wrapNone/>
                      <wp:docPr id="76" name="Frame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65100" cy="175260"/>
                      <wp:effectExtent l="0" t="0" r="0" b="0"/>
                      <wp:wrapNone/>
                      <wp:docPr id="77" name="Frame7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483235" cy="175260"/>
                      <wp:effectExtent l="0" t="0" r="0" b="0"/>
                      <wp:wrapNone/>
                      <wp:docPr id="78" name="Frame78"/>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9215" cy="175260"/>
                      <wp:effectExtent l="0" t="0" r="0" b="0"/>
                      <wp:wrapNone/>
                      <wp:docPr id="79" name="Frame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47320" cy="175260"/>
                      <wp:effectExtent l="0" t="0" r="0" b="0"/>
                      <wp:wrapNone/>
                      <wp:docPr id="80" name="Frame80"/>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520065" cy="175260"/>
                      <wp:effectExtent l="0" t="0" r="0" b="0"/>
                      <wp:wrapNone/>
                      <wp:docPr id="81" name="Frame81"/>
                      <a:graphic xmlns:a="http://schemas.openxmlformats.org/drawingml/2006/main">
                        <a:graphicData uri="http://schemas.microsoft.com/office/word/2010/wordprocessingShape">
                          <wps:wsp>
                            <wps:cNvSpPr txBox="1"/>
                            <wps:spPr>
                              <a:xfrm>
                                <a:off x="0" y="0"/>
                                <a:ext cx="520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9215" cy="175260"/>
                      <wp:effectExtent l="0" t="0" r="0" b="0"/>
                      <wp:wrapNone/>
                      <wp:docPr id="82" name="Frame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59385" cy="175260"/>
                      <wp:effectExtent l="0" t="0" r="0" b="0"/>
                      <wp:wrapNone/>
                      <wp:docPr id="83" name="Frame83"/>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355600" cy="175260"/>
                      <wp:effectExtent l="0" t="0" r="0" b="0"/>
                      <wp:wrapNone/>
                      <wp:docPr id="84" name="Frame84"/>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07010" cy="175260"/>
                      <wp:effectExtent l="0" t="0" r="0" b="0"/>
                      <wp:wrapNone/>
                      <wp:docPr id="85" name="Frame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24460" cy="175260"/>
                      <wp:effectExtent l="0" t="0" r="0" b="0"/>
                      <wp:wrapNone/>
                      <wp:docPr id="86" name="Frame8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438785" cy="175260"/>
                      <wp:effectExtent l="0" t="0" r="0" b="0"/>
                      <wp:wrapNone/>
                      <wp:docPr id="87" name="Frame8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21285" cy="175260"/>
                      <wp:effectExtent l="0" t="0" r="0" b="0"/>
                      <wp:wrapNone/>
                      <wp:docPr id="88" name="Frame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81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5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AeroVironment, Inc.</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Controlling</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center"/>
              <w:rPr/>
            </w:pPr>
            <w:r>
              <w:rPr/>
              <w:t> </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1" w:type="dxa"/>
            <w:tcBorders/>
            <w:vAlign w:val="center"/>
          </w:tcPr>
          <w:p>
            <w:pPr>
              <w:pStyle w:val="TableContents"/>
              <w:bidi w:val="0"/>
              <w:spacing w:before="0" w:after="0"/>
              <w:ind w:left="0" w:right="0" w:hanging="0"/>
              <w:jc w:val="center"/>
              <w:rPr/>
            </w:pPr>
            <w:r>
              <w:rPr/>
              <w:t> </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April 30, 2023</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26,216,897</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384,397</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171,021</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(4,452)</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550,970</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550,970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53,620</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53,620</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53,620</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149,990</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(9,602)</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(13,919)</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net of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807,370</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87,956</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87,956</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87,956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business acquisition</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985,999</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109,820</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109,820</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109,820</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12,425</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12,425</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27, 2024</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28,136,735</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593,228</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224,641</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(4,888)</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812,985</w:t>
            </w:r>
          </w:p>
        </w:tc>
        <w:tc>
          <w:tcPr>
            <w:tcW w:w="109" w:type="dxa"/>
            <w:tcBorders/>
            <w:vAlign w:val="center"/>
          </w:tcPr>
          <w:p>
            <w:pPr>
              <w:pStyle w:val="TableContents"/>
              <w:bidi w:val="0"/>
              <w:spacing w:before="0" w:after="0"/>
              <w:ind w:left="0" w:right="0" w:hanging="0"/>
              <w:jc w:val="righ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812,985</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left"/>
              <w:rPr/>
            </w:pPr>
            <w:r>
              <w:rPr/>
              <w:t>​</w:t>
            </w:r>
          </w:p>
        </w:tc>
        <w:tc>
          <w:tcPr>
            <w:tcW w:w="7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819"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w:t>
            </w:r>
          </w:p>
        </w:tc>
        <w:tc>
          <w:tcPr>
            <w:tcW w:w="5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109" w:type="dxa"/>
            <w:tcBorders/>
            <w:vAlign w:val="center"/>
          </w:tcPr>
          <w:p>
            <w:pPr>
              <w:pStyle w:val="TableContents"/>
              <w:bidi w:val="0"/>
              <w:spacing w:before="0" w:after="0"/>
              <w:ind w:left="0" w:right="0" w:hanging="0"/>
              <w:jc w:val="center"/>
              <w:rPr/>
            </w:pPr>
            <w:r>
              <w:rPr/>
              <w:t>​</w:t>
            </w:r>
          </w:p>
        </w:tc>
        <w:tc>
          <w:tcPr>
            <w:tcW w:w="232" w:type="dxa"/>
            <w:tcBorders/>
            <w:vAlign w:val="center"/>
          </w:tcPr>
          <w:p>
            <w:pPr>
              <w:pStyle w:val="TableContents"/>
              <w:bidi w:val="0"/>
              <w:spacing w:before="0" w:after="0"/>
              <w:ind w:left="0" w:right="0" w:hanging="0"/>
              <w:jc w:val="center"/>
              <w:rPr/>
            </w:pPr>
            <w:r>
              <w:rPr/>
              <w:t>​</w:t>
            </w:r>
          </w:p>
        </w:tc>
        <w:tc>
          <w:tcPr>
            <w:tcW w:w="819"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51" w:type="dxa"/>
            <w:tcBorders/>
            <w:vAlign w:val="center"/>
          </w:tcPr>
          <w:p>
            <w:pPr>
              <w:pStyle w:val="TableContents"/>
              <w:bidi w:val="0"/>
              <w:spacing w:before="0" w:after="0"/>
              <w:ind w:left="0" w:right="0" w:hanging="0"/>
              <w:jc w:val="center"/>
              <w:rPr/>
            </w:pPr>
            <w:r>
              <w:rPr/>
              <w:t>​</w:t>
            </w:r>
          </w:p>
        </w:tc>
        <w:tc>
          <w:tcPr>
            <w:tcW w:w="560"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 xml:space="preserve">Additional </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Non-</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813"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Retained</w:t>
            </w:r>
          </w:p>
        </w:tc>
        <w:tc>
          <w:tcPr>
            <w:tcW w:w="326" w:type="dxa"/>
            <w:tcBorders/>
            <w:vAlign w:val="center"/>
          </w:tcPr>
          <w:p>
            <w:pPr>
              <w:pStyle w:val="TableContents"/>
              <w:bidi w:val="0"/>
              <w:spacing w:before="0" w:after="0"/>
              <w:ind w:left="0" w:right="0" w:hanging="0"/>
              <w:jc w:val="center"/>
              <w:rPr/>
            </w:pPr>
            <w:r>
              <w:rPr/>
              <w:t>​</w:t>
            </w:r>
          </w:p>
        </w:tc>
        <w:tc>
          <w:tcPr>
            <w:tcW w:w="102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AeroVironment, Inc.</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Controlling</w:t>
            </w:r>
          </w:p>
        </w:tc>
        <w:tc>
          <w:tcPr>
            <w:tcW w:w="326" w:type="dxa"/>
            <w:tcBorders/>
            <w:vAlign w:val="center"/>
          </w:tcPr>
          <w:p>
            <w:pPr>
              <w:pStyle w:val="TableContents"/>
              <w:bidi w:val="0"/>
              <w:spacing w:before="0" w:after="0"/>
              <w:ind w:left="0" w:right="0" w:hanging="0"/>
              <w:jc w:val="center"/>
              <w:rPr/>
            </w:pPr>
            <w:r>
              <w:rPr/>
              <w:t>​</w:t>
            </w:r>
          </w:p>
        </w:tc>
        <w:tc>
          <w:tcPr>
            <w:tcW w:w="196" w:type="dxa"/>
            <w:tcBorders/>
            <w:vAlign w:val="center"/>
          </w:tcPr>
          <w:p>
            <w:pPr>
              <w:pStyle w:val="TableContents"/>
              <w:bidi w:val="0"/>
              <w:spacing w:before="0" w:after="0"/>
              <w:ind w:left="0" w:right="0" w:hanging="0"/>
              <w:jc w:val="center"/>
              <w:rPr/>
            </w:pPr>
            <w:r>
              <w:rPr/>
              <w:t>​</w:t>
            </w:r>
          </w:p>
        </w:tc>
        <w:tc>
          <w:tcPr>
            <w:tcW w:w="691" w:type="dxa"/>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26" w:type="dxa"/>
            <w:tcBorders/>
            <w:vAlign w:val="center"/>
          </w:tcPr>
          <w:p>
            <w:pPr>
              <w:pStyle w:val="TableContents"/>
              <w:bidi w:val="0"/>
              <w:spacing w:before="0" w:after="0"/>
              <w:ind w:left="0" w:right="0" w:hanging="0"/>
              <w:jc w:val="left"/>
              <w:rPr/>
            </w:pPr>
            <w:r>
              <w:rPr/>
              <w:t>    </w:t>
            </w:r>
          </w:p>
        </w:tc>
        <w:tc>
          <w:tcPr>
            <w:tcW w:w="5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Earnings</w:t>
            </w:r>
          </w:p>
        </w:tc>
        <w:tc>
          <w:tcPr>
            <w:tcW w:w="326" w:type="dxa"/>
            <w:tcBorders/>
            <w:vAlign w:val="center"/>
          </w:tcPr>
          <w:p>
            <w:pPr>
              <w:pStyle w:val="TableContents"/>
              <w:bidi w:val="0"/>
              <w:spacing w:before="0" w:after="0"/>
              <w:ind w:left="0" w:right="0" w:hanging="0"/>
              <w:jc w:val="center"/>
              <w:rPr/>
            </w:pPr>
            <w:r>
              <w:rPr/>
              <w:t>    </w:t>
            </w:r>
          </w:p>
        </w:tc>
        <w:tc>
          <w:tcPr>
            <w:tcW w:w="10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109" w:type="dxa"/>
            <w:tcBorders/>
            <w:vAlign w:val="center"/>
          </w:tcPr>
          <w:p>
            <w:pPr>
              <w:pStyle w:val="TableContents"/>
              <w:bidi w:val="0"/>
              <w:spacing w:before="0" w:after="0"/>
              <w:ind w:left="0" w:right="0" w:hanging="0"/>
              <w:jc w:val="center"/>
              <w:rPr/>
            </w:pPr>
            <w:r>
              <w:rPr/>
              <w:t>​</w:t>
            </w:r>
          </w:p>
        </w:tc>
        <w:tc>
          <w:tcPr>
            <w:tcW w:w="105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109" w:type="dxa"/>
            <w:tcBorders/>
            <w:vAlign w:val="center"/>
          </w:tcPr>
          <w:p>
            <w:pPr>
              <w:pStyle w:val="TableContents"/>
              <w:bidi w:val="0"/>
              <w:spacing w:before="0" w:after="0"/>
              <w:ind w:left="0" w:right="0" w:hanging="0"/>
              <w:jc w:val="center"/>
              <w:rPr/>
            </w:pPr>
            <w:r>
              <w:rPr/>
              <w:t>​</w:t>
            </w:r>
          </w:p>
        </w:tc>
        <w:tc>
          <w:tcPr>
            <w:tcW w:w="8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Interest</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April 30, 2022</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24,951,287</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267,248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347,233</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(6,514)</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607,969</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608,210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 income</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(15,739)</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(15,739)</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(15,694)</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76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 </w:t>
            </w:r>
          </w:p>
        </w:tc>
        <w:tc>
          <w:tcPr>
            <w:tcW w:w="76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options 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35,000</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77,169</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Restricted stock awards forfeited</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(10,679)</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 </w:t>
            </w:r>
          </w:p>
        </w:tc>
        <w:tc>
          <w:tcPr>
            <w:tcW w:w="3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69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share settlement of equity awards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(10,723)</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Shares issued, net of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221,971</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36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20,699</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w:t>
            </w:r>
          </w:p>
        </w:tc>
        <w:tc>
          <w:tcPr>
            <w:tcW w:w="76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shd w:fill="CCEEFF" w:val="clear"/>
            <w:vAlign w:val="center"/>
          </w:tcPr>
          <w:p>
            <w:pPr>
              <w:pStyle w:val="TableContents"/>
              <w:bidi w:val="0"/>
              <w:spacing w:before="0" w:after="0"/>
              <w:ind w:left="0" w:right="0" w:hanging="0"/>
              <w:jc w:val="right"/>
              <w:rPr/>
            </w:pPr>
            <w:r>
              <w:rPr/>
              <w:t>​</w:t>
            </w:r>
          </w:p>
        </w:tc>
        <w:tc>
          <w:tcPr>
            <w:tcW w:w="8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20,701</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shd w:fill="CCEEFF" w:val="clear"/>
            <w:vAlign w:val="center"/>
          </w:tcPr>
          <w:p>
            <w:pPr>
              <w:pStyle w:val="TableContents"/>
              <w:bidi w:val="0"/>
              <w:spacing w:before="0" w:after="0"/>
              <w:ind w:left="0" w:right="0" w:hanging="0"/>
              <w:jc w:val="right"/>
              <w:rPr/>
            </w:pPr>
            <w:r>
              <w:rPr/>
              <w:t>​</w:t>
            </w:r>
          </w:p>
        </w:tc>
        <w:tc>
          <w:tcPr>
            <w:tcW w:w="5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20,701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Deconsolidation of previously controlled subsidiary</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6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76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32" w:type="dxa"/>
            <w:tcBorders/>
            <w:vAlign w:val="center"/>
          </w:tcPr>
          <w:p>
            <w:pPr>
              <w:pStyle w:val="TableContents"/>
              <w:bidi w:val="0"/>
              <w:spacing w:before="0" w:after="0"/>
              <w:ind w:left="0" w:right="0" w:hanging="0"/>
              <w:jc w:val="right"/>
              <w:rPr/>
            </w:pPr>
            <w:r>
              <w:rPr/>
              <w:t>​</w:t>
            </w:r>
          </w:p>
        </w:tc>
        <w:tc>
          <w:tcPr>
            <w:tcW w:w="81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251" w:type="dxa"/>
            <w:tcBorders/>
            <w:vAlign w:val="center"/>
          </w:tcPr>
          <w:p>
            <w:pPr>
              <w:pStyle w:val="TableContents"/>
              <w:bidi w:val="0"/>
              <w:spacing w:before="0" w:after="0"/>
              <w:ind w:left="0" w:right="0" w:hanging="0"/>
              <w:jc w:val="right"/>
              <w:rPr/>
            </w:pPr>
            <w:r>
              <w:rPr/>
              <w:t>​</w:t>
            </w:r>
          </w:p>
        </w:tc>
        <w:tc>
          <w:tcPr>
            <w:tcW w:w="56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32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(286)</w:t>
            </w:r>
          </w:p>
        </w:tc>
        <w:tc>
          <w:tcPr>
            <w:tcW w:w="191" w:type="dxa"/>
            <w:tcBorders/>
            <w:vAlign w:val="center"/>
          </w:tcPr>
          <w:p>
            <w:pPr>
              <w:pStyle w:val="TableContents"/>
              <w:bidi w:val="0"/>
              <w:spacing w:before="0" w:after="0"/>
              <w:ind w:left="0" w:right="0" w:hanging="0"/>
              <w:jc w:val="left"/>
              <w:rPr/>
            </w:pPr>
            <w:r>
              <w:rPr/>
              <w:t>​</w:t>
            </w:r>
          </w:p>
        </w:tc>
      </w:tr>
      <w:tr>
        <w:trPr/>
        <w:tc>
          <w:tcPr>
            <w:tcW w:w="1336"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 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3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7,108</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7,108</w:t>
            </w:r>
          </w:p>
        </w:tc>
        <w:tc>
          <w:tcPr>
            <w:tcW w:w="109" w:type="dxa"/>
            <w:tcBorders/>
            <w:shd w:fill="CCEEFF" w:val="clear"/>
            <w:vAlign w:val="center"/>
          </w:tcPr>
          <w:p>
            <w:pPr>
              <w:pStyle w:val="TableContents"/>
              <w:bidi w:val="0"/>
              <w:spacing w:before="0" w:after="0"/>
              <w:ind w:left="0" w:right="0" w:hanging="0"/>
              <w:jc w:val="righ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13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Balance at January 28, 2023</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25,264,025</w:t>
            </w:r>
          </w:p>
        </w:tc>
        <w:tc>
          <w:tcPr>
            <w:tcW w:w="326" w:type="dxa"/>
            <w:tcBorders/>
            <w:vAlign w:val="center"/>
          </w:tcPr>
          <w:p>
            <w:pPr>
              <w:pStyle w:val="TableContents"/>
              <w:bidi w:val="0"/>
              <w:spacing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295,070</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331,494</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(5,055)</w:t>
            </w:r>
          </w:p>
        </w:tc>
        <w:tc>
          <w:tcPr>
            <w:tcW w:w="109" w:type="dxa"/>
            <w:tcBorders/>
            <w:vAlign w:val="center"/>
          </w:tcPr>
          <w:p>
            <w:pPr>
              <w:pStyle w:val="TableContents"/>
              <w:bidi w:val="0"/>
              <w:spacing w:before="0" w:after="0"/>
              <w:ind w:left="0" w:right="0" w:hanging="0"/>
              <w:jc w:val="right"/>
              <w:rPr/>
            </w:pPr>
            <w:r>
              <w:rPr/>
              <w:t>​</w:t>
            </w:r>
          </w:p>
        </w:tc>
        <w:tc>
          <w:tcPr>
            <w:tcW w:w="232"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8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621,513</w:t>
            </w:r>
          </w:p>
        </w:tc>
        <w:tc>
          <w:tcPr>
            <w:tcW w:w="109" w:type="dxa"/>
            <w:tcBorders/>
            <w:vAlign w:val="center"/>
          </w:tcPr>
          <w:p>
            <w:pPr>
              <w:pStyle w:val="TableContents"/>
              <w:bidi w:val="0"/>
              <w:spacing w:before="0" w:after="0"/>
              <w:ind w:left="0" w:right="0" w:hanging="0"/>
              <w:jc w:val="righ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0"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621,513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018" w:name="_a04d5655_5dc8_4078_b1de_afdd45dc3020"/>
      <w:bookmarkEnd w:id="1018"/>
      <w:r>
        <w:rPr>
          <w:rFonts w:ascii="Times New Roman;Times;serif" w:hAnsi="Times New Roman;Times;serif"/>
          <w:b/>
          <w:sz w:val="18"/>
        </w:rPr>
        <w:t>AeroVironment, Inc.</w:t>
      </w:r>
    </w:p>
    <w:p>
      <w:pPr>
        <w:pStyle w:val="TextBody"/>
        <w:bidi w:val="0"/>
        <w:spacing w:before="0" w:after="0"/>
        <w:ind w:left="0" w:right="0" w:hanging="0"/>
        <w:jc w:val="center"/>
        <w:rPr>
          <w:rFonts w:ascii="Times New Roman;Times;serif" w:hAnsi="Times New Roman;Times;serif"/>
          <w:b/>
          <w:sz w:val="18"/>
        </w:rPr>
      </w:pPr>
      <w:bookmarkStart w:id="1019" w:name="CashFlows_999318"/>
      <w:bookmarkEnd w:id="1019"/>
      <w:r>
        <w:rPr>
          <w:rFonts w:ascii="Times New Roman;Times;serif" w:hAnsi="Times New Roman;Times;serif"/>
          <w:b/>
          <w:sz w:val="18"/>
        </w:rPr>
        <w:t>Condensed Consolidated Statements of Cash Flows (Unaudited)</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 thousands)</w:t>
      </w:r>
    </w:p>
    <w:p>
      <w:pPr>
        <w:pStyle w:val="Normal"/>
        <w:bidi w:val="0"/>
        <w:spacing w:before="0" w:after="0"/>
        <w:jc w:val="left"/>
        <w:rPr>
          <w:sz w:val="4"/>
          <w:szCs w:val="4"/>
        </w:rPr>
      </w:pPr>
      <w:r>
        <w:rPr>
          <w:sz w:val="4"/>
          <w:szCs w:val="4"/>
        </w:rPr>
      </w:r>
      <w:bookmarkStart w:id="1020" w:name="Tc_qbiI0l59PkGWVwKexQSrHA_63_5"/>
      <w:bookmarkStart w:id="1021" w:name="Tc_EUeEzBgQIkqfxtP3a6hQYA_63_2"/>
      <w:bookmarkStart w:id="1022" w:name="Tc_rqCYqKDyZkCSSrWNPnPuGQ_63_0"/>
      <w:bookmarkStart w:id="1023" w:name="Tc_QWOFM9lZ7E-9EASZlHfVbA_62_5"/>
      <w:bookmarkStart w:id="1024" w:name="Tc_lUCed4HXWkmvJ7PgxH-qKg_62_3"/>
      <w:bookmarkStart w:id="1025" w:name="Tc_4Pzw_vT7G0KMaRkFx4Pesw_62_2"/>
      <w:bookmarkStart w:id="1026" w:name="Tc_adS8CW-USEOaGUcVpgXTmg_62_0"/>
      <w:bookmarkStart w:id="1027" w:name="Tc_HAQs-F8Czk2qi0EDMjgLiw_61_5"/>
      <w:bookmarkStart w:id="1028" w:name="Tc_h2OV3i6GhEqWrD-7COFbcQ_61_2"/>
      <w:bookmarkStart w:id="1029" w:name="Tc_nBIhDu3iEUW1fsPACMQEiw_61_0"/>
      <w:bookmarkStart w:id="1030" w:name="Tc_2k1yydcxs0uWz8WRFSRH-A_60_5"/>
      <w:bookmarkStart w:id="1031" w:name="Tc_r4tB-z95ZkyKCmsBn1vhpQ_60_3"/>
      <w:bookmarkStart w:id="1032" w:name="Tc_Ec5MY_SX2UuIAXjGDnB1kA_60_2"/>
      <w:bookmarkStart w:id="1033" w:name="Narr_X6vpvFc3eU6x6b6QRZccMw"/>
      <w:bookmarkStart w:id="1034" w:name="Tc_wyhsdvv1mEuIeCEHaWkWHg_60_0"/>
      <w:bookmarkStart w:id="1035" w:name="Tc_fwGXb8Ra9ESYQkALyb5SKQ_59_6"/>
      <w:bookmarkStart w:id="1036" w:name="Tc_XsUghF9PjEqRGoq7dV4yAg_59_5"/>
      <w:bookmarkStart w:id="1037" w:name="Tc_OpSxVfpmZU2Y6QUEosJllg_59_2"/>
      <w:bookmarkStart w:id="1038" w:name="Tc_NF4uWtzkgEWZWcgpISYXFQ_59_0"/>
      <w:bookmarkStart w:id="1039" w:name="Tc_wAWzaVC0GUihoMetpoayHA_58_0"/>
      <w:bookmarkStart w:id="1040" w:name="Tc_7meVLQpz3kydwmu09xyTCQ_57_5"/>
      <w:bookmarkStart w:id="1041" w:name="Tc_dTi0VBTBvkaijbHdxdn73w_57_2"/>
      <w:bookmarkStart w:id="1042" w:name="Tc_lNMUTxiDCUiWdYqCKaVf3A_57_0"/>
      <w:bookmarkStart w:id="1043" w:name="Tc_5wrYOK5owk2Mx88WwP_DBA_56_5"/>
      <w:bookmarkStart w:id="1044" w:name="Tc_bgWfw_0h10adR1bHHR_UBQ_56_2"/>
      <w:bookmarkStart w:id="1045" w:name="Tc_0pYceEGvEUSk91wpJk6h2A_56_0"/>
      <w:bookmarkStart w:id="1046" w:name="Tc_Dqloqm2yyk-NVcUoV68crg_55_0"/>
      <w:bookmarkStart w:id="1047" w:name="Tc_nQNJxe4uoUaOeRGe_I0g_A_54_0"/>
      <w:bookmarkStart w:id="1048" w:name="Tc_AiSZHqNPhkWRDks76tpFug_53_5"/>
      <w:bookmarkStart w:id="1049" w:name="Tc_PLe86dch1ECxZi5KWy_t_w_53_2"/>
      <w:bookmarkStart w:id="1050" w:name="Tc_W5aTC9CgDkO38kJY0c_q6A_53_0"/>
      <w:bookmarkStart w:id="1051" w:name="Tc_1W3P9sl06EyJXTYVhavCKg_52_0"/>
      <w:bookmarkStart w:id="1052" w:name="Tc_GH5SdLAjTEyE1W63Pag-Sw_51_0"/>
      <w:bookmarkStart w:id="1053" w:name="Tc_bn2-7N_JxkGl4tPM0sFO9w_50_0"/>
      <w:bookmarkStart w:id="1054" w:name="Tc_94_v4pfm8UiTMJvL58ElHQ_49_0"/>
      <w:bookmarkStart w:id="1055" w:name="Tc_jtiI5DsAL0iE8CvvH1KTuA_48_0"/>
      <w:bookmarkStart w:id="1056" w:name="Tc_XKOK4bdlM0Crdmr1mMgt6w_47_3"/>
      <w:bookmarkStart w:id="1057" w:name="Tc_YHMklFSzGkODOHaRUhpklA_47_0"/>
      <w:bookmarkStart w:id="1058" w:name="Tc_oUw_6cc6S02yoMHNJvCzFA_46_0"/>
      <w:bookmarkStart w:id="1059" w:name="Tc_iXjciKxkYE6mRDfPqB8EDg_45_6"/>
      <w:bookmarkStart w:id="1060" w:name="Tc_3b6b7aID206IimOW07jXBg_45_0"/>
      <w:bookmarkStart w:id="1061" w:name="Tc_EBbHLrflH0OWVjqGTSTZXg_44_0"/>
      <w:bookmarkStart w:id="1062" w:name="Tc_icVMyN6VAk6Fu7xY6TnS_A_43_6"/>
      <w:bookmarkStart w:id="1063" w:name="Tc_S0Pwz1RshE-0N15IF5sjfQ_43_0"/>
      <w:bookmarkStart w:id="1064" w:name="Tc_aQ6-1-iOI0Oc5C3jmq-l7g_42_6"/>
      <w:bookmarkStart w:id="1065" w:name="Tc_QcF30BI4u0WMLBfXwlaUsA_42_0"/>
      <w:bookmarkStart w:id="1066" w:name="Tc_4kr_B2xQiEaJCyfLeHxDPA_41_0"/>
      <w:bookmarkStart w:id="1067" w:name="Tc_SR9j1FIL40azHsJVXEj5Sg_40_0"/>
      <w:bookmarkStart w:id="1068" w:name="Tc_FYe30eZOA0uJTxP3W5zMUg_39_0"/>
      <w:bookmarkStart w:id="1069" w:name="Tc_-iSByVQLkUu11mnPgSeRyA_38_3"/>
      <w:bookmarkStart w:id="1070" w:name="Tc_OoGQwjpJJ0OljH6Rw_xs1Q_38_0"/>
      <w:bookmarkStart w:id="1071" w:name="Tc_UoRUNfE-00qhn2uBS0s71g_37_3"/>
      <w:bookmarkStart w:id="1072" w:name="Tc_JAwPvXyVBUmRXNp4aV_1cg_37_0"/>
      <w:bookmarkStart w:id="1073" w:name="Tc_8GfysFxcgEOdKB8UojxEEQ_36_3"/>
      <w:bookmarkStart w:id="1074" w:name="Tc_ZgvLKtyebk-kvG81EjKm-w_36_0"/>
      <w:bookmarkStart w:id="1075" w:name="Tc_Bz30fvhBKESGLBwmecWHqQ_35_0"/>
      <w:bookmarkStart w:id="1076" w:name="Tc__sBjK3H8402z5ZP-A81S7g_34_6"/>
      <w:bookmarkStart w:id="1077" w:name="Tc_dlVmbzdb1ECYVoCbYG0s7A_34_0"/>
      <w:bookmarkStart w:id="1078" w:name="Tc_v-H9v7TxHkCfPocyDGB3iQ_33_3"/>
      <w:bookmarkStart w:id="1079" w:name="Tc_SfArb1lyHUqkgfdIxeokAQ_33_0"/>
      <w:bookmarkStart w:id="1080" w:name="Tc_WiKv6Wbydkq70Han92pTsw_32_0"/>
      <w:bookmarkStart w:id="1081" w:name="Tc_vtDaGZ59nEC510Iu6ZRMzQ_31_0"/>
      <w:bookmarkStart w:id="1082" w:name="Tc_qSJFeC2ArkCbAvVV435MsQ_30_0"/>
      <w:bookmarkStart w:id="1083" w:name="Tc_lq-kNG8zLUWFZvbjVQ-G2g_29_0"/>
      <w:bookmarkStart w:id="1084" w:name="Tc_rOqHW9SAz0GXgU2dVDe7Rg_28_0"/>
      <w:bookmarkStart w:id="1085" w:name="Tc_w8S8_cNmxkCbldVYu6PQRw_27_0"/>
      <w:bookmarkStart w:id="1086" w:name="Tc_-ZSKo5WZaU6rL6gujU-zZA_26_0"/>
      <w:bookmarkStart w:id="1087" w:name="Tc_uIdcQ9lmTEOVvzxdo-XwTA_25_0"/>
      <w:bookmarkStart w:id="1088" w:name="Tc_fOnMateVV0W346zdxSaAYw_24_0"/>
      <w:bookmarkStart w:id="1089" w:name="Tc_f0WYRFzYhE2faFPpuxfvSw_23_0"/>
      <w:bookmarkStart w:id="1090" w:name="Tc_plmb2eBN-Uu7qLOwU7dB8Q_22_0"/>
      <w:bookmarkStart w:id="1091" w:name="Tc_cz_MZwNMkUOQQR6yDgWZXw_21_0"/>
      <w:bookmarkStart w:id="1092" w:name="Tc_ndyHxw-B20S9j3ZDyrN-lw_20_3"/>
      <w:bookmarkStart w:id="1093" w:name="Tc_5Vv_Go9ceki27ip_ragWkA_20_0"/>
      <w:bookmarkStart w:id="1094" w:name="Tc_Q0JePgnUdU2baljbMAR5Mg_19_0"/>
      <w:bookmarkStart w:id="1095" w:name="Tc_crCK6doN4kWFC1_OVtG4oQ_18_0"/>
      <w:bookmarkStart w:id="1096" w:name="Tc_e35yPFg0KEaU4Ov_0fbxug_17_0"/>
      <w:bookmarkStart w:id="1097" w:name="Tc_ET2Ntkjj6UqfVDFnhs0GNg_16_0"/>
      <w:bookmarkStart w:id="1098" w:name="Tc_j1PCiV33LEyVJpmQhysmHw_15_0"/>
      <w:bookmarkStart w:id="1099" w:name="Tc_qqTeM8JGrkKVN-XGs_r9Bg_14_0"/>
      <w:bookmarkStart w:id="1100" w:name="Tc_g_iiuy10kUGnMLAc6Bqs3A_13_0"/>
      <w:bookmarkStart w:id="1101" w:name="Tc_kaIdW3ZC9U-mnPcbgcni-g_12_0"/>
      <w:bookmarkStart w:id="1102" w:name="Tc_s-4yggCQ9EukSJuv6U7eiw_11_0"/>
      <w:bookmarkStart w:id="1103" w:name="Tc_U_mCJa3J_Eq0npRyNPkvcA_10_0"/>
      <w:bookmarkStart w:id="1104" w:name="Tc_nOa7sxPcAEyL9vPxbqGM4g_9_3"/>
      <w:bookmarkStart w:id="1105" w:name="Tc_NTv5HlQKQUS5lCAcE_NIWw_9_0"/>
      <w:bookmarkStart w:id="1106" w:name="Tc_TncQ-f7C4Ei20Uj4VtxOYA_8_0"/>
      <w:bookmarkStart w:id="1107" w:name="Tc_2gRep2gReUaQkKMcI7q2Ng_7_0"/>
      <w:bookmarkStart w:id="1108" w:name="Tc_U53vWN9Q-EaqRTxg1z6Qcw_6_0"/>
      <w:bookmarkStart w:id="1109" w:name="Tc_wnAx_x1sT0Svvz7RNj9XPQ_5_5"/>
      <w:bookmarkStart w:id="1110" w:name="Tc_0zkHUd9QMEmccL0v7JGyBg_5_2"/>
      <w:bookmarkStart w:id="1111" w:name="Tc_Helns2ObrkOjPBwwBOJffw_5_0"/>
      <w:bookmarkStart w:id="1112" w:name="Tc_XoqApDpNnk-9PWB_Zdyzew_4_0"/>
      <w:bookmarkStart w:id="1113" w:name="Tc_YdN5fX3us0GWflEu4BAEHg_3_5"/>
      <w:bookmarkStart w:id="1114" w:name="Tc_iILzNmPwnUuA1RLv22kzuQ_3_2"/>
      <w:bookmarkStart w:id="1115" w:name="Tc_zFmjg4ltn0yweORoqbF1bw_2_5"/>
      <w:bookmarkStart w:id="1116" w:name="Tc_ZIiqRfHgEEmH3CNW-qK1Iw_2_2"/>
      <w:bookmarkStart w:id="1117" w:name="Tc_xjPv0EhnuE29CvdH-eWkfw_1_2"/>
      <w:bookmarkStart w:id="1118" w:name="_f77a5353_f0a8_4e47_9bd8_bec6eb362742"/>
      <w:bookmarkStart w:id="1119" w:name="Tc_qbiI0l59PkGWVwKexQSrHA_63_5"/>
      <w:bookmarkStart w:id="1120" w:name="Tc_EUeEzBgQIkqfxtP3a6hQYA_63_2"/>
      <w:bookmarkStart w:id="1121" w:name="Tc_rqCYqKDyZkCSSrWNPnPuGQ_63_0"/>
      <w:bookmarkStart w:id="1122" w:name="Tc_QWOFM9lZ7E-9EASZlHfVbA_62_5"/>
      <w:bookmarkStart w:id="1123" w:name="Tc_lUCed4HXWkmvJ7PgxH-qKg_62_3"/>
      <w:bookmarkStart w:id="1124" w:name="Tc_4Pzw_vT7G0KMaRkFx4Pesw_62_2"/>
      <w:bookmarkStart w:id="1125" w:name="Tc_adS8CW-USEOaGUcVpgXTmg_62_0"/>
      <w:bookmarkStart w:id="1126" w:name="Tc_HAQs-F8Czk2qi0EDMjgLiw_61_5"/>
      <w:bookmarkStart w:id="1127" w:name="Tc_h2OV3i6GhEqWrD-7COFbcQ_61_2"/>
      <w:bookmarkStart w:id="1128" w:name="Tc_nBIhDu3iEUW1fsPACMQEiw_61_0"/>
      <w:bookmarkStart w:id="1129" w:name="Tc_2k1yydcxs0uWz8WRFSRH-A_60_5"/>
      <w:bookmarkStart w:id="1130" w:name="Tc_r4tB-z95ZkyKCmsBn1vhpQ_60_3"/>
      <w:bookmarkStart w:id="1131" w:name="Tc_Ec5MY_SX2UuIAXjGDnB1kA_60_2"/>
      <w:bookmarkStart w:id="1132" w:name="Narr_X6vpvFc3eU6x6b6QRZccMw"/>
      <w:bookmarkStart w:id="1133" w:name="Tc_wyhsdvv1mEuIeCEHaWkWHg_60_0"/>
      <w:bookmarkStart w:id="1134" w:name="Tc_fwGXb8Ra9ESYQkALyb5SKQ_59_6"/>
      <w:bookmarkStart w:id="1135" w:name="Tc_XsUghF9PjEqRGoq7dV4yAg_59_5"/>
      <w:bookmarkStart w:id="1136" w:name="Tc_OpSxVfpmZU2Y6QUEosJllg_59_2"/>
      <w:bookmarkStart w:id="1137" w:name="Tc_NF4uWtzkgEWZWcgpISYXFQ_59_0"/>
      <w:bookmarkStart w:id="1138" w:name="Tc_wAWzaVC0GUihoMetpoayHA_58_0"/>
      <w:bookmarkStart w:id="1139" w:name="Tc_7meVLQpz3kydwmu09xyTCQ_57_5"/>
      <w:bookmarkStart w:id="1140" w:name="Tc_dTi0VBTBvkaijbHdxdn73w_57_2"/>
      <w:bookmarkStart w:id="1141" w:name="Tc_lNMUTxiDCUiWdYqCKaVf3A_57_0"/>
      <w:bookmarkStart w:id="1142" w:name="Tc_5wrYOK5owk2Mx88WwP_DBA_56_5"/>
      <w:bookmarkStart w:id="1143" w:name="Tc_bgWfw_0h10adR1bHHR_UBQ_56_2"/>
      <w:bookmarkStart w:id="1144" w:name="Tc_0pYceEGvEUSk91wpJk6h2A_56_0"/>
      <w:bookmarkStart w:id="1145" w:name="Tc_Dqloqm2yyk-NVcUoV68crg_55_0"/>
      <w:bookmarkStart w:id="1146" w:name="Tc_nQNJxe4uoUaOeRGe_I0g_A_54_0"/>
      <w:bookmarkStart w:id="1147" w:name="Tc_AiSZHqNPhkWRDks76tpFug_53_5"/>
      <w:bookmarkStart w:id="1148" w:name="Tc_PLe86dch1ECxZi5KWy_t_w_53_2"/>
      <w:bookmarkStart w:id="1149" w:name="Tc_W5aTC9CgDkO38kJY0c_q6A_53_0"/>
      <w:bookmarkStart w:id="1150" w:name="Tc_1W3P9sl06EyJXTYVhavCKg_52_0"/>
      <w:bookmarkStart w:id="1151" w:name="Tc_GH5SdLAjTEyE1W63Pag-Sw_51_0"/>
      <w:bookmarkStart w:id="1152" w:name="Tc_bn2-7N_JxkGl4tPM0sFO9w_50_0"/>
      <w:bookmarkStart w:id="1153" w:name="Tc_94_v4pfm8UiTMJvL58ElHQ_49_0"/>
      <w:bookmarkStart w:id="1154" w:name="Tc_jtiI5DsAL0iE8CvvH1KTuA_48_0"/>
      <w:bookmarkStart w:id="1155" w:name="Tc_XKOK4bdlM0Crdmr1mMgt6w_47_3"/>
      <w:bookmarkStart w:id="1156" w:name="Tc_YHMklFSzGkODOHaRUhpklA_47_0"/>
      <w:bookmarkStart w:id="1157" w:name="Tc_oUw_6cc6S02yoMHNJvCzFA_46_0"/>
      <w:bookmarkStart w:id="1158" w:name="Tc_iXjciKxkYE6mRDfPqB8EDg_45_6"/>
      <w:bookmarkStart w:id="1159" w:name="Tc_3b6b7aID206IimOW07jXBg_45_0"/>
      <w:bookmarkStart w:id="1160" w:name="Tc_EBbHLrflH0OWVjqGTSTZXg_44_0"/>
      <w:bookmarkStart w:id="1161" w:name="Tc_icVMyN6VAk6Fu7xY6TnS_A_43_6"/>
      <w:bookmarkStart w:id="1162" w:name="Tc_S0Pwz1RshE-0N15IF5sjfQ_43_0"/>
      <w:bookmarkStart w:id="1163" w:name="Tc_aQ6-1-iOI0Oc5C3jmq-l7g_42_6"/>
      <w:bookmarkStart w:id="1164" w:name="Tc_QcF30BI4u0WMLBfXwlaUsA_42_0"/>
      <w:bookmarkStart w:id="1165" w:name="Tc_4kr_B2xQiEaJCyfLeHxDPA_41_0"/>
      <w:bookmarkStart w:id="1166" w:name="Tc_SR9j1FIL40azHsJVXEj5Sg_40_0"/>
      <w:bookmarkStart w:id="1167" w:name="Tc_FYe30eZOA0uJTxP3W5zMUg_39_0"/>
      <w:bookmarkStart w:id="1168" w:name="Tc_-iSByVQLkUu11mnPgSeRyA_38_3"/>
      <w:bookmarkStart w:id="1169" w:name="Tc_OoGQwjpJJ0OljH6Rw_xs1Q_38_0"/>
      <w:bookmarkStart w:id="1170" w:name="Tc_UoRUNfE-00qhn2uBS0s71g_37_3"/>
      <w:bookmarkStart w:id="1171" w:name="Tc_JAwPvXyVBUmRXNp4aV_1cg_37_0"/>
      <w:bookmarkStart w:id="1172" w:name="Tc_8GfysFxcgEOdKB8UojxEEQ_36_3"/>
      <w:bookmarkStart w:id="1173" w:name="Tc_ZgvLKtyebk-kvG81EjKm-w_36_0"/>
      <w:bookmarkStart w:id="1174" w:name="Tc_Bz30fvhBKESGLBwmecWHqQ_35_0"/>
      <w:bookmarkStart w:id="1175" w:name="Tc__sBjK3H8402z5ZP-A81S7g_34_6"/>
      <w:bookmarkStart w:id="1176" w:name="Tc_dlVmbzdb1ECYVoCbYG0s7A_34_0"/>
      <w:bookmarkStart w:id="1177" w:name="Tc_v-H9v7TxHkCfPocyDGB3iQ_33_3"/>
      <w:bookmarkStart w:id="1178" w:name="Tc_SfArb1lyHUqkgfdIxeokAQ_33_0"/>
      <w:bookmarkStart w:id="1179" w:name="Tc_WiKv6Wbydkq70Han92pTsw_32_0"/>
      <w:bookmarkStart w:id="1180" w:name="Tc_vtDaGZ59nEC510Iu6ZRMzQ_31_0"/>
      <w:bookmarkStart w:id="1181" w:name="Tc_qSJFeC2ArkCbAvVV435MsQ_30_0"/>
      <w:bookmarkStart w:id="1182" w:name="Tc_lq-kNG8zLUWFZvbjVQ-G2g_29_0"/>
      <w:bookmarkStart w:id="1183" w:name="Tc_rOqHW9SAz0GXgU2dVDe7Rg_28_0"/>
      <w:bookmarkStart w:id="1184" w:name="Tc_w8S8_cNmxkCbldVYu6PQRw_27_0"/>
      <w:bookmarkStart w:id="1185" w:name="Tc_-ZSKo5WZaU6rL6gujU-zZA_26_0"/>
      <w:bookmarkStart w:id="1186" w:name="Tc_uIdcQ9lmTEOVvzxdo-XwTA_25_0"/>
      <w:bookmarkStart w:id="1187" w:name="Tc_fOnMateVV0W346zdxSaAYw_24_0"/>
      <w:bookmarkStart w:id="1188" w:name="Tc_f0WYRFzYhE2faFPpuxfvSw_23_0"/>
      <w:bookmarkStart w:id="1189" w:name="Tc_plmb2eBN-Uu7qLOwU7dB8Q_22_0"/>
      <w:bookmarkStart w:id="1190" w:name="Tc_cz_MZwNMkUOQQR6yDgWZXw_21_0"/>
      <w:bookmarkStart w:id="1191" w:name="Tc_ndyHxw-B20S9j3ZDyrN-lw_20_3"/>
      <w:bookmarkStart w:id="1192" w:name="Tc_5Vv_Go9ceki27ip_ragWkA_20_0"/>
      <w:bookmarkStart w:id="1193" w:name="Tc_Q0JePgnUdU2baljbMAR5Mg_19_0"/>
      <w:bookmarkStart w:id="1194" w:name="Tc_crCK6doN4kWFC1_OVtG4oQ_18_0"/>
      <w:bookmarkStart w:id="1195" w:name="Tc_e35yPFg0KEaU4Ov_0fbxug_17_0"/>
      <w:bookmarkStart w:id="1196" w:name="Tc_ET2Ntkjj6UqfVDFnhs0GNg_16_0"/>
      <w:bookmarkStart w:id="1197" w:name="Tc_j1PCiV33LEyVJpmQhysmHw_15_0"/>
      <w:bookmarkStart w:id="1198" w:name="Tc_qqTeM8JGrkKVN-XGs_r9Bg_14_0"/>
      <w:bookmarkStart w:id="1199" w:name="Tc_g_iiuy10kUGnMLAc6Bqs3A_13_0"/>
      <w:bookmarkStart w:id="1200" w:name="Tc_kaIdW3ZC9U-mnPcbgcni-g_12_0"/>
      <w:bookmarkStart w:id="1201" w:name="Tc_s-4yggCQ9EukSJuv6U7eiw_11_0"/>
      <w:bookmarkStart w:id="1202" w:name="Tc_U_mCJa3J_Eq0npRyNPkvcA_10_0"/>
      <w:bookmarkStart w:id="1203" w:name="Tc_nOa7sxPcAEyL9vPxbqGM4g_9_3"/>
      <w:bookmarkStart w:id="1204" w:name="Tc_NTv5HlQKQUS5lCAcE_NIWw_9_0"/>
      <w:bookmarkStart w:id="1205" w:name="Tc_TncQ-f7C4Ei20Uj4VtxOYA_8_0"/>
      <w:bookmarkStart w:id="1206" w:name="Tc_2gRep2gReUaQkKMcI7q2Ng_7_0"/>
      <w:bookmarkStart w:id="1207" w:name="Tc_U53vWN9Q-EaqRTxg1z6Qcw_6_0"/>
      <w:bookmarkStart w:id="1208" w:name="Tc_wnAx_x1sT0Svvz7RNj9XPQ_5_5"/>
      <w:bookmarkStart w:id="1209" w:name="Tc_0zkHUd9QMEmccL0v7JGyBg_5_2"/>
      <w:bookmarkStart w:id="1210" w:name="Tc_Helns2ObrkOjPBwwBOJffw_5_0"/>
      <w:bookmarkStart w:id="1211" w:name="Tc_XoqApDpNnk-9PWB_Zdyzew_4_0"/>
      <w:bookmarkStart w:id="1212" w:name="Tc_YdN5fX3us0GWflEu4BAEHg_3_5"/>
      <w:bookmarkStart w:id="1213" w:name="Tc_iILzNmPwnUuA1RLv22kzuQ_3_2"/>
      <w:bookmarkStart w:id="1214" w:name="Tc_zFmjg4ltn0yweORoqbF1bw_2_5"/>
      <w:bookmarkStart w:id="1215" w:name="Tc_ZIiqRfHgEEmH3CNW-qK1Iw_2_2"/>
      <w:bookmarkStart w:id="1216" w:name="Tc_xjPv0EhnuE29CvdH-eWkfw_1_2"/>
      <w:bookmarkStart w:id="1217" w:name="_f77a5353_f0a8_4e47_9bd8_bec6eb362742"/>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p>
    <w:tbl>
      <w:tblPr>
        <w:tblW w:w="10205" w:type="dxa"/>
        <w:jc w:val="left"/>
        <w:tblInd w:w="0" w:type="dxa"/>
        <w:tblLayout w:type="fixed"/>
        <w:tblCellMar>
          <w:top w:w="0" w:type="dxa"/>
          <w:left w:w="0" w:type="dxa"/>
          <w:bottom w:w="0" w:type="dxa"/>
          <w:right w:w="0" w:type="dxa"/>
        </w:tblCellMar>
      </w:tblPr>
      <w:tblGrid>
        <w:gridCol w:w="7417"/>
        <w:gridCol w:w="326"/>
        <w:gridCol w:w="214"/>
        <w:gridCol w:w="757"/>
        <w:gridCol w:w="326"/>
        <w:gridCol w:w="221"/>
        <w:gridCol w:w="750"/>
        <w:gridCol w:w="194"/>
      </w:tblGrid>
      <w:tr>
        <w:trPr/>
        <w:tc>
          <w:tcPr>
            <w:tcW w:w="74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4709795" cy="175260"/>
                      <wp:effectExtent l="0" t="0" r="0" b="0"/>
                      <wp:wrapNone/>
                      <wp:docPr id="89" name="Frame89"/>
                      <a:graphic xmlns:a="http://schemas.openxmlformats.org/drawingml/2006/main">
                        <a:graphicData uri="http://schemas.microsoft.com/office/word/2010/wordprocessingShape">
                          <wps:wsp>
                            <wps:cNvSpPr txBox="1"/>
                            <wps:spPr>
                              <a:xfrm>
                                <a:off x="0" y="0"/>
                                <a:ext cx="4709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260"/>
                      <wp:effectExtent l="0" t="0" r="0" b="0"/>
                      <wp:wrapNone/>
                      <wp:docPr id="90" name="Frame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5890" cy="175260"/>
                      <wp:effectExtent l="0" t="0" r="0" b="0"/>
                      <wp:wrapNone/>
                      <wp:docPr id="91" name="Frame91"/>
                      <a:graphic xmlns:a="http://schemas.openxmlformats.org/drawingml/2006/main">
                        <a:graphicData uri="http://schemas.microsoft.com/office/word/2010/wordprocessingShape">
                          <wps:wsp>
                            <wps:cNvSpPr txBox="1"/>
                            <wps:spPr>
                              <a:xfrm>
                                <a:off x="0" y="0"/>
                                <a:ext cx="135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480695" cy="175260"/>
                      <wp:effectExtent l="0" t="0" r="0" b="0"/>
                      <wp:wrapNone/>
                      <wp:docPr id="92" name="Frame92"/>
                      <a:graphic xmlns:a="http://schemas.openxmlformats.org/drawingml/2006/main">
                        <a:graphicData uri="http://schemas.microsoft.com/office/word/2010/wordprocessingShape">
                          <wps:wsp>
                            <wps:cNvSpPr txBox="1"/>
                            <wps:spPr>
                              <a:xfrm>
                                <a:off x="0" y="0"/>
                                <a:ext cx="480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207010" cy="175260"/>
                      <wp:effectExtent l="0" t="0" r="0" b="0"/>
                      <wp:wrapNone/>
                      <wp:docPr id="93"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40335" cy="175260"/>
                      <wp:effectExtent l="0" t="0" r="0" b="0"/>
                      <wp:wrapNone/>
                      <wp:docPr id="94" name="Frame9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476250" cy="175260"/>
                      <wp:effectExtent l="0" t="0" r="0" b="0"/>
                      <wp:wrapNone/>
                      <wp:docPr id="95" name="Frame95"/>
                      <a:graphic xmlns:a="http://schemas.openxmlformats.org/drawingml/2006/main">
                        <a:graphicData uri="http://schemas.microsoft.com/office/word/2010/wordprocessingShape">
                          <wps:wsp>
                            <wps:cNvSpPr txBox="1"/>
                            <wps:spPr>
                              <a:xfrm>
                                <a:off x="0" y="0"/>
                                <a:ext cx="476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23190" cy="175260"/>
                      <wp:effectExtent l="0" t="0" r="0" b="0"/>
                      <wp:wrapNone/>
                      <wp:docPr id="96" name="Frame96"/>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6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    </w:t>
            </w:r>
          </w:p>
        </w:tc>
        <w:tc>
          <w:tcPr>
            <w:tcW w:w="9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4" w:type="dxa"/>
            <w:tcBorders/>
            <w:vAlign w:val="center"/>
          </w:tcPr>
          <w:p>
            <w:pPr>
              <w:pStyle w:val="TableContents"/>
              <w:bidi w:val="0"/>
              <w:spacing w:before="0" w:after="0"/>
              <w:ind w:left="0" w:right="0" w:hanging="0"/>
              <w:jc w:val="left"/>
              <w:rPr/>
            </w:pPr>
            <w:r>
              <w:rPr/>
              <w:t> </w:t>
            </w:r>
          </w:p>
        </w:tc>
      </w:tr>
      <w:tr>
        <w:trPr/>
        <w:tc>
          <w:tcPr>
            <w:tcW w:w="741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9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971" w:type="dxa"/>
            <w:gridSpan w:val="2"/>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1" w:type="dxa"/>
            <w:gridSpan w:val="2"/>
            <w:tcBorders/>
            <w:shd w:fill="CCEEFF" w:val="clear"/>
            <w:vAlign w:val="center"/>
          </w:tcPr>
          <w:p>
            <w:pPr>
              <w:pStyle w:val="TableContents"/>
              <w:bidi w:val="0"/>
              <w:spacing w:before="0" w:after="0"/>
              <w:ind w:left="0" w:right="0" w:hanging="0"/>
              <w:jc w:val="center"/>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income (loss)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53,620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(15,694)</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Adjustments to reconcile net income (loss) to cash provided by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Depreciation and amortization</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24,969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48,109</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from 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1,494</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2,190</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deconsolidation of previously controlled subsidiary</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638</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Provision for doubtful accounts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Reserve for inventory excess and obsolescence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11,668</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3,787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non-cash expense, net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783</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935</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Non-cash lease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6,923</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foreign currency transactions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38</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loss on available-for-sale equity securities, net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2,712</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1,798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Deferred income taxes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(1,604)</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(1,250)</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12,425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7,108</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Loss on disposal of property and equipment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1,193</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Amortization of debt securities discount</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Changes in operating assets and liabilities, net of acquisitions: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receivable</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36,387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6,847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Unbilled receivables and retentions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(41,950)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(5,098)</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(31,901)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(43,111)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 receivable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(8,081)</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(9,388)</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Prepaid expenses and 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 </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(15,896)</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Accounts payable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(10,003)</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7,789</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(15,321)</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provided by operating activities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26,965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8,801</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property and equipment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(13,901)</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(10,116)</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(1,875)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(2,774)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Equity security investments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(5,100)</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 of intangibles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(1,500)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Business acquisitions, net of cash acquired</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(24,156)</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(5,105)</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deconsolidation of previously controlled subsidiary, net of cash deconsolidated</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Redemptions of available-for-sale investments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25,945</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Purchases of available-for-sale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provided by investing activities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(41,432)</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Principal payments of term loan</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(95,000)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(22,500)</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Holdback and retention payments for business acquisition</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(500)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contingent consideration</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(2,132)</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Proceeds from shares issued, net of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88,437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20,104</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Payment of debt issuance costs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Tax withholding payment related to net settlement of equity awards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(1,370)</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stock options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868</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cash used in financing activities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(10,621)</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(2,402)</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Effects of currency translation on 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695</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(decrease) 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 </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(25,165)</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 </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7,983</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beginning of period</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132,859</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77,231</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cash equivalents and restricted cash at end of period</w:t>
            </w:r>
          </w:p>
        </w:tc>
        <w:tc>
          <w:tcPr>
            <w:tcW w:w="326" w:type="dxa"/>
            <w:tcBorders/>
            <w:vAlign w:val="center"/>
          </w:tcPr>
          <w:p>
            <w:pPr>
              <w:pStyle w:val="TableContents"/>
              <w:bidi w:val="0"/>
              <w:spacing w:before="0" w:after="0"/>
              <w:ind w:left="0" w:right="0" w:hanging="0"/>
              <w:jc w:val="left"/>
              <w:rPr/>
            </w:pPr>
            <w:r>
              <w:rPr/>
              <w:t>​</w:t>
            </w:r>
          </w:p>
        </w:tc>
        <w:tc>
          <w:tcPr>
            <w:tcW w:w="21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107,694</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85,214</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Supplemental disclosures of cash flow information</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Cash paid, net during the period for:</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pPr>
            <w:r>
              <w:rPr/>
              <w:t>​</w:t>
            </w:r>
          </w:p>
        </w:tc>
        <w:tc>
          <w:tcPr>
            <w:tcW w:w="75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50" w:type="dxa"/>
            <w:tcBorders/>
            <w:vAlign w:val="center"/>
          </w:tcPr>
          <w:p>
            <w:pPr>
              <w:pStyle w:val="TableContents"/>
              <w:bidi w:val="0"/>
              <w:spacing w:before="0" w:after="0"/>
              <w:ind w:left="0" w:right="0" w:hanging="0"/>
              <w:jc w:val="lef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15,195</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1,192</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5,850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5,697</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Non-cash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757" w:type="dxa"/>
            <w:tcBorders/>
            <w:shd w:fill="CCEEFF" w:val="clear"/>
            <w:vAlign w:val="center"/>
          </w:tcPr>
          <w:p>
            <w:pPr>
              <w:pStyle w:val="TableContents"/>
              <w:bidi w:val="0"/>
              <w:spacing w:before="0" w:after="0"/>
              <w:ind w:left="0" w:right="0" w:hanging="0"/>
              <w:jc w:val="left"/>
              <w:rPr>
                <w:color w:val="FF0000"/>
              </w:rPr>
            </w:pPr>
            <w:r>
              <w:rPr>
                <w:color w:val="FF000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50"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for business acquisition</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109,820</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vAlign w:val="center"/>
          </w:tcPr>
          <w:p>
            <w:pPr>
              <w:pStyle w:val="TableContents"/>
              <w:bidi w:val="0"/>
              <w:spacing w:before="0" w:after="0"/>
              <w:ind w:left="0" w:right="0" w:hanging="0"/>
              <w:jc w:val="right"/>
              <w:rPr/>
            </w:pPr>
            <w:r>
              <w:rPr/>
              <w:t>—</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Unrealized gain on available-for-sale investments, net of deferred tax expense of $0 for the nine months ended January 27, 2024 and January 28, 2023, respectively</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foreign currency translation adjustments</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(436)</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1,433</w:t>
            </w:r>
          </w:p>
        </w:tc>
        <w:tc>
          <w:tcPr>
            <w:tcW w:w="194" w:type="dxa"/>
            <w:tcBorders/>
            <w:vAlign w:val="center"/>
          </w:tcPr>
          <w:p>
            <w:pPr>
              <w:pStyle w:val="TableContents"/>
              <w:bidi w:val="0"/>
              <w:spacing w:before="0" w:after="0"/>
              <w:ind w:left="0" w:right="0" w:hanging="0"/>
              <w:jc w:val="left"/>
              <w:rPr/>
            </w:pPr>
            <w:r>
              <w:rPr/>
              <w:t>​</w:t>
            </w:r>
          </w:p>
        </w:tc>
      </w:tr>
      <w:tr>
        <w:trPr/>
        <w:tc>
          <w:tcPr>
            <w:tcW w:w="7417"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Issuances of inventory to property and equipment, ISR in-service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4,677</w:t>
            </w:r>
          </w:p>
        </w:tc>
        <w:tc>
          <w:tcPr>
            <w:tcW w:w="194" w:type="dxa"/>
            <w:tcBorders/>
            <w:shd w:fill="CCEEFF" w:val="clear"/>
            <w:vAlign w:val="center"/>
          </w:tcPr>
          <w:p>
            <w:pPr>
              <w:pStyle w:val="TableContents"/>
              <w:bidi w:val="0"/>
              <w:spacing w:before="0" w:after="0"/>
              <w:ind w:left="0" w:right="0" w:hanging="0"/>
              <w:jc w:val="left"/>
              <w:rPr/>
            </w:pPr>
            <w:r>
              <w:rPr/>
              <w:t>​</w:t>
            </w:r>
          </w:p>
        </w:tc>
      </w:tr>
      <w:tr>
        <w:trPr/>
        <w:tc>
          <w:tcPr>
            <w:tcW w:w="7417"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Acquisitions of property and equipment included in accounts payable</w:t>
            </w:r>
          </w:p>
        </w:tc>
        <w:tc>
          <w:tcPr>
            <w:tcW w:w="326" w:type="dxa"/>
            <w:tcBorders/>
            <w:vAlign w:val="center"/>
          </w:tcPr>
          <w:p>
            <w:pPr>
              <w:pStyle w:val="TableContents"/>
              <w:bidi w:val="0"/>
              <w:spacing w:before="0" w:after="0"/>
              <w:ind w:left="0" w:right="0" w:hanging="0"/>
              <w:jc w:val="left"/>
              <w:rPr/>
            </w:pPr>
            <w:r>
              <w:rPr/>
              <w:t>​</w:t>
            </w:r>
          </w:p>
        </w:tc>
        <w:tc>
          <w:tcPr>
            <w:tcW w:w="214"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7"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2,519</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50"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731</w:t>
            </w:r>
          </w:p>
        </w:tc>
        <w:tc>
          <w:tcPr>
            <w:tcW w:w="19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condensed consolidated financial statements (unaudited).</w:t>
      </w:r>
    </w:p>
    <w:p>
      <w:pPr>
        <w:pStyle w:val="TextBody"/>
        <w:bidi w:val="0"/>
        <w:spacing w:before="0" w:after="0"/>
        <w:ind w:left="0" w:right="0" w:hanging="0"/>
        <w:jc w:val="center"/>
        <w:rPr>
          <w:rFonts w:ascii="Times New Roman;Times;serif" w:hAnsi="Times New Roman;Times;serif"/>
          <w:b/>
          <w:sz w:val="20"/>
        </w:rPr>
      </w:pPr>
      <w:bookmarkStart w:id="1218" w:name="_221b4453_18c6_4600_abf0_14a39a112932"/>
      <w:bookmarkEnd w:id="1218"/>
      <w:r>
        <w:rPr>
          <w:rFonts w:ascii="Times New Roman;Times;serif" w:hAnsi="Times New Roman;Times;serif"/>
          <w:b/>
          <w:sz w:val="20"/>
        </w:rPr>
        <w:t>AeroVironment, Inc.</w:t>
      </w:r>
    </w:p>
    <w:p>
      <w:pPr>
        <w:pStyle w:val="TextBody"/>
        <w:bidi w:val="0"/>
        <w:spacing w:before="0" w:after="0"/>
        <w:ind w:left="0" w:right="0" w:hanging="0"/>
        <w:jc w:val="center"/>
        <w:rPr>
          <w:rFonts w:ascii="Times New Roman;Times;serif" w:hAnsi="Times New Roman;Times;serif"/>
          <w:b/>
          <w:sz w:val="20"/>
        </w:rPr>
      </w:pPr>
      <w:bookmarkStart w:id="1219" w:name="NotestoConsolidatedFinancial_915262"/>
      <w:bookmarkEnd w:id="1219"/>
      <w:r>
        <w:rPr>
          <w:rFonts w:ascii="Times New Roman;Times;serif" w:hAnsi="Times New Roman;Times;serif"/>
          <w:b/>
          <w:sz w:val="20"/>
        </w:rPr>
        <w:t>Notes to Condensed Consolidated Financial Statements (Unaudited)</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 Organization and Significant Accounting Policies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systems (“UMS”), loitering munitions systems (“LMS”) and related services primarily to organizations within the U.S. Government and to international allied governments.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27, 2024 are not necessarily indicative of the results for the full year ending April 30, 2024. For further information, refer to the consolidated financial statements and footnotes thereto for the year ended April 30, 2023, included in the Company’s Annual Report on Form 10-K.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condensed consolidated financial statements and accompanying notes. Actual results could differ from those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unaudited condensed consolidated financial statements include the assets, liabilities and operating results of wholly-owned subsidiaries. All intercompany accounts and transactions have been eliminated.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15, 2021, the Company entered into a Share Sale and Purchase Agreement with Toygun Savunma Sanayi ve Havacilik Anonim Sirketi (“Toygun”) whereby the Company sold 35% of the common shares of the Company’s Turkish joint venture, Altoy Savunma Sanayi ve Havacilik Anonim Sirketi (“Altoy”), to Toygun. On October 14, 2022, the Company sold an additional 35% of the common shares of Altoy to Toygun. As a result of the share sales, the Company decreased its interest in Altoy from 85% to 15% and has determined that it no longer controls Altoy. Therefore, the Company no longer consolidates Altoy in the Company’s unaudited condensed consolidated financial statements. As the Company has the ability to exercise significant influence over the operating and financial policies of Altoy, the Company accounts for the investment as an equity method investment and records its proportion of any gains or losses of Altoy in equity method investments, net of tax. Refer to Note 5—Equity Method Investments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17, 2022, the Company closed its acquisition of Planck Aerosystems, Inc. (“Planck”) pursuant to the purchase agreement, and post-acquisition, Planck has been incorporated into the UMS segment. The assets, liabilities and operating results of Planck have been included in the Company’s unaudited condensed consolidated financial statements. Refer to Note 16—Business Acquisitions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15, 2023, the Company closed its acquisition of Tomahawk Robotics, Inc. (“Tomahawk”) pursuant to a merger agreement, and post-acquisition, Tomahawk has been incorporated into the UMS segment. The assets, liabilities and operating results of Tomahawk have been included in the Company’s unaudited condensed consolidated financial statements. Refer to Note 16—Business Acquisitions for further details.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Adopted Accounting Standards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did not adopt any accounting standards during the nine months ended January 27,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Reclassifications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Certain prior year amounts have been reclassified to conform to the current year presentation. Specifically, the Company’s reserves for inventory excess and obsolescence have been reclassified from changes in inventories to non-cash adjustments within operating activities on the consolidated statements of cash flows for all periods presented. Reportable segment presentation for the three and nine months ended January 28, 2023 has been reclassified to conform to the current year reportable segments: UMS, LMS and MacCready Works (“MW”) resulting from the Company’s reorganization, which was effective May 1, 2023. Refer to Note 18—Segments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Recognition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Company’s revenue is generated pursuant to written contractual arrangements to design, develop, manufacture and/or modify complex products and to provide related engineering, technical and other services according to the specifications of its customers. These contracts may be firm fixed price (“FFP”), cost plus fixed fee (“CPFF”), or time and materials (“T&amp;M”). The Company considers all such contracts to be within the scope of ASU 2014-09, </w:t>
      </w:r>
      <w:r>
        <w:rPr>
          <w:rFonts w:ascii="Times New Roman;Times;serif" w:hAnsi="Times New Roman;Times;serif"/>
          <w:i/>
          <w:sz w:val="20"/>
        </w:rPr>
        <w:t>Revenue from Contracts with Customers</w:t>
      </w:r>
      <w:r>
        <w:rPr>
          <w:rFonts w:ascii="Times New Roman;Times;serif" w:hAnsi="Times New Roman;Times;serif"/>
          <w:sz w:val="20"/>
        </w:rPr>
        <w:t xml:space="preserve"> (“ASC 606”).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Performance Obligations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 performance obligation is a promise in a contract to transfer distinct goods or services to a customer, and it is the unit of account in ASC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modifications are routine in the performance of the Company’s contracts. In most instances, contract modifications are for additional goods and/or services that are distinct and, therefore, accounted for as new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pacing w:val="-1"/>
          <w:sz w:val="20"/>
        </w:rPr>
      </w:pPr>
      <w:r>
        <w:rPr>
          <w:rFonts w:ascii="Times New Roman;Times;serif" w:hAnsi="Times New Roman;Times;serif"/>
          <w:spacing w:val="-1"/>
          <w:sz w:val="20"/>
        </w:rPr>
        <w:t xml:space="preserve">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LMS product deliveries, certain Tomahawk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which historically included revenue from intelligence, surveillance, and reconnaissance (“ISR”) services, is recognized over time as services are rendered. In accordance with ASC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pacing w:val="-1"/>
          <w:sz w:val="20"/>
        </w:rPr>
      </w:pPr>
      <w:bookmarkStart w:id="1220" w:name="Tc_xnN3NQkH90erO2S4yiqBgw_6_0"/>
      <w:bookmarkStart w:id="1221" w:name="Tc_n-bsYX01nEyL4N1sGM22-Q_5_0"/>
      <w:bookmarkStart w:id="1222" w:name="Tc_UZN8ldGeTEyUV95-txfQ3g_4_0"/>
      <w:bookmarkStart w:id="1223" w:name="Tc_cI0k9NvydEmxyhiQMb2Rug_3_11"/>
      <w:bookmarkStart w:id="1224" w:name="Tc_h1KuZ4PHl0qDcjPRe_N0ZA_3_8"/>
      <w:bookmarkStart w:id="1225" w:name="Tc_jN6YXYyGP0SZLmHNiQR1dw_3_5"/>
      <w:bookmarkStart w:id="1226" w:name="Tc_e8IE5uj9MU6m_cG0qTf6lw_3_2"/>
      <w:bookmarkStart w:id="1227" w:name="Tc_EdSLWZpgUkyuaiNY-XgL7w_3_0"/>
      <w:bookmarkStart w:id="1228" w:name="Tc_BJEpKRZfPU-a7Iez5TWemA_2_11"/>
      <w:bookmarkStart w:id="1229" w:name="Tc_aS48WK3L9Uec1ytMmEA7Ew_2_8"/>
      <w:bookmarkStart w:id="1230" w:name="Tc_DOqKNb_sREiS_aD6HaX7HA_2_5"/>
      <w:bookmarkStart w:id="1231" w:name="Tc_fyGoatb--02fV1ICSxQjvQ_2_2"/>
      <w:bookmarkStart w:id="1232" w:name="Tc_rSRlvganYE6Xv9KTuLj2QA_1_8"/>
      <w:bookmarkStart w:id="1233" w:name="Tc_rM4S9lfh_kiRYZTEgvo6Bg_1_2"/>
      <w:bookmarkStart w:id="1234" w:name="_bdd1e922_18f8_4cf6_b360_a7242c574246"/>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r>
        <w:rPr>
          <w:rFonts w:ascii="Times New Roman;Times;serif" w:hAnsi="Times New Roman;Times;serif"/>
          <w:spacing w:val="-1"/>
          <w:sz w:val="20"/>
        </w:rPr>
        <w:t>amount to which the entity has a right to invoice. In the past, the Company operated its medium unmanned aircraft systems (“MUAS”) in overseas locations to support U.S. military operations under ISR services contracts under a contractor-owned, contractor-operated (“COCO”) arrangement. During the year ended April 30, 2023, all COCO sites were closed. Training services are recognized over time using an output method based on days of training completed.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performance obligations which are not satisfied over time per the aforementioned criteria above, revenue is recognized at the point in time in which each performance obligation is fully satisfied. The Company’s Small UAS (“SUAS”), MUAS, unmanned ground vehicles (“UGV”) product sales revenue is composed of revenue recognized on contracts for the delivery of SUAS, MUAS and UGV systems and spare parts, respectively. Revenue is recognized at the point in time when control transfers to the customer, which generally occurs when title and risk of loss have passed to the customer.</w:t>
      </w:r>
    </w:p>
    <w:tbl>
      <w:tblPr>
        <w:tblW w:w="8750" w:type="dxa"/>
        <w:jc w:val="left"/>
        <w:tblInd w:w="0" w:type="dxa"/>
        <w:tblLayout w:type="fixed"/>
        <w:tblCellMar>
          <w:top w:w="0" w:type="dxa"/>
          <w:left w:w="0" w:type="dxa"/>
          <w:bottom w:w="0" w:type="dxa"/>
          <w:right w:w="0" w:type="dxa"/>
        </w:tblCellMar>
      </w:tblPr>
      <w:tblGrid>
        <w:gridCol w:w="3766"/>
        <w:gridCol w:w="109"/>
        <w:gridCol w:w="203"/>
        <w:gridCol w:w="787"/>
        <w:gridCol w:w="326"/>
        <w:gridCol w:w="203"/>
        <w:gridCol w:w="787"/>
        <w:gridCol w:w="109"/>
        <w:gridCol w:w="203"/>
        <w:gridCol w:w="787"/>
        <w:gridCol w:w="326"/>
        <w:gridCol w:w="203"/>
        <w:gridCol w:w="787"/>
        <w:gridCol w:w="154"/>
      </w:tblGrid>
      <w:tr>
        <w:trPr/>
        <w:tc>
          <w:tcPr>
            <w:tcW w:w="3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391410" cy="175260"/>
                      <wp:effectExtent l="0" t="0" r="0" b="0"/>
                      <wp:wrapNone/>
                      <wp:docPr id="97" name="Frame97"/>
                      <a:graphic xmlns:a="http://schemas.openxmlformats.org/drawingml/2006/main">
                        <a:graphicData uri="http://schemas.microsoft.com/office/word/2010/wordprocessingShape">
                          <wps:wsp>
                            <wps:cNvSpPr txBox="1"/>
                            <wps:spPr>
                              <a:xfrm>
                                <a:off x="0" y="0"/>
                                <a:ext cx="2391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28905" cy="175260"/>
                      <wp:effectExtent l="0" t="0" r="0" b="0"/>
                      <wp:wrapNone/>
                      <wp:docPr id="99" name="Frame99"/>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499745" cy="175260"/>
                      <wp:effectExtent l="0" t="0" r="0" b="0"/>
                      <wp:wrapNone/>
                      <wp:docPr id="100" name="Frame100"/>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07010" cy="175260"/>
                      <wp:effectExtent l="0" t="0" r="0" b="0"/>
                      <wp:wrapNone/>
                      <wp:docPr id="101" name="Frame1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128905" cy="175260"/>
                      <wp:effectExtent l="0" t="0" r="0" b="0"/>
                      <wp:wrapNone/>
                      <wp:docPr id="102" name="Frame102"/>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99745" cy="175260"/>
                      <wp:effectExtent l="0" t="0" r="0" b="0"/>
                      <wp:wrapNone/>
                      <wp:docPr id="103" name="Frame103"/>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28905" cy="175260"/>
                      <wp:effectExtent l="0" t="0" r="0" b="0"/>
                      <wp:wrapNone/>
                      <wp:docPr id="105" name="Frame105"/>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99745" cy="175260"/>
                      <wp:effectExtent l="0" t="0" r="0" b="0"/>
                      <wp:wrapNone/>
                      <wp:docPr id="106" name="Frame106"/>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28905" cy="175260"/>
                      <wp:effectExtent l="0" t="0" r="0" b="0"/>
                      <wp:wrapNone/>
                      <wp:docPr id="108" name="Frame108"/>
                      <a:graphic xmlns:a="http://schemas.openxmlformats.org/drawingml/2006/main">
                        <a:graphicData uri="http://schemas.microsoft.com/office/word/2010/wordprocessingShape">
                          <wps:wsp>
                            <wps:cNvSpPr txBox="1"/>
                            <wps:spPr>
                              <a:xfrm>
                                <a:off x="0" y="0"/>
                                <a:ext cx="128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99745" cy="175260"/>
                      <wp:effectExtent l="0" t="0" r="0" b="0"/>
                      <wp:wrapNone/>
                      <wp:docPr id="109" name="Frame109"/>
                      <a:graphic xmlns:a="http://schemas.openxmlformats.org/drawingml/2006/main">
                        <a:graphicData uri="http://schemas.microsoft.com/office/word/2010/wordprocessingShape">
                          <wps:wsp>
                            <wps:cNvSpPr txBox="1"/>
                            <wps:spPr>
                              <a:xfrm>
                                <a:off x="0" y="0"/>
                                <a:ext cx="4997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97790" cy="175260"/>
                      <wp:effectExtent l="0" t="0" r="0" b="0"/>
                      <wp:wrapNone/>
                      <wp:docPr id="110" name="Frame1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3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3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percentage by recognition method</w:t>
            </w:r>
          </w:p>
        </w:tc>
        <w:tc>
          <w:tcPr>
            <w:tcW w:w="109"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Over time</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w:t>
            </w:r>
          </w:p>
        </w:tc>
        <w:tc>
          <w:tcPr>
            <w:tcW w:w="109" w:type="dxa"/>
            <w:tcBorders/>
            <w:shd w:fill="CCEEFF" w:val="clear"/>
            <w:vAlign w:val="center"/>
          </w:tcPr>
          <w:p>
            <w:pPr>
              <w:pStyle w:val="TableContents"/>
              <w:bidi w:val="0"/>
              <w:spacing w:before="0" w:after="0"/>
              <w:ind w:left="0" w:right="0" w:hanging="0"/>
              <w:jc w:val="center"/>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shd w:fill="CCEEFF" w:val="clear"/>
            <w:vAlign w:val="center"/>
          </w:tcPr>
          <w:p>
            <w:pPr>
              <w:pStyle w:val="TableContents"/>
              <w:bidi w:val="0"/>
              <w:spacing w:before="0" w:after="0"/>
              <w:ind w:left="0" w:right="0" w:hanging="0"/>
              <w:jc w:val="left"/>
              <w:rPr/>
            </w:pPr>
            <w:r>
              <w:rPr/>
              <w:t>​</w:t>
            </w:r>
          </w:p>
        </w:tc>
        <w:tc>
          <w:tcPr>
            <w:tcW w:w="7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Point in time</w:t>
            </w:r>
          </w:p>
        </w:tc>
        <w:tc>
          <w:tcPr>
            <w:tcW w:w="109"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109" w:type="dxa"/>
            <w:tcBorders/>
            <w:vAlign w:val="center"/>
          </w:tcPr>
          <w:p>
            <w:pPr>
              <w:pStyle w:val="TableContents"/>
              <w:bidi w:val="0"/>
              <w:spacing w:before="0" w:after="0"/>
              <w:ind w:left="0" w:right="0" w:hanging="0"/>
              <w:jc w:val="center"/>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w:t>
            </w:r>
          </w:p>
        </w:tc>
        <w:tc>
          <w:tcPr>
            <w:tcW w:w="326" w:type="dxa"/>
            <w:tcBorders/>
            <w:vAlign w:val="center"/>
          </w:tcPr>
          <w:p>
            <w:pPr>
              <w:pStyle w:val="TableContents"/>
              <w:bidi w:val="0"/>
              <w:spacing w:before="0" w:after="0"/>
              <w:ind w:left="0" w:right="0" w:hanging="0"/>
              <w:jc w:val="left"/>
              <w:rPr/>
            </w:pPr>
            <w:r>
              <w:rPr/>
              <w:t>​</w:t>
            </w:r>
          </w:p>
        </w:tc>
        <w:tc>
          <w:tcPr>
            <w:tcW w:w="2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154" w:type="dxa"/>
            <w:tcBorders/>
            <w:vAlign w:val="center"/>
          </w:tcPr>
          <w:p>
            <w:pPr>
              <w:pStyle w:val="TableContents"/>
              <w:bidi w:val="0"/>
              <w:spacing w:before="0" w:after="0"/>
              <w:ind w:left="0" w:right="0" w:hanging="0"/>
              <w:jc w:val="left"/>
              <w:rPr/>
            </w:pPr>
            <w:r>
              <w:rPr/>
              <w:t>​</w:t>
            </w:r>
          </w:p>
        </w:tc>
      </w:tr>
      <w:tr>
        <w:trPr/>
        <w:tc>
          <w:tcPr>
            <w:tcW w:w="37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09"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26" w:type="dxa"/>
            <w:tcBorders/>
            <w:shd w:fill="CCEEFF" w:val="clear"/>
            <w:vAlign w:val="center"/>
          </w:tcPr>
          <w:p>
            <w:pPr>
              <w:pStyle w:val="TableContents"/>
              <w:bidi w:val="0"/>
              <w:spacing w:before="0" w:after="0"/>
              <w:ind w:left="0" w:right="0" w:hanging="0"/>
              <w:jc w:val="left"/>
              <w:rPr/>
            </w:pPr>
            <w:r>
              <w:rPr/>
              <w:t>​</w:t>
            </w:r>
          </w:p>
        </w:tc>
        <w:tc>
          <w:tcPr>
            <w:tcW w:w="2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January 27, 2024, the Company had approximately $462,787,000 of remaining performance obligations under fully funded contracts with its customers, which the Company also refers to as funded backlog. The Company currently expects to recognize approximately 35% of the remaining performance obligations as revenue in fiscal </w:t>
      </w:r>
      <w:r>
        <w:rPr>
          <w:rFonts w:ascii="Times New Roman;Times;serif" w:hAnsi="Times New Roman;Times;serif"/>
          <w:b w:val="false"/>
          <w:i w:val="false"/>
          <w:caps w:val="false"/>
          <w:smallCaps w:val="false"/>
          <w:sz w:val="20"/>
        </w:rPr>
        <w:t>2024</w:t>
      </w:r>
      <w:r>
        <w:rPr>
          <w:rFonts w:ascii="Times New Roman;Times;serif" w:hAnsi="Times New Roman;Times;serif"/>
          <w:sz w:val="20"/>
        </w:rPr>
        <w:t xml:space="preserve"> and the remaining 65% in fiscal </w:t>
      </w:r>
      <w:r>
        <w:rPr>
          <w:rFonts w:ascii="Times New Roman;Times;serif" w:hAnsi="Times New Roman;Times;serif"/>
          <w:b w:val="false"/>
          <w:i w:val="false"/>
          <w:caps w:val="false"/>
          <w:smallCaps w:val="false"/>
          <w:sz w:val="20"/>
        </w:rPr>
        <w:t>2025</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collects sales, value added, and other taxes concurrent with revenue producing activities, which are excluded from revenue when they are both imposed on a specific transaction and collected from a customer.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Contract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estimates are based on various assumptions to project the outcome of future events that may span several years. These assumptions include labor productivity and availability, the complexity of the work to be performed, the cost and availability of materials, the performance of subcontractors, and the availability and timing of funding from the customer.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nature of the Company’s contracts gives rise to several types of variable consideration, including undefinitized contract actions which are within the scope of ASC 606 with final contract values to be negotiated,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235" w:name="Tc__ljf3R0ydECiNMaYgZk2JA_7_11"/>
      <w:bookmarkStart w:id="1236" w:name="Tc_Z-FPzXK6X0C5Bf7fkPaYeg_7_8"/>
      <w:bookmarkStart w:id="1237" w:name="Tc_3GQ_Nlys10WnfElYtz3TYQ_7_5"/>
      <w:bookmarkStart w:id="1238" w:name="Tc_Lkrt9cMSXEeu49Buf4n0Dw_7_2"/>
      <w:bookmarkStart w:id="1239" w:name="Tc_V9YZn93CD0uodFYoAao1xA_7_0"/>
      <w:bookmarkStart w:id="1240" w:name="Tc_zDcZ-c3QLkeB303zu7iMnA_6_0"/>
      <w:bookmarkStart w:id="1241" w:name="Tc_E50mKTXLTE6Tag9jro9y8A_5_0"/>
      <w:bookmarkStart w:id="1242" w:name="Tc_OCAKcFhdxU2ZiKn7KEJOkA_4_11"/>
      <w:bookmarkStart w:id="1243" w:name="Tc_Hh_69PDL_ESN5-lkbpRTzQ_4_8"/>
      <w:bookmarkStart w:id="1244" w:name="Tc_ULRuog3R0UWGGYmqELlfIA_4_5"/>
      <w:bookmarkStart w:id="1245" w:name="Tc_mWoybVSlcUun3WaVWYgkWw_4_2"/>
      <w:bookmarkStart w:id="1246" w:name="Tc_HzBBgli5i0q0MO95KqysPQ_4_0"/>
      <w:bookmarkStart w:id="1247" w:name="Tc_uLO60znHJEKmFhCfmixMuA_3_11"/>
      <w:bookmarkStart w:id="1248" w:name="Tc_v7h2TdCJ-kKTNCK7HdjMUg_3_8"/>
      <w:bookmarkStart w:id="1249" w:name="Tc_vQ_WnOF6VEKpgVSTCLuTIw_3_5"/>
      <w:bookmarkStart w:id="1250" w:name="Tc_raxvNEqx_UqScX7MzJZEig_3_2"/>
      <w:bookmarkStart w:id="1251" w:name="Tc_9oa8_bd_Q0O8QNj4lGJ_3A_3_0"/>
      <w:bookmarkStart w:id="1252" w:name="Tc_uf29elNB7EaeSE4iQDRsuQ_2_11"/>
      <w:bookmarkStart w:id="1253" w:name="Tc_UQALfwhvtE2BvHHAflNzuA_2_8"/>
      <w:bookmarkStart w:id="1254" w:name="Tc_iYl3CiXZTUOESXDJMLOmyQ_2_5"/>
      <w:bookmarkStart w:id="1255" w:name="Tc_gTrQXYd53kWU32GHSfTfVw_2_2"/>
      <w:bookmarkStart w:id="1256" w:name="Tc_1e8qolw5Rky7k5-NzH6sWw_1_8"/>
      <w:bookmarkStart w:id="1257" w:name="Tc_t3OcUmubskKJ5wPqdQuFKA_1_2"/>
      <w:bookmarkStart w:id="1258" w:name="_83d0c477_3feb_4a6a_b647_787e6d2ceac6"/>
      <w:bookmarkStart w:id="1259" w:name="_124a0f6b_b7e8_4f76_9cc2_dee5c3fd4db9_3"/>
      <w:bookmarkStart w:id="1260" w:name="_124a0f6b_b7e8_4f76_9cc2_dee5c3fd4db9_2"/>
      <w:bookmarkStart w:id="1261" w:name="_124a0f6b_b7e8_4f76_9cc2_dee5c3fd4db9"/>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r>
        <w:rPr>
          <w:rFonts w:ascii="Times New Roman;Times;serif" w:hAnsi="Times New Roman;Times;serif"/>
          <w:sz w:val="20"/>
        </w:rPr>
        <w:t xml:space="preserve">performance and the Company’s best judgment at the time. Based on experience in estimating these amounts, they are included in the transaction price of the Company’s contracts and the associated remaining performance obligations.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Changes in cumulative revenue estimates due to changes in the estimated transaction price are recorded using a cumulative catch-up adjustment in the period identified for contracts with performance obligations at a point in time, including undefinitized contract actions. In the period undefinitized contract actions become definitized, a cumulative catch-up adjustment is recorded to reflect the final consideration, which could have a material positive or negative impact.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at any time the estimate of contract profitability indicates an anticipated loss on the contract, the Company recognizes the total loss in the quarter it is identified, and it is recorded in other current liabilities. The balance of forward loss reserves as of January 27, 2024 and April 30, 2023 was $1,052,000 and $1,878,000, respectively. The Company recorded the forward loss reserves as the total estimated costs to complete the contracts are in excess of the total remaining consideration of the contracts. No adjustment on the forward loss reserve for any one contract was material to the Company’s unaudited condensed consolidated financial statements for the three and nine months ended January 27, 2024, respectively. During the three months ended January 28, 2023, the Company recognized a decrease in the forward loss reserves on two MUAS ISR contracts of $2,424,000 due to decreases in the estimated costs to complete the contracts and an increase in the forward loss reserve of an MUAS products contract of $1,593,000 due to increases in the estimated costs to complete the contract. No adjustment on the forward loss reserve for any one contract was material to the Company’s unaudited condensed consolidated financial statements for the nine months ended January 28,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$4,398,000 and $5,087,000 for the three and nine month periods ended January 27, 2024, respectively. The aggregate impact of adjustments in contract estimates on revenue related to performance obligations satisfied or partially satisfied in previous periods was not significant for the three and nine month periods ended January 28, 2023. During the three months ended January 27, 2024, the Company revised its estimates to reflect a favorable definitization of an LMS contract. The aggregate impact of these adjustments in contract estimates on revenue related to performance obligations satisfied or partially satisfied in previous periods was an increase to revenue of approximately $3,574,000. During the nine months ended January 27, 2024, the Company revised its estimates of the total expected costs to complete a different LMS contract. The aggregate impact of these adjustments in contract estimates on revenue related to performance obligations satisfied or partially satisfied in previous periods was an increase to revenue of approximately $1,439,000. No adjustment on any one contract was material to the Company’s unaudited condensed consolidated financial statements for the three month period ended January 28, 2023. During the nine months ended January 28, 2023, the Company revised its estimates of the total expected costs to complete two LMS variant contracts. The aggregate impact of these adjustments in contract estimates on revenue related to performance obligations satisfied or partially satisfied in previous periods was a decrease to revenue of approximately $2,448,000.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Revenue by Category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present the Company’s revenue disaggregated by segment, contract type, customer category and geographic location (in thousands):</w:t>
      </w:r>
    </w:p>
    <w:p>
      <w:pPr>
        <w:pStyle w:val="TextBody"/>
        <w:bidi w:val="0"/>
        <w:spacing w:before="0" w:after="0"/>
        <w:ind w:left="0" w:right="0" w:hanging="0"/>
        <w:jc w:val="left"/>
        <w:rPr/>
      </w:pPr>
      <w:r>
        <w:rPr/>
        <w:t>​</w:t>
      </w:r>
    </w:p>
    <w:tbl>
      <w:tblPr>
        <w:tblW w:w="7257" w:type="dxa"/>
        <w:jc w:val="left"/>
        <w:tblInd w:w="0" w:type="dxa"/>
        <w:tblLayout w:type="fixed"/>
        <w:tblCellMar>
          <w:top w:w="0" w:type="dxa"/>
          <w:left w:w="0" w:type="dxa"/>
          <w:bottom w:w="0" w:type="dxa"/>
          <w:right w:w="0" w:type="dxa"/>
        </w:tblCellMar>
      </w:tblPr>
      <w:tblGrid>
        <w:gridCol w:w="1831"/>
        <w:gridCol w:w="326"/>
        <w:gridCol w:w="211"/>
        <w:gridCol w:w="781"/>
        <w:gridCol w:w="326"/>
        <w:gridCol w:w="211"/>
        <w:gridCol w:w="781"/>
        <w:gridCol w:w="326"/>
        <w:gridCol w:w="211"/>
        <w:gridCol w:w="781"/>
        <w:gridCol w:w="326"/>
        <w:gridCol w:w="211"/>
        <w:gridCol w:w="781"/>
        <w:gridCol w:w="154"/>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162685" cy="175260"/>
                      <wp:effectExtent l="0" t="0" r="0" b="0"/>
                      <wp:wrapNone/>
                      <wp:docPr id="111" name="Frame111"/>
                      <a:graphic xmlns:a="http://schemas.openxmlformats.org/drawingml/2006/main">
                        <a:graphicData uri="http://schemas.microsoft.com/office/word/2010/wordprocessingShape">
                          <wps:wsp>
                            <wps:cNvSpPr txBox="1"/>
                            <wps:spPr>
                              <a:xfrm>
                                <a:off x="0" y="0"/>
                                <a:ext cx="1162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07010" cy="175260"/>
                      <wp:effectExtent l="0" t="0" r="0" b="0"/>
                      <wp:wrapNone/>
                      <wp:docPr id="112" name="Frame1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495935" cy="175260"/>
                      <wp:effectExtent l="0" t="0" r="0" b="0"/>
                      <wp:wrapNone/>
                      <wp:docPr id="114" name="Frame11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07010" cy="175260"/>
                      <wp:effectExtent l="0" t="0" r="0" b="0"/>
                      <wp:wrapNone/>
                      <wp:docPr id="118" name="Frame1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9" name="Frame1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95935" cy="175260"/>
                      <wp:effectExtent l="0" t="0" r="0" b="0"/>
                      <wp:wrapNone/>
                      <wp:docPr id="120" name="Frame12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07010" cy="175260"/>
                      <wp:effectExtent l="0" t="0" r="0" b="0"/>
                      <wp:wrapNone/>
                      <wp:docPr id="121"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23" name="Frame12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97790" cy="175260"/>
                      <wp:effectExtent l="0" t="0" r="0" b="0"/>
                      <wp:wrapNone/>
                      <wp:docPr id="124" name="Frame12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 </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54" w:type="dxa"/>
            <w:tcBorders/>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segment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UMS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344,270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221,738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LMS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78,127</w:t>
            </w:r>
          </w:p>
        </w:tc>
        <w:tc>
          <w:tcPr>
            <w:tcW w:w="154" w:type="dxa"/>
            <w:tcBorders/>
            <w:vAlign w:val="center"/>
          </w:tcPr>
          <w:p>
            <w:pPr>
              <w:pStyle w:val="TableContents"/>
              <w:bidi w:val="0"/>
              <w:spacing w:before="0" w:after="0"/>
              <w:ind w:left="0" w:right="0" w:hanging="0"/>
              <w:jc w:val="left"/>
              <w:rPr/>
            </w:pPr>
            <w:r>
              <w:rPr/>
              <w:t>​</w:t>
            </w:r>
          </w:p>
        </w:tc>
      </w:tr>
      <w:tr>
        <w:trPr/>
        <w:tc>
          <w:tcPr>
            <w:tcW w:w="18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MW</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56,647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8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354,495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262" w:name="Tc_Os6FShHH8E6OIy0u-N6jfQ_13_11"/>
      <w:bookmarkStart w:id="1263" w:name="Tc_wQ_hR_U290OudFw7HZI48w_13_8"/>
      <w:bookmarkStart w:id="1264" w:name="Tc_GrLspRY6aUe5BLifeadzvA_13_5"/>
      <w:bookmarkStart w:id="1265" w:name="Tc_Xzl96drmxEuhLCx1FdQ-MQ_13_2"/>
      <w:bookmarkStart w:id="1266" w:name="Tc_AEovOSWfb025Z6nTPl8n2w_13_0"/>
      <w:bookmarkStart w:id="1267" w:name="Tc_wWfTfultXE-MxIXvoKtgPA_12_0"/>
      <w:bookmarkStart w:id="1268" w:name="Tc_EPt5WumZKEW_p_LtZn9c3Q_11_11"/>
      <w:bookmarkStart w:id="1269" w:name="Tc_6l0nDgDfU0CjcFJOGC4hPw_11_8"/>
      <w:bookmarkStart w:id="1270" w:name="Tc_rMVkNro9CkO4YNOtxzttRw_11_5"/>
      <w:bookmarkStart w:id="1271" w:name="Tc_DnuT943DPUWlR2YcQaHiLQ_11_2"/>
      <w:bookmarkStart w:id="1272" w:name="Tc_1jHmKScEFUGqKfdTRCMGWQ_11_0"/>
      <w:bookmarkStart w:id="1273" w:name="Tc_1ggKfG_aDEW9NGJ8WfwAPQ_10_11"/>
      <w:bookmarkStart w:id="1274" w:name="Tc_C-7RxpZOV0aQs0Sdeg4BjQ_10_8"/>
      <w:bookmarkStart w:id="1275" w:name="Tc_Qclow_VTQ0uLn20gkIVWrA_10_5"/>
      <w:bookmarkStart w:id="1276" w:name="Tc_r4mfyPYjlE2d-yE5Gh1MVg_10_2"/>
      <w:bookmarkStart w:id="1277" w:name="Tc_pDRHlZbSC0qYPVCbAy62gA_10_0"/>
      <w:bookmarkStart w:id="1278" w:name="Tc_cABVcZvm_kGFpyvaUw4BCg_9_11"/>
      <w:bookmarkStart w:id="1279" w:name="Tc_BLzfBoWYvkGRtMesjWWXVw_9_8"/>
      <w:bookmarkStart w:id="1280" w:name="Tc_JYxHghvO8US-0lqwLSUQQw_9_5"/>
      <w:bookmarkStart w:id="1281" w:name="Tc_k-J1Ft2-G06xmhwIqd_ffA_9_2"/>
      <w:bookmarkStart w:id="1282" w:name="Tc_K819uDNWQUCUEKFJQApkUw_8_8"/>
      <w:bookmarkStart w:id="1283" w:name="Tc_GI4YVPoi5U-Vxeb7t3tMHQ_8_2"/>
      <w:bookmarkStart w:id="1284" w:name="Tc_myGGFYPlo02UJwOIhsie2A_6_11"/>
      <w:bookmarkStart w:id="1285" w:name="Tc_rPJLinMiL0mj5PsA9gbCGw_6_8"/>
      <w:bookmarkStart w:id="1286" w:name="Tc_cYL0gZZDv0mz6fJ4-qphXQ_6_5"/>
      <w:bookmarkStart w:id="1287" w:name="Tc_jcmUP8Z5lUG7IqJNvKLvKA_6_2"/>
      <w:bookmarkStart w:id="1288" w:name="Tc_YlQSyC4VI0aJEoo2F9WFYw_6_0"/>
      <w:bookmarkStart w:id="1289" w:name="Tc_2RaPIc-Z-Uu82UY3YCFihg_5_0"/>
      <w:bookmarkStart w:id="1290" w:name="Tc_KZjzzBzfCECzqcUgasvMAg_4_11"/>
      <w:bookmarkStart w:id="1291" w:name="Tc_zsUESaN8Ekao8StEDO4hqQ_4_8"/>
      <w:bookmarkStart w:id="1292" w:name="Tc_QvIJB-XJZkCAfr31eI-FhQ_4_5"/>
      <w:bookmarkStart w:id="1293" w:name="Tc_PnPoH5fLqUyHt7cp6Ynp8A_4_2"/>
      <w:bookmarkStart w:id="1294" w:name="Tc_yUbJL59LI0STgkgZ6MdMsA_4_0"/>
      <w:bookmarkStart w:id="1295" w:name="Tc_kG43drsu50mvVNZ8CaLrOw_3_11"/>
      <w:bookmarkStart w:id="1296" w:name="Tc_m7yESUAiyEOgqou3vi4qXg_3_8"/>
      <w:bookmarkStart w:id="1297" w:name="Tc_Aou-DFP9S0GVhc13pClkNQ_3_5"/>
      <w:bookmarkStart w:id="1298" w:name="Tc_lDflyjBLh0e7pBbZ_ZU53w_3_2"/>
      <w:bookmarkStart w:id="1299" w:name="Tc_4hAi_3boSkG40MILCzt--Q_3_0"/>
      <w:bookmarkStart w:id="1300" w:name="Tc_MPFozpfj9ECVTcFArdyq1w_2_11"/>
      <w:bookmarkStart w:id="1301" w:name="Tc_uij1Gx24pUmxKY2mwDgBag_2_8"/>
      <w:bookmarkStart w:id="1302" w:name="Tc_8VSQKvvfJ0aGXCowhwatmw_2_5"/>
      <w:bookmarkStart w:id="1303" w:name="Tc_yt-BwCGwe0ybD3KtnkA6Ag_2_2"/>
      <w:bookmarkStart w:id="1304" w:name="Tc_7RCL4_FNJUSp8khAYCyQrQ_1_8"/>
      <w:bookmarkStart w:id="1305" w:name="Tc_h_tD3WUCkEyNOGtRotm1ow_1_2"/>
      <w:bookmarkStart w:id="1306" w:name="_72cbae71_cbfe_4179_a8d3_141d83b79202"/>
      <w:bookmarkStart w:id="1307" w:name="Tc_EXaye7Ub1kWQY0RegTlnkg_7_11"/>
      <w:bookmarkStart w:id="1308" w:name="Tc_I1xC5gsc1kWz_evETz_FsQ_7_8"/>
      <w:bookmarkStart w:id="1309" w:name="Tc_Uif11e3n9U2hJTqDXabHBg_7_5"/>
      <w:bookmarkStart w:id="1310" w:name="Tc_UJ4f4kBwH0eSe4a0faHmOg_7_2"/>
      <w:bookmarkStart w:id="1311" w:name="Tc_undNpmEzK0K5gHkK_j5mDg_7_0"/>
      <w:bookmarkStart w:id="1312" w:name="Tc_dduR9iZwW0eQ21AWqO50lg_6_0"/>
      <w:bookmarkStart w:id="1313" w:name="Tc_HPkmbajOBESPHL-CN7x1qg_5_0"/>
      <w:bookmarkStart w:id="1314" w:name="Tc_qCMsctHxz0WqIW9BGzHyxg_4_11"/>
      <w:bookmarkStart w:id="1315" w:name="Tc_iYZZ5E57eUKBMHVQC3Axzg_4_8"/>
      <w:bookmarkStart w:id="1316" w:name="Tc_nkbm9milnEe8_WlUMO77Kw_4_5"/>
      <w:bookmarkStart w:id="1317" w:name="Tc_UcMTc_jV6kmirzhGu14gGw_4_2"/>
      <w:bookmarkStart w:id="1318" w:name="Tc_jPujtCY8sUy9tQUTe6XvBA_4_0"/>
      <w:bookmarkStart w:id="1319" w:name="Tc_kmp9RF93RkuiDjtGGb9Icw_3_11"/>
      <w:bookmarkStart w:id="1320" w:name="Tc_ZljTCHFrxEKFUzJvBTHQKA_3_8"/>
      <w:bookmarkStart w:id="1321" w:name="Tc_wDieiolIQUOCUzLSSPtSMA_3_5"/>
      <w:bookmarkStart w:id="1322" w:name="Tc_0DizsIqNCEWZJCbKoKP8UA_3_2"/>
      <w:bookmarkStart w:id="1323" w:name="Tc_nEvl_MaxG0Cg9xSIZu16fQ_3_0"/>
      <w:bookmarkStart w:id="1324" w:name="Tc_liujBRN9VUSjbe_l9Js6Dw_2_11"/>
      <w:bookmarkStart w:id="1325" w:name="Tc_s75ed4n1CkecFQ34tuK4mA_2_8"/>
      <w:bookmarkStart w:id="1326" w:name="Tc_oK1NxvhTJEGOLKE9Gq0p-g_2_5"/>
      <w:bookmarkStart w:id="1327" w:name="Tc_kSIkiwG630O3r2BKc76Qbw_2_2"/>
      <w:bookmarkStart w:id="1328" w:name="Tc_im-bAVPu2kGOtoEem0MQ3A_1_8"/>
      <w:bookmarkStart w:id="1329" w:name="Tc_Ti-zAJNYfUSpC-GgXilvGw_1_2"/>
      <w:bookmarkStart w:id="1330" w:name="_e660b9f5_c173_4f56_9fa9_c9353471d59a"/>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r>
        <w:rPr/>
        <w:t>​</w:t>
      </w:r>
    </w:p>
    <w:tbl>
      <w:tblPr>
        <w:tblW w:w="7677" w:type="dxa"/>
        <w:jc w:val="left"/>
        <w:tblInd w:w="0" w:type="dxa"/>
        <w:tblLayout w:type="fixed"/>
        <w:tblCellMar>
          <w:top w:w="0" w:type="dxa"/>
          <w:left w:w="0" w:type="dxa"/>
          <w:bottom w:w="0" w:type="dxa"/>
          <w:right w:w="0" w:type="dxa"/>
        </w:tblCellMar>
      </w:tblPr>
      <w:tblGrid>
        <w:gridCol w:w="2251"/>
        <w:gridCol w:w="326"/>
        <w:gridCol w:w="211"/>
        <w:gridCol w:w="781"/>
        <w:gridCol w:w="326"/>
        <w:gridCol w:w="211"/>
        <w:gridCol w:w="781"/>
        <w:gridCol w:w="326"/>
        <w:gridCol w:w="211"/>
        <w:gridCol w:w="781"/>
        <w:gridCol w:w="326"/>
        <w:gridCol w:w="211"/>
        <w:gridCol w:w="781"/>
        <w:gridCol w:w="154"/>
      </w:tblGrid>
      <w:tr>
        <w:trPr/>
        <w:tc>
          <w:tcPr>
            <w:tcW w:w="2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429385" cy="175260"/>
                      <wp:effectExtent l="0" t="0" r="0" b="0"/>
                      <wp:wrapNone/>
                      <wp:docPr id="125" name="Frame125"/>
                      <a:graphic xmlns:a="http://schemas.openxmlformats.org/drawingml/2006/main">
                        <a:graphicData uri="http://schemas.microsoft.com/office/word/2010/wordprocessingShape">
                          <wps:wsp>
                            <wps:cNvSpPr txBox="1"/>
                            <wps:spPr>
                              <a:xfrm>
                                <a:off x="0" y="0"/>
                                <a:ext cx="142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07010" cy="175260"/>
                      <wp:effectExtent l="0" t="0" r="0" b="0"/>
                      <wp:wrapNone/>
                      <wp:docPr id="126" name="Frame1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7" name="Frame1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95935" cy="175260"/>
                      <wp:effectExtent l="0" t="0" r="0" b="0"/>
                      <wp:wrapNone/>
                      <wp:docPr id="128" name="Frame1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9" name="Frame1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3985" cy="175260"/>
                      <wp:effectExtent l="0" t="0" r="0" b="0"/>
                      <wp:wrapNone/>
                      <wp:docPr id="130" name="Frame1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495935" cy="175260"/>
                      <wp:effectExtent l="0" t="0" r="0" b="0"/>
                      <wp:wrapNone/>
                      <wp:docPr id="131" name="Frame1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07010" cy="175260"/>
                      <wp:effectExtent l="0" t="0" r="0" b="0"/>
                      <wp:wrapNone/>
                      <wp:docPr id="132"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95935" cy="175260"/>
                      <wp:effectExtent l="0" t="0" r="0" b="0"/>
                      <wp:wrapNone/>
                      <wp:docPr id="134" name="Frame13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133985" cy="175260"/>
                      <wp:effectExtent l="0" t="0" r="0" b="0"/>
                      <wp:wrapNone/>
                      <wp:docPr id="136" name="Frame1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95935" cy="175260"/>
                      <wp:effectExtent l="0" t="0" r="0" b="0"/>
                      <wp:wrapNone/>
                      <wp:docPr id="137" name="Frame13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97790" cy="175260"/>
                      <wp:effectExtent l="0" t="0" r="0" b="0"/>
                      <wp:wrapNone/>
                      <wp:docPr id="138" name="Frame13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54" w:type="dxa"/>
            <w:tcBorders/>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contract type</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FFP</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167,256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109,119</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457,077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275,184</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CPFF</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17,925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24,115</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59,445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75,583</w:t>
            </w:r>
          </w:p>
        </w:tc>
        <w:tc>
          <w:tcPr>
            <w:tcW w:w="154" w:type="dxa"/>
            <w:tcBorders/>
            <w:vAlign w:val="center"/>
          </w:tcPr>
          <w:p>
            <w:pPr>
              <w:pStyle w:val="TableContents"/>
              <w:bidi w:val="0"/>
              <w:spacing w:before="0" w:after="0"/>
              <w:ind w:left="0" w:right="0" w:hanging="0"/>
              <w:jc w:val="center"/>
              <w:rPr/>
            </w:pPr>
            <w:r>
              <w:rPr/>
              <w:t>​</w:t>
            </w:r>
          </w:p>
        </w:tc>
      </w:tr>
      <w:tr>
        <w:trPr/>
        <w:tc>
          <w:tcPr>
            <w:tcW w:w="2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T&amp;M</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3,728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134,395</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519,741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354,495</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pStyle w:val="TextBody"/>
        <w:bidi w:val="0"/>
        <w:spacing w:before="0" w:after="0"/>
        <w:ind w:left="0" w:right="0" w:hanging="0"/>
        <w:jc w:val="left"/>
        <w:rPr/>
      </w:pPr>
      <w:r>
        <w:rPr/>
        <w:t>​</w:t>
      </w:r>
    </w:p>
    <w:tbl>
      <w:tblPr>
        <w:tblW w:w="8262" w:type="dxa"/>
        <w:jc w:val="left"/>
        <w:tblInd w:w="0" w:type="dxa"/>
        <w:tblLayout w:type="fixed"/>
        <w:tblCellMar>
          <w:top w:w="0" w:type="dxa"/>
          <w:left w:w="0" w:type="dxa"/>
          <w:bottom w:w="0" w:type="dxa"/>
          <w:right w:w="0" w:type="dxa"/>
        </w:tblCellMar>
      </w:tblPr>
      <w:tblGrid>
        <w:gridCol w:w="2836"/>
        <w:gridCol w:w="326"/>
        <w:gridCol w:w="211"/>
        <w:gridCol w:w="781"/>
        <w:gridCol w:w="326"/>
        <w:gridCol w:w="211"/>
        <w:gridCol w:w="781"/>
        <w:gridCol w:w="326"/>
        <w:gridCol w:w="211"/>
        <w:gridCol w:w="781"/>
        <w:gridCol w:w="326"/>
        <w:gridCol w:w="211"/>
        <w:gridCol w:w="781"/>
        <w:gridCol w:w="154"/>
      </w:tblGrid>
      <w:tr>
        <w:trPr/>
        <w:tc>
          <w:tcPr>
            <w:tcW w:w="2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800860" cy="175260"/>
                      <wp:effectExtent l="0" t="0" r="0" b="0"/>
                      <wp:wrapNone/>
                      <wp:docPr id="139" name="Frame139"/>
                      <a:graphic xmlns:a="http://schemas.openxmlformats.org/drawingml/2006/main">
                        <a:graphicData uri="http://schemas.microsoft.com/office/word/2010/wordprocessingShape">
                          <wps:wsp>
                            <wps:cNvSpPr txBox="1"/>
                            <wps:spPr>
                              <a:xfrm>
                                <a:off x="0" y="0"/>
                                <a:ext cx="180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07010" cy="175260"/>
                      <wp:effectExtent l="0" t="0" r="0" b="0"/>
                      <wp:wrapNone/>
                      <wp:docPr id="140" name="Frame1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41" name="Frame1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5935" cy="175260"/>
                      <wp:effectExtent l="0" t="0" r="0" b="0"/>
                      <wp:wrapNone/>
                      <wp:docPr id="142" name="Frame14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33985" cy="175260"/>
                      <wp:effectExtent l="0" t="0" r="0" b="0"/>
                      <wp:wrapNone/>
                      <wp:docPr id="144" name="Frame1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495935" cy="175260"/>
                      <wp:effectExtent l="0" t="0" r="0" b="0"/>
                      <wp:wrapNone/>
                      <wp:docPr id="145" name="Frame14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07010" cy="175260"/>
                      <wp:effectExtent l="0" t="0" r="0" b="0"/>
                      <wp:wrapNone/>
                      <wp:docPr id="146"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3985" cy="175260"/>
                      <wp:effectExtent l="0" t="0" r="0" b="0"/>
                      <wp:wrapNone/>
                      <wp:docPr id="147" name="Frame1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495935" cy="175260"/>
                      <wp:effectExtent l="0" t="0" r="0" b="0"/>
                      <wp:wrapNone/>
                      <wp:docPr id="148" name="Frame14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207010" cy="175260"/>
                      <wp:effectExtent l="0" t="0" r="0" b="0"/>
                      <wp:wrapNone/>
                      <wp:docPr id="149" name="Frame1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133985" cy="175260"/>
                      <wp:effectExtent l="0" t="0" r="0" b="0"/>
                      <wp:wrapNone/>
                      <wp:docPr id="150" name="Frame1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495935" cy="175260"/>
                      <wp:effectExtent l="0" t="0" r="0" b="0"/>
                      <wp:wrapNone/>
                      <wp:docPr id="151" name="Frame1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97790" cy="175260"/>
                      <wp:effectExtent l="0" t="0" r="0" b="0"/>
                      <wp:wrapNone/>
                      <wp:docPr id="152" name="Frame15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54" w:type="dxa"/>
            <w:tcBorders/>
            <w:vAlign w:val="center"/>
          </w:tcPr>
          <w:p>
            <w:pPr>
              <w:pStyle w:val="TableContents"/>
              <w:bidi w:val="0"/>
              <w:spacing w:before="0" w:after="0"/>
              <w:ind w:left="0" w:right="0" w:hanging="0"/>
              <w:jc w:val="left"/>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customer category</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government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83,398</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385,069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226,191</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Non-U.S. government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52,817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50,997</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134,672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128,304</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134,395</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354,495</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326" w:type="dxa"/>
            <w:tcBorders/>
            <w:shd w:fill="CCEEFF" w:val="clear"/>
            <w:vAlign w:val="center"/>
          </w:tcPr>
          <w:p>
            <w:pPr>
              <w:pStyle w:val="TableContents"/>
              <w:bidi w:val="0"/>
              <w:spacing w:before="0" w:after="0"/>
              <w:ind w:left="0" w:right="0" w:hanging="0"/>
              <w:jc w:val="center"/>
              <w:rPr/>
            </w:pPr>
            <w:r>
              <w:rPr/>
              <w:t>​</w:t>
            </w:r>
          </w:p>
        </w:tc>
        <w:tc>
          <w:tcPr>
            <w:tcW w:w="99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shd w:fill="CCEEFF" w:val="clear"/>
            <w:vAlign w:val="center"/>
          </w:tcPr>
          <w:p>
            <w:pPr>
              <w:pStyle w:val="TableContents"/>
              <w:bidi w:val="0"/>
              <w:spacing w:before="0" w:after="0"/>
              <w:ind w:left="0" w:right="0" w:hanging="0"/>
              <w:jc w:val="left"/>
              <w:rPr/>
            </w:pPr>
            <w:r>
              <w:rPr/>
              <w:t>​</w:t>
            </w:r>
          </w:p>
        </w:tc>
        <w:tc>
          <w:tcPr>
            <w:tcW w:w="992" w:type="dxa"/>
            <w:gridSpan w:val="2"/>
            <w:tcBorders/>
            <w:shd w:fill="CCEEFF" w:val="cle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by geographic location</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55,955</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174,135</w:t>
            </w:r>
          </w:p>
        </w:tc>
        <w:tc>
          <w:tcPr>
            <w:tcW w:w="154" w:type="dxa"/>
            <w:tcBorders/>
            <w:shd w:fill="CCEEFF" w:val="clear"/>
            <w:vAlign w:val="center"/>
          </w:tcPr>
          <w:p>
            <w:pPr>
              <w:pStyle w:val="TableContents"/>
              <w:bidi w:val="0"/>
              <w:spacing w:before="0" w:after="0"/>
              <w:ind w:left="0" w:right="0" w:hanging="0"/>
              <w:jc w:val="center"/>
              <w:rPr/>
            </w:pPr>
            <w:r>
              <w:rPr/>
              <w:t>​</w:t>
            </w:r>
          </w:p>
        </w:tc>
      </w:tr>
      <w:tr>
        <w:trPr/>
        <w:tc>
          <w:tcPr>
            <w:tcW w:w="28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International</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123,713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78,440</w:t>
            </w:r>
          </w:p>
        </w:tc>
        <w:tc>
          <w:tcPr>
            <w:tcW w:w="326" w:type="dxa"/>
            <w:tcBorders/>
            <w:vAlign w:val="center"/>
          </w:tcPr>
          <w:p>
            <w:pPr>
              <w:pStyle w:val="TableContents"/>
              <w:bidi w:val="0"/>
              <w:spacing w:before="0" w:after="0"/>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333,296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180,360</w:t>
            </w:r>
          </w:p>
        </w:tc>
        <w:tc>
          <w:tcPr>
            <w:tcW w:w="154" w:type="dxa"/>
            <w:tcBorders/>
            <w:vAlign w:val="center"/>
          </w:tcPr>
          <w:p>
            <w:pPr>
              <w:pStyle w:val="TableContents"/>
              <w:bidi w:val="0"/>
              <w:spacing w:before="0" w:after="0"/>
              <w:ind w:left="0" w:right="0" w:hanging="0"/>
              <w:jc w:val="center"/>
              <w:rPr/>
            </w:pPr>
            <w:r>
              <w:rPr/>
              <w:t>​</w:t>
            </w:r>
          </w:p>
        </w:tc>
      </w:tr>
      <w:tr>
        <w:trPr/>
        <w:tc>
          <w:tcPr>
            <w:tcW w:w="28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354,495</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Contract Balances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timing of revenue recognition, billings, and cash collections results in billed accounts receivable, unbilled receivables, and customer advances and deposits on the condensed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condensed consolidated balance sheet. However, the Company sometimes receives advances or deposits from its customers before revenue is recognized, resulting in contract liabilities recorded in customer advances on the condensed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condensed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three and nine month periods ended January 27, 2024 were not materially impacted by any other factors. For the Company’s contracts, there are no significant gaps between the receipt of payment and the transfer of the associated goods and services to the customer for material amounts of consideration.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recognized for the three and nine month periods ended January 27, 2024 that was included in customer advances balances as of April 30, 2023 was $610,000 and $3,026,000, and revenue recognized for the three and nine month periods ended January 28, 2023 that was included in customer advances balances as of April 30, 2022 was $369,000 and $3,374,000,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segments are defined as components of an enterprise about which separate financial information is available that is evaluated regularly by the Chief Operating Decision Maker (“CODM”) in deciding how to allocate resources and assess performance. As of January 27, 2024, the Company’s CODM, the Chief Executive Officer, makes operating decisions, assesses performance and makes resource allocation decisions, including the allocation for research and development (“R&amp;D”). Accordingly, the Company identifies three reportable segments. Refer to Note 18—Segments for further details.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investments are accounted for as available-for-sale and are reported at fair value. Unrealized gains and losses for debt securities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Investments in equity securities and warrants are measured at fair value with net unrealized gains and losses from changes in the fair value recognized in other expense, net. Management determines the appropriate classification of securities at the time of purchase and reevaluates such designation as of each balance sheet date.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Fair Values of Financial Instruments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values of cash and cash equivalents, accounts receivable, unbilled receivables and retentions, and accounts payable approximate cost due to the short period of time to maturity.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Government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January 27, 2024 and April 30, 2023, the Company had no reserve for incurred cost claim audits.</w:t>
        <w:b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Earnings (Loss) Per Share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(loss) per share is computed using the weighted-average number of common shares outstanding, excluding shares of unvested restricted stock.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331" w:name="Tc_Fi-raWm7dEylvmPEQi1PFg_7_0"/>
      <w:bookmarkStart w:id="1332" w:name="Tc_nsOmTTqT3kytWCBNDeozKA_6_12"/>
      <w:bookmarkStart w:id="1333" w:name="Tc_8Kgct9I0B02c-ufByTiqSw_6_6"/>
      <w:bookmarkStart w:id="1334" w:name="Tc_CTxQvcGB9E6eDOyHTu6xcA_6_0"/>
      <w:bookmarkStart w:id="1335" w:name="Tc_FYQ90yNSXk2ARZzJqyXeew_5_0"/>
      <w:bookmarkStart w:id="1336" w:name="Tc_OAvMlDgKYUu5KZcAz-QJ_A_4_0"/>
      <w:bookmarkStart w:id="1337" w:name="Tc_M-YHysvRUkKfVJjzDBmJ1Q_3_11"/>
      <w:bookmarkStart w:id="1338" w:name="Tc_Gu8EWqR1RE-asmbRX-bx5Q_3_8"/>
      <w:bookmarkStart w:id="1339" w:name="Tc_MW9Yk5oOkkmvCXc_6ojBJQ_3_5"/>
      <w:bookmarkStart w:id="1340" w:name="Tc_uoyxuQUJ70euKvQtuJJ3bg_3_2"/>
      <w:bookmarkStart w:id="1341" w:name="Tc_Nx_U9qQF7Uqdd1gk2W1cAg_3_0"/>
      <w:bookmarkStart w:id="1342" w:name="Tc_ILR4xRb9z0eUKaXk4HYH_A_2_11"/>
      <w:bookmarkStart w:id="1343" w:name="Tc_Wdfozl6_CkmE0_kP-kq6hg_2_8"/>
      <w:bookmarkStart w:id="1344" w:name="Tc_rdFJxfO6bUqU5yDm0Mh0SQ_2_5"/>
      <w:bookmarkStart w:id="1345" w:name="Tc_BGDi8ZGmWkaR9ixk43tnQw_2_2"/>
      <w:bookmarkStart w:id="1346" w:name="Tc_AfVe-Ll800qqiJmfiELsyg_1_9"/>
      <w:bookmarkStart w:id="1347" w:name="Tc_iWQjox75cEKLcdm6M0EJXw_1_3"/>
      <w:bookmarkStart w:id="1348" w:name="_504ca9da_dbe3_45fa_a9b5_edacf527a5d2"/>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r>
        <w:rPr>
          <w:rFonts w:ascii="Times New Roman;Times;serif" w:hAnsi="Times New Roman;Times;serif"/>
          <w:sz w:val="20"/>
        </w:rPr>
        <w:t>The reconciliation of basic to diluted shares is as follows (in thousands except share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26"/>
        <w:gridCol w:w="326"/>
        <w:gridCol w:w="236"/>
        <w:gridCol w:w="1160"/>
        <w:gridCol w:w="326"/>
        <w:gridCol w:w="236"/>
        <w:gridCol w:w="1160"/>
        <w:gridCol w:w="326"/>
        <w:gridCol w:w="236"/>
        <w:gridCol w:w="1160"/>
        <w:gridCol w:w="326"/>
        <w:gridCol w:w="236"/>
        <w:gridCol w:w="1160"/>
        <w:gridCol w:w="191"/>
      </w:tblGrid>
      <w:tr>
        <w:trPr/>
        <w:tc>
          <w:tcPr>
            <w:tcW w:w="3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1985010" cy="175260"/>
                      <wp:effectExtent l="0" t="0" r="0" b="0"/>
                      <wp:wrapNone/>
                      <wp:docPr id="153" name="Frame153"/>
                      <a:graphic xmlns:a="http://schemas.openxmlformats.org/drawingml/2006/main">
                        <a:graphicData uri="http://schemas.microsoft.com/office/word/2010/wordprocessingShape">
                          <wps:wsp>
                            <wps:cNvSpPr txBox="1"/>
                            <wps:spPr>
                              <a:xfrm>
                                <a:off x="0" y="0"/>
                                <a:ext cx="1985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49860" cy="175260"/>
                      <wp:effectExtent l="0" t="0" r="0" b="0"/>
                      <wp:wrapNone/>
                      <wp:docPr id="155" name="Frame155"/>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736600" cy="175260"/>
                      <wp:effectExtent l="0" t="0" r="0" b="0"/>
                      <wp:wrapNone/>
                      <wp:docPr id="156" name="Frame156"/>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7" name="Frame1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49860" cy="175260"/>
                      <wp:effectExtent l="0" t="0" r="0" b="0"/>
                      <wp:wrapNone/>
                      <wp:docPr id="158" name="Frame158"/>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36600" cy="175260"/>
                      <wp:effectExtent l="0" t="0" r="0" b="0"/>
                      <wp:wrapNone/>
                      <wp:docPr id="159" name="Frame159"/>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60"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9860" cy="175260"/>
                      <wp:effectExtent l="0" t="0" r="0" b="0"/>
                      <wp:wrapNone/>
                      <wp:docPr id="161" name="Frame161"/>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736600" cy="175260"/>
                      <wp:effectExtent l="0" t="0" r="0" b="0"/>
                      <wp:wrapNone/>
                      <wp:docPr id="162" name="Frame162"/>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3" name="Frame1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49860" cy="175260"/>
                      <wp:effectExtent l="0" t="0" r="0" b="0"/>
                      <wp:wrapNone/>
                      <wp:docPr id="164" name="Frame164"/>
                      <a:graphic xmlns:a="http://schemas.openxmlformats.org/drawingml/2006/main">
                        <a:graphicData uri="http://schemas.microsoft.com/office/word/2010/wordprocessingShape">
                          <wps:wsp>
                            <wps:cNvSpPr txBox="1"/>
                            <wps:spPr>
                              <a:xfrm>
                                <a:off x="0" y="0"/>
                                <a:ext cx="14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736600" cy="175260"/>
                      <wp:effectExtent l="0" t="0" r="0" b="0"/>
                      <wp:wrapNone/>
                      <wp:docPr id="165" name="Frame165"/>
                      <a:graphic xmlns:a="http://schemas.openxmlformats.org/drawingml/2006/main">
                        <a:graphicData uri="http://schemas.microsoft.com/office/word/2010/wordprocessingShape">
                          <wps:wsp>
                            <wps:cNvSpPr txBox="1"/>
                            <wps:spPr>
                              <a:xfrm>
                                <a:off x="0" y="0"/>
                                <a:ext cx="736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121285" cy="175260"/>
                      <wp:effectExtent l="0" t="0" r="0" b="0"/>
                      <wp:wrapNone/>
                      <wp:docPr id="166" name="Frame16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88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236"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88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 </w:t>
            </w:r>
          </w:p>
        </w:tc>
      </w:tr>
      <w:tr>
        <w:trPr/>
        <w:tc>
          <w:tcPr>
            <w:tcW w:w="3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 2024</w:t>
            </w:r>
          </w:p>
        </w:tc>
        <w:tc>
          <w:tcPr>
            <w:tcW w:w="326" w:type="dxa"/>
            <w:tcBorders/>
            <w:vAlign w:val="center"/>
          </w:tcPr>
          <w:p>
            <w:pPr>
              <w:pStyle w:val="TableContents"/>
              <w:bidi w:val="0"/>
              <w:spacing w:before="0" w:after="0"/>
              <w:ind w:left="0" w:right="0" w:hanging="0"/>
              <w:jc w:val="left"/>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 2023</w:t>
            </w:r>
          </w:p>
        </w:tc>
        <w:tc>
          <w:tcPr>
            <w:tcW w:w="326" w:type="dxa"/>
            <w:tcBorders/>
            <w:vAlign w:val="center"/>
          </w:tcPr>
          <w:p>
            <w:pPr>
              <w:pStyle w:val="TableContents"/>
              <w:bidi w:val="0"/>
              <w:spacing w:before="0" w:after="0"/>
              <w:ind w:left="0" w:right="0" w:hanging="0"/>
              <w:jc w:val="left"/>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 2024</w:t>
            </w:r>
          </w:p>
        </w:tc>
        <w:tc>
          <w:tcPr>
            <w:tcW w:w="326" w:type="dxa"/>
            <w:tcBorders/>
            <w:vAlign w:val="center"/>
          </w:tcPr>
          <w:p>
            <w:pPr>
              <w:pStyle w:val="TableContents"/>
              <w:bidi w:val="0"/>
              <w:spacing w:before="0" w:after="0"/>
              <w:ind w:left="0" w:right="0" w:hanging="0"/>
              <w:jc w:val="left"/>
              <w:rPr/>
            </w:pPr>
            <w:r>
              <w:rPr/>
              <w:t>    </w:t>
            </w:r>
          </w:p>
        </w:tc>
        <w:tc>
          <w:tcPr>
            <w:tcW w:w="13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 2023</w:t>
            </w:r>
          </w:p>
        </w:tc>
        <w:tc>
          <w:tcPr>
            <w:tcW w:w="191" w:type="dxa"/>
            <w:tcBorders/>
            <w:vAlign w:val="center"/>
          </w:tcPr>
          <w:p>
            <w:pPr>
              <w:pStyle w:val="TableContents"/>
              <w:bidi w:val="0"/>
              <w:spacing w:before="0" w:after="0"/>
              <w:ind w:left="0" w:right="0" w:hanging="0"/>
              <w:jc w:val="left"/>
              <w:rPr/>
            </w:pPr>
            <w:r>
              <w:rPr/>
              <w:t> </w:t>
            </w:r>
          </w:p>
        </w:tc>
      </w:tr>
      <w:tr>
        <w:trPr/>
        <w:tc>
          <w:tcPr>
            <w:tcW w:w="3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AeroVironment, Inc.</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13,885</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53,620</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(15,739)</w:t>
            </w:r>
          </w:p>
        </w:tc>
        <w:tc>
          <w:tcPr>
            <w:tcW w:w="191" w:type="dxa"/>
            <w:tcBorders/>
            <w:vAlign w:val="center"/>
          </w:tcPr>
          <w:p>
            <w:pPr>
              <w:pStyle w:val="TableContents"/>
              <w:bidi w:val="0"/>
              <w:spacing w:before="0" w:after="0"/>
              <w:ind w:left="0" w:right="0" w:hanging="0"/>
              <w:jc w:val="left"/>
              <w:rPr/>
            </w:pPr>
            <w:r>
              <w:rPr/>
              <w:t>​</w:t>
            </w:r>
          </w:p>
        </w:tc>
      </w:tr>
      <w:tr>
        <w:trPr/>
        <w:tc>
          <w:tcPr>
            <w:tcW w:w="3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basic earnings (loss) per share:</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shd w:fill="CCEEFF" w:val="clear"/>
            <w:vAlign w:val="center"/>
          </w:tcPr>
          <w:p>
            <w:pPr>
              <w:pStyle w:val="TableContents"/>
              <w:bidi w:val="0"/>
              <w:spacing w:before="0" w:after="0"/>
              <w:ind w:left="0" w:right="0" w:hanging="0"/>
              <w:jc w:val="left"/>
              <w:rPr/>
            </w:pPr>
            <w:r>
              <w:rPr/>
              <w:t>​</w:t>
            </w:r>
          </w:p>
        </w:tc>
        <w:tc>
          <w:tcPr>
            <w:tcW w:w="1160"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w:t>
            </w:r>
          </w:p>
        </w:tc>
        <w:tc>
          <w:tcPr>
            <w:tcW w:w="326" w:type="dxa"/>
            <w:tcBorders/>
            <w:vAlign w:val="center"/>
          </w:tcPr>
          <w:p>
            <w:pPr>
              <w:pStyle w:val="TableContents"/>
              <w:bidi w:val="0"/>
              <w:spacing w:before="0" w:after="0"/>
              <w:ind w:left="0" w:right="0" w:hanging="0"/>
              <w:jc w:val="left"/>
              <w:rPr/>
            </w:pPr>
            <w:r>
              <w:rPr/>
              <w:t>​</w:t>
            </w:r>
          </w:p>
        </w:tc>
        <w:tc>
          <w:tcPr>
            <w:tcW w:w="236"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27,907,568</w:t>
            </w:r>
          </w:p>
        </w:tc>
        <w:tc>
          <w:tcPr>
            <w:tcW w:w="326" w:type="dxa"/>
            <w:tcBorders/>
            <w:vAlign w:val="center"/>
          </w:tcPr>
          <w:p>
            <w:pPr>
              <w:pStyle w:val="TableContents"/>
              <w:bidi w:val="0"/>
              <w:spacing w:before="0" w:after="0"/>
              <w:ind w:left="0" w:right="0" w:hanging="0"/>
              <w:jc w:val="right"/>
              <w:rPr/>
            </w:pPr>
            <w:r>
              <w:rPr/>
              <w:t>​</w:t>
            </w:r>
          </w:p>
        </w:tc>
        <w:tc>
          <w:tcPr>
            <w:tcW w:w="236" w:type="dxa"/>
            <w:tcBorders/>
            <w:vAlign w:val="center"/>
          </w:tcPr>
          <w:p>
            <w:pPr>
              <w:pStyle w:val="TableContents"/>
              <w:bidi w:val="0"/>
              <w:spacing w:before="0" w:after="0"/>
              <w:ind w:left="0" w:right="0" w:hanging="0"/>
              <w:jc w:val="left"/>
              <w:rPr/>
            </w:pPr>
            <w:r>
              <w:rPr/>
              <w:t> </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25,012,412</w:t>
            </w:r>
          </w:p>
        </w:tc>
        <w:tc>
          <w:tcPr>
            <w:tcW w:w="32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26,957,061</w:t>
            </w:r>
          </w:p>
        </w:tc>
        <w:tc>
          <w:tcPr>
            <w:tcW w:w="326" w:type="dxa"/>
            <w:tcBorders/>
            <w:vAlign w:val="center"/>
          </w:tcPr>
          <w:p>
            <w:pPr>
              <w:pStyle w:val="TableContents"/>
              <w:bidi w:val="0"/>
              <w:spacing w:before="0" w:after="0"/>
              <w:ind w:left="0" w:right="0" w:hanging="0"/>
              <w:jc w:val="left"/>
              <w:rPr/>
            </w:pPr>
            <w:r>
              <w:rPr/>
              <w:t> </w:t>
            </w:r>
          </w:p>
        </w:tc>
        <w:tc>
          <w:tcPr>
            <w:tcW w:w="236" w:type="dxa"/>
            <w:tcBorders/>
            <w:vAlign w:val="center"/>
          </w:tcPr>
          <w:p>
            <w:pPr>
              <w:pStyle w:val="TableContents"/>
              <w:bidi w:val="0"/>
              <w:spacing w:before="0" w:after="0"/>
              <w:ind w:left="0" w:right="0" w:hanging="0"/>
              <w:jc w:val="left"/>
              <w:rPr/>
            </w:pPr>
            <w:r>
              <w:rPr/>
              <w:t>​</w:t>
            </w:r>
          </w:p>
        </w:tc>
        <w:tc>
          <w:tcPr>
            <w:tcW w:w="116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24,906,977</w:t>
            </w:r>
          </w:p>
        </w:tc>
        <w:tc>
          <w:tcPr>
            <w:tcW w:w="191" w:type="dxa"/>
            <w:tcBorders/>
            <w:vAlign w:val="center"/>
          </w:tcPr>
          <w:p>
            <w:pPr>
              <w:pStyle w:val="TableContents"/>
              <w:bidi w:val="0"/>
              <w:spacing w:before="0" w:after="0"/>
              <w:ind w:left="0" w:right="0" w:hanging="0"/>
              <w:jc w:val="left"/>
              <w:rPr/>
            </w:pPr>
            <w:r>
              <w:rPr/>
              <w:t>​</w:t>
            </w:r>
          </w:p>
        </w:tc>
      </w:tr>
      <w:tr>
        <w:trPr/>
        <w:tc>
          <w:tcPr>
            <w:tcW w:w="3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employee stock options, restricted stock and restricted stock units</w:t>
            </w:r>
          </w:p>
        </w:tc>
        <w:tc>
          <w:tcPr>
            <w:tcW w:w="326" w:type="dxa"/>
            <w:tcBorders/>
            <w:shd w:fill="CCEEFF" w:val="clear"/>
            <w:vAlign w:val="center"/>
          </w:tcPr>
          <w:p>
            <w:pPr>
              <w:pStyle w:val="TableContents"/>
              <w:bidi w:val="0"/>
              <w:spacing w:before="0" w:after="0"/>
              <w:ind w:left="0" w:right="0" w:hanging="0"/>
              <w:jc w:val="lef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136,559</w:t>
            </w:r>
          </w:p>
        </w:tc>
        <w:tc>
          <w:tcPr>
            <w:tcW w:w="326" w:type="dxa"/>
            <w:tcBorders/>
            <w:shd w:fill="CCEEFF" w:val="clear"/>
            <w:vAlign w:val="center"/>
          </w:tcPr>
          <w:p>
            <w:pPr>
              <w:pStyle w:val="TableContents"/>
              <w:bidi w:val="0"/>
              <w:spacing w:before="0" w:after="0"/>
              <w:ind w:left="0" w:right="0" w:hanging="0"/>
              <w:jc w:val="right"/>
              <w:rPr/>
            </w:pPr>
            <w:r>
              <w:rPr/>
              <w:t>​</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104,348</w:t>
            </w:r>
          </w:p>
        </w:tc>
        <w:tc>
          <w:tcPr>
            <w:tcW w:w="326" w:type="dxa"/>
            <w:tcBorders/>
            <w:shd w:fill="CCEEFF" w:val="clear"/>
            <w:vAlign w:val="center"/>
          </w:tcPr>
          <w:p>
            <w:pPr>
              <w:pStyle w:val="TableContents"/>
              <w:bidi w:val="0"/>
              <w:spacing w:before="0" w:after="0"/>
              <w:ind w:left="0" w:right="0" w:hanging="0"/>
              <w:jc w:val="left"/>
              <w:rPr/>
            </w:pPr>
            <w:r>
              <w:rPr/>
              <w:t> </w:t>
            </w:r>
          </w:p>
        </w:tc>
        <w:tc>
          <w:tcPr>
            <w:tcW w:w="2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 for diluted earnings (loss) per share</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28,044,127</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25,012,412</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27,061,409</w:t>
            </w:r>
          </w:p>
        </w:tc>
        <w:tc>
          <w:tcPr>
            <w:tcW w:w="326" w:type="dxa"/>
            <w:tcBorders/>
            <w:vAlign w:val="center"/>
          </w:tcPr>
          <w:p>
            <w:pPr>
              <w:pStyle w:val="TableContents"/>
              <w:bidi w:val="0"/>
              <w:spacing w:before="0" w:after="0"/>
              <w:ind w:left="0" w:right="0" w:hanging="0"/>
              <w:jc w:val="left"/>
              <w:rPr/>
            </w:pPr>
            <w:r>
              <w:rPr/>
              <w:t>​</w:t>
            </w:r>
          </w:p>
        </w:tc>
        <w:tc>
          <w:tcPr>
            <w:tcW w:w="236"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16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24,906,977</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shd w:fill="FFFFFF" w:val="clear"/>
        </w:rPr>
      </w:pPr>
      <w:r>
        <w:rPr>
          <w:rFonts w:ascii="Times New Roman;Times;serif" w:hAnsi="Times New Roman;Times;serif"/>
          <w:sz w:val="20"/>
          <w:shd w:fill="FFFFFF" w:val="clear"/>
        </w:rPr>
        <w:t>Potentially dilutive shares not included in the computation of diluted weighted-average common shares because their effect would have been anti-dilutive were 72 and 606 for the three and nine months ended January 27, 2024. Due to the net loss for the three and nine months ended January 28, 2023,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were 145,793 and 152,047 for the three and nine months ended January 28,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Recently Issued Accounting Standards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November 2023, the FASB issued ASU 2023-07, </w:t>
      </w:r>
      <w:r>
        <w:rPr>
          <w:rFonts w:ascii="Times New Roman;Times;serif" w:hAnsi="Times New Roman;Times;serif"/>
          <w:i/>
          <w:sz w:val="20"/>
        </w:rPr>
        <w:t>Segment Reporting (Topic 280): Improvements to Reportable Segment Disclosures</w:t>
      </w:r>
      <w:r>
        <w:rPr>
          <w:rFonts w:ascii="Times New Roman;Times;serif" w:hAnsi="Times New Roman;Times;serif"/>
          <w:sz w:val="20"/>
        </w:rPr>
        <w:t xml:space="preserve"> (“ASU 2023-07”). ASU 2023-07 improves reportable segment disclosure requirements, primarily through enhanced disclosures about significant segment expenses reported to the CODM. ASU 2023-07 also requires all segment profit or loss and assets disclosures to be provided on an annual and interim basis. The new standard is effective for fiscal years beginning after December 15, 2023 and interim periods within fiscal years beginning after December 15, 2024, with early adoption permitted. ASU 2023-07 is adopted retrospectively. The Company is evaluating the potential impact of this adoption on its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December 2023, the FASB issued ASU 2023-09, </w:t>
      </w:r>
      <w:r>
        <w:rPr>
          <w:rFonts w:ascii="Times New Roman;Times;serif" w:hAnsi="Times New Roman;Times;serif"/>
          <w:i/>
          <w:sz w:val="20"/>
        </w:rPr>
        <w:t>Income Taxes (Topic 740): Improvements to Income Tax Disclosures</w:t>
      </w:r>
      <w:r>
        <w:rPr>
          <w:rFonts w:ascii="Times New Roman;Times;serif" w:hAnsi="Times New Roman;Times;serif"/>
          <w:sz w:val="20"/>
        </w:rPr>
        <w:t xml:space="preserve"> (“ASU 2023-09”). ASU 2023-09 requires updates to the rate reconciliation, income taxes paid and other disclosures. The new standard is effective for fiscal years beginning after December 15, 2024 and interim periods within fiscal years beginning after December 15, 2025, with early adoption permitted. ASU 2023-09 is adopted retrospectively. The Company is evaluating the potential impact of this adoption on its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49" w:name="Tc_2wILA_H5LE2r1HcK5BaWgg_10_5"/>
      <w:bookmarkStart w:id="1350" w:name="Tc__456BxRx30GPXGSSvG-u2A_10_2"/>
      <w:bookmarkStart w:id="1351" w:name="Tc_SzBCNTScdEmNqqYyOqdZ7w_10_0"/>
      <w:bookmarkStart w:id="1352" w:name="Tc_j7B93keAqUe3ggS1Z9Q6pQ_9_0"/>
      <w:bookmarkStart w:id="1353" w:name="Tc_W5ZOtSXXu0KNaTb1HLXpTw_8_0"/>
      <w:bookmarkStart w:id="1354" w:name="Tc_uV0VN-bJrEimXdATpxOyqA_7_0"/>
      <w:bookmarkStart w:id="1355" w:name="Tc_XnFl0-fjW0OvnM9PX45PdA_6_0"/>
      <w:bookmarkStart w:id="1356" w:name="Tc__IjEGErg1UawDnyJK8dKFw_4_0"/>
      <w:bookmarkStart w:id="1357" w:name="Tc_Mt9T5uMrhkKYvX31cJ_sqg_3_0"/>
      <w:bookmarkStart w:id="1358" w:name="Tc_8KvVF4aY3EuR6cDKKzCSGQ_2_5"/>
      <w:bookmarkStart w:id="1359" w:name="Tc_zSKdRkbnvUCpXZ0o-XtsdA_2_2"/>
      <w:bookmarkStart w:id="1360" w:name="Tc_reIpGTCv6EC3rSmbp632PQ_1_5"/>
      <w:bookmarkStart w:id="1361" w:name="Tc_aDVYAyNZv0a_p7hBgsEyMA_1_2"/>
      <w:bookmarkStart w:id="1362" w:name="_938471d7_4f14_4d27_b6bc_8eb351273810"/>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r>
        <w:rPr>
          <w:rFonts w:ascii="Times New Roman;Times;serif" w:hAnsi="Times New Roman;Times;serif"/>
          <w:b/>
          <w:sz w:val="20"/>
        </w:rPr>
        <w:t>2.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consist of the following (in thousands):</w:t>
      </w:r>
    </w:p>
    <w:p>
      <w:pPr>
        <w:pStyle w:val="TextBody"/>
        <w:bidi w:val="0"/>
        <w:spacing w:before="0" w:after="0"/>
        <w:ind w:left="0" w:right="0" w:hanging="0"/>
        <w:jc w:val="left"/>
        <w:rPr/>
      </w:pPr>
      <w:r>
        <w:rPr/>
        <w:t>​</w:t>
      </w:r>
    </w:p>
    <w:tbl>
      <w:tblPr>
        <w:tblW w:w="7401" w:type="dxa"/>
        <w:jc w:val="left"/>
        <w:tblInd w:w="0" w:type="dxa"/>
        <w:tblLayout w:type="fixed"/>
        <w:tblCellMar>
          <w:top w:w="0" w:type="dxa"/>
          <w:left w:w="0" w:type="dxa"/>
          <w:bottom w:w="0" w:type="dxa"/>
          <w:right w:w="0" w:type="dxa"/>
        </w:tblCellMar>
      </w:tblPr>
      <w:tblGrid>
        <w:gridCol w:w="4681"/>
        <w:gridCol w:w="326"/>
        <w:gridCol w:w="235"/>
        <w:gridCol w:w="755"/>
        <w:gridCol w:w="326"/>
        <w:gridCol w:w="211"/>
        <w:gridCol w:w="676"/>
        <w:gridCol w:w="191"/>
      </w:tblGrid>
      <w:tr>
        <w:trPr/>
        <w:tc>
          <w:tcPr>
            <w:tcW w:w="4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972435" cy="175260"/>
                      <wp:effectExtent l="0" t="0" r="0" b="0"/>
                      <wp:wrapNone/>
                      <wp:docPr id="167" name="Frame167"/>
                      <a:graphic xmlns:a="http://schemas.openxmlformats.org/drawingml/2006/main">
                        <a:graphicData uri="http://schemas.microsoft.com/office/word/2010/wordprocessingShape">
                          <wps:wsp>
                            <wps:cNvSpPr txBox="1"/>
                            <wps:spPr>
                              <a:xfrm>
                                <a:off x="0" y="0"/>
                                <a:ext cx="2972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49225" cy="175260"/>
                      <wp:effectExtent l="0" t="0" r="0" b="0"/>
                      <wp:wrapNone/>
                      <wp:docPr id="169" name="Frame169"/>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479425" cy="175260"/>
                      <wp:effectExtent l="0" t="0" r="0" b="0"/>
                      <wp:wrapNone/>
                      <wp:docPr id="170" name="Frame170"/>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71"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33985" cy="175260"/>
                      <wp:effectExtent l="0" t="0" r="0" b="0"/>
                      <wp:wrapNone/>
                      <wp:docPr id="172" name="Frame1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429260" cy="175260"/>
                      <wp:effectExtent l="0" t="0" r="0" b="0"/>
                      <wp:wrapNone/>
                      <wp:docPr id="173" name="Frame1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21285" cy="175260"/>
                      <wp:effectExtent l="0" t="0" r="0" b="0"/>
                      <wp:wrapNone/>
                      <wp:docPr id="174" name="Frame17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88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center"/>
              <w:rPr/>
            </w:pPr>
            <w:r>
              <w:rPr/>
              <w:t>​</w:t>
            </w:r>
          </w:p>
        </w:tc>
      </w:tr>
      <w:tr>
        <w:trPr/>
        <w:tc>
          <w:tcPr>
            <w:tcW w:w="46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Available-for-sale securities</w:t>
            </w: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 securities and warrants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available-for-sale securities investments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4,969</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w:t>
            </w:r>
          </w:p>
        </w:tc>
        <w:tc>
          <w:tcPr>
            <w:tcW w:w="75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limited partnership funds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18,644</w:t>
            </w:r>
          </w:p>
        </w:tc>
        <w:tc>
          <w:tcPr>
            <w:tcW w:w="191" w:type="dxa"/>
            <w:tcBorders/>
            <w:vAlign w:val="center"/>
          </w:tcPr>
          <w:p>
            <w:pPr>
              <w:pStyle w:val="TableContents"/>
              <w:bidi w:val="0"/>
              <w:spacing w:before="0" w:after="0"/>
              <w:ind w:left="0" w:right="0" w:hanging="0"/>
              <w:jc w:val="left"/>
              <w:rPr/>
            </w:pPr>
            <w:r>
              <w:rPr/>
              <w:t>​</w:t>
            </w:r>
          </w:p>
        </w:tc>
      </w:tr>
      <w:tr>
        <w:trPr/>
        <w:tc>
          <w:tcPr>
            <w:tcW w:w="46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equity method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18,644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4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investments</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21,282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23,613</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363" w:name="Tc_1i5K_BVG0kKrTgjO66UyLg_5_11"/>
      <w:bookmarkStart w:id="1364" w:name="Tc_UKSUsZRI8UWyqBy9G4eyQA_5_8"/>
      <w:bookmarkStart w:id="1365" w:name="Tc_OIAnlrqxsk-0yVXGMZt-Hw_5_5"/>
      <w:bookmarkStart w:id="1366" w:name="Tc_G87cn_wc4U-vdWu9ybIrJw_5_2"/>
      <w:bookmarkStart w:id="1367" w:name="Tc_k7JPBshtLUW1YiF44eTzCA_5_0"/>
      <w:bookmarkStart w:id="1368" w:name="Tc_7eH-WM4eFE2QRePjGE9RjA_4_12"/>
      <w:bookmarkStart w:id="1369" w:name="Tc_d33xnpxe6kW8VpoE_fNedw_4_9"/>
      <w:bookmarkStart w:id="1370" w:name="Tc_m6ILuVvF90uqQQhm8tlWIg_4_6"/>
      <w:bookmarkStart w:id="1371" w:name="Tc_qQp85jqQPEOx5TifRiEngg_4_3"/>
      <w:bookmarkStart w:id="1372" w:name="Tc_CKEGNKgfm0iIB3SI1tt_nQ_4_0"/>
      <w:bookmarkStart w:id="1373" w:name="Tc_BF5_BCrtqUywgxTozmKz5w_3_11"/>
      <w:bookmarkStart w:id="1374" w:name="Tc_WbY36M58R0G2u3C06PlzUQ_3_8"/>
      <w:bookmarkStart w:id="1375" w:name="Tc_98RQMfxvDki_tzeDy6NZUQ_3_5"/>
      <w:bookmarkStart w:id="1376" w:name="Tc_3n-iYS74ukCHGO29LPWVCg_3_2"/>
      <w:bookmarkStart w:id="1377" w:name="Tc_vgYrvma5WUOWOPphNmzGnQ_3_0"/>
      <w:bookmarkStart w:id="1378" w:name="Tc_CGbYpObQJU2FpQ46hIH52g_2_11"/>
      <w:bookmarkStart w:id="1379" w:name="Tc_ZXiRQiep0EClbogACfeLsw_2_8"/>
      <w:bookmarkStart w:id="1380" w:name="Tc_yNY2-DOgUkeGI7vjigc7Yw_2_5"/>
      <w:bookmarkStart w:id="1381" w:name="Tc_G_Vqlw6kdEupqQJw9B5WRQ_2_2"/>
      <w:bookmarkStart w:id="1382" w:name="Tc_XjT-SDySJ0KAwgUv-nMsJg_1_11"/>
      <w:bookmarkStart w:id="1383" w:name="Tc_N2oZwHBk4kywQrU7GHY1LA_1_8"/>
      <w:bookmarkStart w:id="1384" w:name="Tc_rn8bwgEVeUi_01gPzVLQew_1_5"/>
      <w:bookmarkStart w:id="1385" w:name="Tc_t_HdQpYALUGuoY-cBLz9mw_1_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r>
        <w:rPr>
          <w:rFonts w:ascii="Times New Roman;Times;serif" w:hAnsi="Times New Roman;Times;serif"/>
          <w:b/>
          <w:sz w:val="20"/>
        </w:rPr>
        <w:t>Equity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and warrants are measured at fair value with net unrealized gains and losses from changes in the fair value recognized in other expense, net. Unrealized loss recorded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10"/>
        <w:gridCol w:w="326"/>
        <w:gridCol w:w="549"/>
        <w:gridCol w:w="745"/>
        <w:gridCol w:w="109"/>
        <w:gridCol w:w="371"/>
        <w:gridCol w:w="922"/>
        <w:gridCol w:w="109"/>
        <w:gridCol w:w="362"/>
        <w:gridCol w:w="891"/>
        <w:gridCol w:w="109"/>
        <w:gridCol w:w="357"/>
        <w:gridCol w:w="945"/>
      </w:tblGrid>
      <w:tr>
        <w:trPr/>
        <w:tc>
          <w:tcPr>
            <w:tcW w:w="4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800350" cy="175260"/>
                      <wp:effectExtent l="0" t="0" r="0" b="0"/>
                      <wp:wrapNone/>
                      <wp:docPr id="175" name="Frame175"/>
                      <a:graphic xmlns:a="http://schemas.openxmlformats.org/drawingml/2006/main">
                        <a:graphicData uri="http://schemas.microsoft.com/office/word/2010/wordprocessingShape">
                          <wps:wsp>
                            <wps:cNvSpPr txBox="1"/>
                            <wps:spPr>
                              <a:xfrm>
                                <a:off x="0" y="0"/>
                                <a:ext cx="28003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348615" cy="175260"/>
                      <wp:effectExtent l="0" t="0" r="0" b="0"/>
                      <wp:wrapNone/>
                      <wp:docPr id="177" name="Frame177"/>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73075" cy="175260"/>
                      <wp:effectExtent l="0" t="0" r="0" b="0"/>
                      <wp:wrapNone/>
                      <wp:docPr id="178" name="Frame178"/>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9215" cy="175260"/>
                      <wp:effectExtent l="0" t="0" r="0" b="0"/>
                      <wp:wrapNone/>
                      <wp:docPr id="179" name="Frame1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35585" cy="175260"/>
                      <wp:effectExtent l="0" t="0" r="0" b="0"/>
                      <wp:wrapNone/>
                      <wp:docPr id="180" name="Frame180"/>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585470" cy="175260"/>
                      <wp:effectExtent l="0" t="0" r="0" b="0"/>
                      <wp:wrapNone/>
                      <wp:docPr id="181" name="Frame181"/>
                      <a:graphic xmlns:a="http://schemas.openxmlformats.org/drawingml/2006/main">
                        <a:graphicData uri="http://schemas.microsoft.com/office/word/2010/wordprocessingShape">
                          <wps:wsp>
                            <wps:cNvSpPr txBox="1"/>
                            <wps:spPr>
                              <a:xfrm>
                                <a:off x="0" y="0"/>
                                <a:ext cx="585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29870" cy="175260"/>
                      <wp:effectExtent l="0" t="0" r="0" b="0"/>
                      <wp:wrapNone/>
                      <wp:docPr id="183" name="Frame183"/>
                      <a:graphic xmlns:a="http://schemas.openxmlformats.org/drawingml/2006/main">
                        <a:graphicData uri="http://schemas.microsoft.com/office/word/2010/wordprocessingShape">
                          <wps:wsp>
                            <wps:cNvSpPr txBox="1"/>
                            <wps:spPr>
                              <a:xfrm>
                                <a:off x="0" y="0"/>
                                <a:ext cx="2298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65785" cy="175260"/>
                      <wp:effectExtent l="0" t="0" r="0" b="0"/>
                      <wp:wrapNone/>
                      <wp:docPr id="184" name="Frame184"/>
                      <a:graphic xmlns:a="http://schemas.openxmlformats.org/drawingml/2006/main">
                        <a:graphicData uri="http://schemas.microsoft.com/office/word/2010/wordprocessingShape">
                          <wps:wsp>
                            <wps:cNvSpPr txBox="1"/>
                            <wps:spPr>
                              <a:xfrm>
                                <a:off x="0" y="0"/>
                                <a:ext cx="565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6695" cy="175260"/>
                      <wp:effectExtent l="0" t="0" r="0" b="0"/>
                      <wp:wrapNone/>
                      <wp:docPr id="186" name="Frame186"/>
                      <a:graphic xmlns:a="http://schemas.openxmlformats.org/drawingml/2006/main">
                        <a:graphicData uri="http://schemas.microsoft.com/office/word/2010/wordprocessingShape">
                          <wps:wsp>
                            <wps:cNvSpPr txBox="1"/>
                            <wps:spPr>
                              <a:xfrm>
                                <a:off x="0" y="0"/>
                                <a:ext cx="226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00075" cy="175260"/>
                      <wp:effectExtent l="0" t="0" r="0" b="0"/>
                      <wp:wrapNone/>
                      <wp:docPr id="187" name="Frame187"/>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9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29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1253"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09" w:type="dxa"/>
            <w:tcBorders/>
            <w:vAlign w:val="center"/>
          </w:tcPr>
          <w:p>
            <w:pPr>
              <w:pStyle w:val="TableContents"/>
              <w:bidi w:val="0"/>
              <w:spacing w:before="0" w:after="0"/>
              <w:ind w:left="0" w:right="0" w:hanging="0"/>
              <w:jc w:val="center"/>
              <w:rPr/>
            </w:pPr>
            <w:r>
              <w:rPr/>
              <w:t>​</w:t>
            </w:r>
          </w:p>
        </w:tc>
        <w:tc>
          <w:tcPr>
            <w:tcW w:w="13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41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 2024</w:t>
            </w:r>
          </w:p>
        </w:tc>
        <w:tc>
          <w:tcPr>
            <w:tcW w:w="109" w:type="dxa"/>
            <w:tcBorders/>
            <w:vAlign w:val="center"/>
          </w:tcPr>
          <w:p>
            <w:pPr>
              <w:pStyle w:val="TableContents"/>
              <w:bidi w:val="0"/>
              <w:spacing w:before="0" w:after="0"/>
              <w:ind w:left="0" w:right="0" w:hanging="0"/>
              <w:jc w:val="center"/>
              <w:rPr/>
            </w:pPr>
            <w:r>
              <w:rPr/>
              <w:t>​</w:t>
            </w:r>
          </w:p>
        </w:tc>
        <w:tc>
          <w:tcPr>
            <w:tcW w:w="12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 2023</w:t>
            </w:r>
          </w:p>
        </w:tc>
        <w:tc>
          <w:tcPr>
            <w:tcW w:w="109" w:type="dxa"/>
            <w:tcBorders/>
            <w:vAlign w:val="center"/>
          </w:tcPr>
          <w:p>
            <w:pPr>
              <w:pStyle w:val="TableContents"/>
              <w:bidi w:val="0"/>
              <w:spacing w:before="0" w:after="0"/>
              <w:ind w:left="0" w:right="0" w:hanging="0"/>
              <w:jc w:val="center"/>
              <w:rPr/>
            </w:pPr>
            <w:r>
              <w:rPr/>
              <w:t>​</w:t>
            </w:r>
          </w:p>
        </w:tc>
        <w:tc>
          <w:tcPr>
            <w:tcW w:w="125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 2024</w:t>
            </w:r>
          </w:p>
        </w:tc>
        <w:tc>
          <w:tcPr>
            <w:tcW w:w="109" w:type="dxa"/>
            <w:tcBorders/>
            <w:vAlign w:val="center"/>
          </w:tcPr>
          <w:p>
            <w:pPr>
              <w:pStyle w:val="TableContents"/>
              <w:bidi w:val="0"/>
              <w:spacing w:before="0" w:after="0"/>
              <w:ind w:left="0" w:right="0" w:hanging="0"/>
              <w:jc w:val="center"/>
              <w:rPr/>
            </w:pPr>
            <w:r>
              <w:rPr/>
              <w:t>​</w:t>
            </w:r>
          </w:p>
        </w:tc>
        <w:tc>
          <w:tcPr>
            <w:tcW w:w="13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 2023</w:t>
            </w:r>
          </w:p>
        </w:tc>
      </w:tr>
      <w:tr>
        <w:trPr/>
        <w:tc>
          <w:tcPr>
            <w:tcW w:w="4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gains (losses) recognized during the period on equity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54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w:t>
            </w:r>
          </w:p>
        </w:tc>
        <w:tc>
          <w:tcPr>
            <w:tcW w:w="109" w:type="dxa"/>
            <w:tcBorders/>
            <w:shd w:fill="CCEEFF" w:val="clear"/>
            <w:vAlign w:val="center"/>
          </w:tcPr>
          <w:p>
            <w:pPr>
              <w:pStyle w:val="TableContents"/>
              <w:bidi w:val="0"/>
              <w:spacing w:before="0" w:after="0"/>
              <w:ind w:left="0" w:right="0" w:hanging="0"/>
              <w:jc w:val="left"/>
              <w:rPr/>
            </w:pPr>
            <w:r>
              <w:rPr/>
              <w:t>​</w:t>
            </w:r>
          </w:p>
        </w:tc>
        <w:tc>
          <w:tcPr>
            <w:tcW w:w="36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c>
          <w:tcPr>
            <w:tcW w:w="109"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r>
      <w:tr>
        <w:trPr/>
        <w:tc>
          <w:tcPr>
            <w:tcW w:w="44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Net loss recognized during the period on equity securities sold during the period</w:t>
            </w:r>
          </w:p>
        </w:tc>
        <w:tc>
          <w:tcPr>
            <w:tcW w:w="326" w:type="dxa"/>
            <w:tcBorders/>
            <w:vAlign w:val="center"/>
          </w:tcPr>
          <w:p>
            <w:pPr>
              <w:pStyle w:val="TableContents"/>
              <w:bidi w:val="0"/>
              <w:spacing w:before="0" w:after="0"/>
              <w:ind w:left="0" w:right="0" w:hanging="0"/>
              <w:jc w:val="left"/>
              <w:rPr/>
            </w:pPr>
            <w:r>
              <w:rPr/>
              <w:t>​</w:t>
            </w:r>
          </w:p>
        </w:tc>
        <w:tc>
          <w:tcPr>
            <w:tcW w:w="549" w:type="dxa"/>
            <w:tcBorders/>
            <w:vAlign w:val="center"/>
          </w:tcPr>
          <w:p>
            <w:pPr>
              <w:pStyle w:val="TableContents"/>
              <w:bidi w:val="0"/>
              <w:spacing w:before="0" w:after="0"/>
              <w:ind w:left="0" w:right="0" w:hanging="0"/>
              <w:jc w:val="left"/>
              <w:rPr/>
            </w:pPr>
            <w:r>
              <w:rPr/>
              <w:t>​</w:t>
            </w:r>
          </w:p>
        </w:tc>
        <w:tc>
          <w:tcPr>
            <w:tcW w:w="7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71" w:type="dxa"/>
            <w:tcBorders/>
            <w:vAlign w:val="center"/>
          </w:tcPr>
          <w:p>
            <w:pPr>
              <w:pStyle w:val="TableContents"/>
              <w:bidi w:val="0"/>
              <w:spacing w:before="0" w:after="0"/>
              <w:ind w:left="0" w:right="0" w:hanging="0"/>
              <w:jc w:val="left"/>
              <w:rPr/>
            </w:pPr>
            <w:r>
              <w:rPr/>
              <w:t>​</w:t>
            </w:r>
          </w:p>
        </w:tc>
        <w:tc>
          <w:tcPr>
            <w:tcW w:w="922"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62" w:type="dxa"/>
            <w:tcBorders/>
            <w:vAlign w:val="center"/>
          </w:tcPr>
          <w:p>
            <w:pPr>
              <w:pStyle w:val="TableContents"/>
              <w:bidi w:val="0"/>
              <w:spacing w:before="0" w:after="0"/>
              <w:ind w:left="0" w:right="0" w:hanging="0"/>
              <w:jc w:val="left"/>
              <w:rPr/>
            </w:pPr>
            <w:r>
              <w:rPr/>
              <w:t>​</w:t>
            </w:r>
          </w:p>
        </w:tc>
        <w:tc>
          <w:tcPr>
            <w:tcW w:w="89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57" w:type="dxa"/>
            <w:tcBorders/>
            <w:vAlign w:val="center"/>
          </w:tcPr>
          <w:p>
            <w:pPr>
              <w:pStyle w:val="TableContents"/>
              <w:bidi w:val="0"/>
              <w:spacing w:before="0" w:after="0"/>
              <w:ind w:left="0" w:right="0" w:hanging="0"/>
              <w:jc w:val="left"/>
              <w:rPr/>
            </w:pPr>
            <w:r>
              <w:rPr/>
              <w:t>​</w:t>
            </w:r>
          </w:p>
        </w:tc>
        <w:tc>
          <w:tcPr>
            <w:tcW w:w="94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4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gain (loss) recognized during the period on equity securities still held at the reporting date</w:t>
            </w:r>
          </w:p>
        </w:tc>
        <w:tc>
          <w:tcPr>
            <w:tcW w:w="326" w:type="dxa"/>
            <w:tcBorders/>
            <w:shd w:fill="CCEEFF" w:val="clear"/>
            <w:vAlign w:val="center"/>
          </w:tcPr>
          <w:p>
            <w:pPr>
              <w:pStyle w:val="TableContents"/>
              <w:bidi w:val="0"/>
              <w:spacing w:before="0" w:after="0"/>
              <w:ind w:left="0" w:right="0" w:hanging="0"/>
              <w:jc w:val="left"/>
              <w:rPr/>
            </w:pPr>
            <w:r>
              <w:rPr/>
              <w:t>​</w:t>
            </w:r>
          </w:p>
        </w:tc>
        <w:tc>
          <w:tcPr>
            <w:tcW w:w="54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109"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(2,726)</w:t>
            </w:r>
          </w:p>
        </w:tc>
        <w:tc>
          <w:tcPr>
            <w:tcW w:w="109" w:type="dxa"/>
            <w:tcBorders/>
            <w:shd w:fill="CCEEFF" w:val="clear"/>
            <w:vAlign w:val="center"/>
          </w:tcPr>
          <w:p>
            <w:pPr>
              <w:pStyle w:val="TableContents"/>
              <w:bidi w:val="0"/>
              <w:spacing w:before="0" w:after="0"/>
              <w:ind w:left="0" w:right="0" w:hanging="0"/>
              <w:jc w:val="left"/>
              <w:rPr/>
            </w:pPr>
            <w:r>
              <w:rPr/>
              <w:t>​</w:t>
            </w:r>
          </w:p>
        </w:tc>
        <w:tc>
          <w:tcPr>
            <w:tcW w:w="3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(2,712)</w:t>
            </w:r>
          </w:p>
        </w:tc>
        <w:tc>
          <w:tcPr>
            <w:tcW w:w="109" w:type="dxa"/>
            <w:tcBorders/>
            <w:shd w:fill="CCEEFF" w:val="clear"/>
            <w:vAlign w:val="center"/>
          </w:tcPr>
          <w:p>
            <w:pPr>
              <w:pStyle w:val="TableContents"/>
              <w:bidi w:val="0"/>
              <w:spacing w:before="0" w:after="0"/>
              <w:ind w:left="0" w:right="0" w:hanging="0"/>
              <w:jc w:val="left"/>
              <w:rPr/>
            </w:pPr>
            <w:r>
              <w:rPr/>
              <w:t>​</w:t>
            </w:r>
          </w:p>
        </w:tc>
        <w:tc>
          <w:tcPr>
            <w:tcW w:w="35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86" w:name="Tc_qDA7KNhAoECKUIc-YywcJQ_9_11"/>
      <w:bookmarkStart w:id="1387" w:name="Tc_08P5h03kPU6A8H3z8zZLhQ_9_9"/>
      <w:bookmarkStart w:id="1388" w:name="Tc_df8tzBtUWUSDnSeAtSRVhA_9_8"/>
      <w:bookmarkStart w:id="1389" w:name="Tc_Gs8BHp_hoEiMexf944NoIw_9_5"/>
      <w:bookmarkStart w:id="1390" w:name="Tc_G2Pex-RXeEK5vuei1jexhA_9_2"/>
      <w:bookmarkStart w:id="1391" w:name="Tc_IobFNWe7lUmW9zV_6_dmGg_9_0"/>
      <w:bookmarkStart w:id="1392" w:name="Tc_5alMYpoEjUyqqpNlVq4Z4Q_8_9"/>
      <w:bookmarkStart w:id="1393" w:name="Tc_y_iYJA7ElkGhg9enO5Kq1Q_8_3"/>
      <w:bookmarkStart w:id="1394" w:name="Tc_RhtI6D_epk6tM3ydmNSGgQ_8_0"/>
      <w:bookmarkStart w:id="1395" w:name="Tc_E7AAJ1DKukSkIRBCCqZJSw_7_11"/>
      <w:bookmarkStart w:id="1396" w:name="Tc_Q9L1HVpqxk-wKwq4G3f8xQ_7_9"/>
      <w:bookmarkStart w:id="1397" w:name="Tc_KnyJLUf4eEaj-n7mdc1vSA_7_8"/>
      <w:bookmarkStart w:id="1398" w:name="Tc_CUece5UEUU-YgjGu2MUi-A_7_6"/>
      <w:bookmarkStart w:id="1399" w:name="Tc_1pihyQu6NEOFqKedUp-vfA_7_5"/>
      <w:bookmarkStart w:id="1400" w:name="Tc_x9dWP9pRL0-5tMixJM-2Kg_7_2"/>
      <w:bookmarkStart w:id="1401" w:name="Tc_e6WXWWbrYUyI4SITlEdbwg_7_0"/>
      <w:bookmarkStart w:id="1402" w:name="Tc_oh6FuQwTIUm31bt2js_09g_6_11"/>
      <w:bookmarkStart w:id="1403" w:name="Tc_wekVJFtuCEewNkp9wyE3tg_6_8"/>
      <w:bookmarkStart w:id="1404" w:name="Tc_BF9U_9tv00qxfU6DVGhPAA_6_5"/>
      <w:bookmarkStart w:id="1405" w:name="Tc_DM0ttGtD1Em7oNNEz10jcg_6_2"/>
      <w:bookmarkStart w:id="1406" w:name="Tc_ex7gtjVE_0KmQXLgvolpZQ_6_0"/>
      <w:bookmarkStart w:id="1407" w:name="Tc_ZrI_M3AQN0mUa_04d2rHYQ_5_8"/>
      <w:bookmarkStart w:id="1408" w:name="Tc_EkrEajK5tUav7Pn8Et_qkw_5_5"/>
      <w:bookmarkStart w:id="1409" w:name="Tc_K1g1AAlZ9USGOc_DYsE1aA_5_2"/>
      <w:bookmarkStart w:id="1410" w:name="Tc_sX8IaLLGhUSRxOs0P4I_pA_4_8"/>
      <w:bookmarkStart w:id="1411" w:name="Tc_4NzYk1roUkqTK-OChYaJRQ_4_5"/>
      <w:bookmarkStart w:id="1412" w:name="Tc_HMaUowaQlUCy6hr3hnb3lA_4_2"/>
      <w:bookmarkStart w:id="1413" w:name="Tc_YDxGs5laJ0-Wrz8ok_sh5g_3_8"/>
      <w:bookmarkStart w:id="1414" w:name="Tc_AyoCufNSwUe9Y72Bsa9rIQ_3_5"/>
      <w:bookmarkStart w:id="1415" w:name="Tc_OqLbP5QIyUOA3hJ-sVFuIg_3_2"/>
      <w:bookmarkStart w:id="1416" w:name="Tc_VQzigkooIEGIIDjaxoYv9Q_2_5"/>
      <w:bookmarkStart w:id="1417" w:name="Tc_yzdPUWCU3Uq3rszwR9xKzw_1_2"/>
      <w:bookmarkStart w:id="1418" w:name="_2fdeeab2_2e17_4906_8fab_bb972664d432"/>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bookmarkEnd w:id="1412"/>
      <w:bookmarkEnd w:id="1413"/>
      <w:bookmarkEnd w:id="1414"/>
      <w:bookmarkEnd w:id="1415"/>
      <w:bookmarkEnd w:id="1416"/>
      <w:bookmarkEnd w:id="1417"/>
      <w:bookmarkEnd w:id="1418"/>
      <w:r>
        <w:rPr>
          <w:rFonts w:ascii="Times New Roman;Times;serif" w:hAnsi="Times New Roman;Times;serif"/>
          <w:b/>
          <w:sz w:val="20"/>
        </w:rPr>
        <w:t>3. Fair Value Measurements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pStyle w:val="TextBody"/>
        <w:bidi w:val="0"/>
        <w:spacing w:before="0" w:after="0"/>
        <w:ind w:left="0" w:right="0" w:hanging="0"/>
        <w:jc w:val="left"/>
        <w:rPr/>
      </w:pPr>
      <w:r>
        <w:rPr/>
        <w:t>​</w:t>
      </w:r>
    </w:p>
    <w:p>
      <w:pPr>
        <w:pStyle w:val="TextBody"/>
        <w:bidi w:val="0"/>
        <w:ind w:left="0" w:right="0" w:hanging="0"/>
        <w:jc w:val="left"/>
        <w:rPr/>
      </w:pPr>
      <w:r>
        <w:rPr/>
        <w:t>●</w:t>
      </w:r>
      <w:r>
        <w:rPr>
          <w:rFonts w:ascii="Times New Roman;Times;serif" w:hAnsi="Times New Roman;Times;serif"/>
          <w:sz w:val="20"/>
        </w:rPr>
        <w:t>Level 1—Inputs to the valuation based upon quoted prices (unadjusted) for identical assets or liabilities in active markets that are accessible as of the measurement date.</w:t>
      </w:r>
    </w:p>
    <w:p>
      <w:pPr>
        <w:pStyle w:val="TextBody"/>
        <w:pBdr/>
        <w:bidi w:val="0"/>
        <w:spacing w:before="0" w:after="0"/>
        <w:ind w:left="0" w:right="0" w:hanging="360"/>
        <w:jc w:val="left"/>
        <w:rPr/>
      </w:pPr>
      <w:r>
        <w:rPr/>
        <w:t>​</w:t>
      </w:r>
    </w:p>
    <w:p>
      <w:pPr>
        <w:pStyle w:val="TextBody"/>
        <w:bidi w:val="0"/>
        <w:ind w:left="0" w:right="0" w:hanging="0"/>
        <w:jc w:val="left"/>
        <w:rPr/>
      </w:pPr>
      <w:r>
        <w:rPr/>
        <w:t>●</w:t>
      </w:r>
      <w:r>
        <w:rPr>
          <w:rFonts w:ascii="Times New Roman;Times;serif" w:hAnsi="Times New Roman;Times;serif"/>
          <w:sz w:val="20"/>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pStyle w:val="TextBody"/>
        <w:pBdr/>
        <w:bidi w:val="0"/>
        <w:spacing w:before="0" w:after="0"/>
        <w:ind w:left="0" w:right="0" w:hanging="360"/>
        <w:jc w:val="left"/>
        <w:rPr/>
      </w:pPr>
      <w:r>
        <w:rPr/>
        <w:t>​</w:t>
      </w:r>
    </w:p>
    <w:p>
      <w:pPr>
        <w:pStyle w:val="TextBody"/>
        <w:bidi w:val="0"/>
        <w:ind w:left="0" w:right="0" w:hanging="0"/>
        <w:jc w:val="left"/>
        <w:rPr/>
      </w:pPr>
      <w:r>
        <w:rPr/>
        <w:t>●</w:t>
      </w:r>
      <w:r>
        <w:rPr>
          <w:rFonts w:ascii="Times New Roman;Times;serif" w:hAnsi="Times New Roman;Times;serif"/>
          <w:sz w:val="20"/>
        </w:rPr>
        <w:t>Level 3—Inputs to the valuation that are unobservable inputs for the asset or liability.</w:t>
      </w:r>
    </w:p>
    <w:p>
      <w:pPr>
        <w:pStyle w:val="TextBody"/>
        <w:pBdr/>
        <w:bidi w:val="0"/>
        <w:spacing w:before="0" w:after="0"/>
        <w:ind w:left="0" w:right="0" w:hanging="1181"/>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financial assets measured at fair value on a recurring basis at January 27, 2024, were as follows (in thousands):</w:t>
      </w:r>
    </w:p>
    <w:p>
      <w:pPr>
        <w:pStyle w:val="TextBody"/>
        <w:pBdr/>
        <w:bidi w:val="0"/>
        <w:spacing w:before="0" w:after="0"/>
        <w:ind w:left="0" w:right="0" w:hanging="1181"/>
        <w:jc w:val="left"/>
        <w:rPr/>
      </w:pPr>
      <w:r>
        <w:rPr/>
        <w:t>​</w:t>
      </w:r>
    </w:p>
    <w:tbl>
      <w:tblPr>
        <w:tblW w:w="7119" w:type="dxa"/>
        <w:jc w:val="left"/>
        <w:tblInd w:w="0" w:type="dxa"/>
        <w:tblLayout w:type="fixed"/>
        <w:tblCellMar>
          <w:top w:w="0" w:type="dxa"/>
          <w:left w:w="0" w:type="dxa"/>
          <w:bottom w:w="0" w:type="dxa"/>
          <w:right w:w="0" w:type="dxa"/>
        </w:tblCellMar>
      </w:tblPr>
      <w:tblGrid>
        <w:gridCol w:w="1486"/>
        <w:gridCol w:w="326"/>
        <w:gridCol w:w="388"/>
        <w:gridCol w:w="1053"/>
        <w:gridCol w:w="326"/>
        <w:gridCol w:w="295"/>
        <w:gridCol w:w="591"/>
        <w:gridCol w:w="326"/>
        <w:gridCol w:w="403"/>
        <w:gridCol w:w="663"/>
        <w:gridCol w:w="326"/>
        <w:gridCol w:w="211"/>
        <w:gridCol w:w="571"/>
        <w:gridCol w:w="154"/>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943610" cy="175260"/>
                      <wp:effectExtent l="0" t="0" r="0" b="0"/>
                      <wp:wrapNone/>
                      <wp:docPr id="188" name="Frame188"/>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46380" cy="175260"/>
                      <wp:effectExtent l="0" t="0" r="0" b="0"/>
                      <wp:wrapNone/>
                      <wp:docPr id="190" name="Frame190"/>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68655" cy="175260"/>
                      <wp:effectExtent l="0" t="0" r="0" b="0"/>
                      <wp:wrapNone/>
                      <wp:docPr id="191" name="Frame191"/>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2"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187325" cy="175260"/>
                      <wp:effectExtent l="0" t="0" r="0" b="0"/>
                      <wp:wrapNone/>
                      <wp:docPr id="193" name="Frame193"/>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375285" cy="175260"/>
                      <wp:effectExtent l="0" t="0" r="0" b="0"/>
                      <wp:wrapNone/>
                      <wp:docPr id="194" name="Frame194"/>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5" name="Frame1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55905" cy="175260"/>
                      <wp:effectExtent l="0" t="0" r="0" b="0"/>
                      <wp:wrapNone/>
                      <wp:docPr id="196" name="Frame19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421005" cy="175260"/>
                      <wp:effectExtent l="0" t="0" r="0" b="0"/>
                      <wp:wrapNone/>
                      <wp:docPr id="197" name="Frame197"/>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8"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33985" cy="175260"/>
                      <wp:effectExtent l="0" t="0" r="0" b="0"/>
                      <wp:wrapNone/>
                      <wp:docPr id="199" name="Frame1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362585" cy="175260"/>
                      <wp:effectExtent l="0" t="0" r="0" b="0"/>
                      <wp:wrapNone/>
                      <wp:docPr id="200" name="Frame20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97790" cy="175260"/>
                      <wp:effectExtent l="0" t="0" r="0" b="0"/>
                      <wp:wrapNone/>
                      <wp:docPr id="201" name="Frame201"/>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5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154" w:type="dxa"/>
            <w:tcBorders/>
            <w:vAlign w:val="center"/>
          </w:tcPr>
          <w:p>
            <w:pPr>
              <w:pStyle w:val="TableContents"/>
              <w:bidi w:val="0"/>
              <w:spacing w:before="0" w:after="0"/>
              <w:ind w:left="0" w:right="0" w:hanging="0"/>
              <w:jc w:val="left"/>
              <w:rPr/>
            </w:pPr>
            <w:r>
              <w:rPr/>
              <w:t>​</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2,065</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419" w:name="Tc_C1a5-wZW1E6RKetC9B30sQ_14_3"/>
      <w:bookmarkStart w:id="1420" w:name="Tc_w6eztXcRPkmPuBVrSrWkHg_14_2"/>
      <w:bookmarkStart w:id="1421" w:name="Tc_9lECSMHNU0eiCAgDa0g1RA_14_0"/>
      <w:bookmarkStart w:id="1422" w:name="Tc_iX1VGTCUVEaV1HeiQuuY6A_13_3"/>
      <w:bookmarkStart w:id="1423" w:name="Tc_GwEQs0tL80CCn0pGwSO6vQ_13_2"/>
      <w:bookmarkStart w:id="1424" w:name="Tc_TJsKEaGJckmvXCfNiEgcgg_13_0"/>
      <w:bookmarkStart w:id="1425" w:name="Tc_xymYZWRa5UKSkmxJYzNF9w_12_0"/>
      <w:bookmarkStart w:id="1426" w:name="Tc_kE2aJnyx3kytQccdNbeQMw_10_0"/>
      <w:bookmarkStart w:id="1427" w:name="Tc_D4Pa-dPWuU6VKRPyegfDCg_9_3"/>
      <w:bookmarkStart w:id="1428" w:name="Tc_47QpgDErSE6DgMtWz1ERAw_9_0"/>
      <w:bookmarkStart w:id="1429" w:name="Tc_qQzzVTnCaUaUFJhkJt7QOg_8_3"/>
      <w:bookmarkStart w:id="1430" w:name="Tc_d-bV5YIaXkO4WVvxNxhWFQ_8_0"/>
      <w:bookmarkStart w:id="1431" w:name="Tc_7cpqUQaBZ0ewGm8G76WB0w_7_2"/>
      <w:bookmarkStart w:id="1432" w:name="Tc_bv5SpnjtNku8VrQvDeNSNw_7_0"/>
      <w:bookmarkStart w:id="1433" w:name="Tc_hEDj0DLrWkaM2PJEaGwahg_6_2"/>
      <w:bookmarkStart w:id="1434" w:name="Tc_8ufTcO-T90GE1WGiNexdnw_6_0"/>
      <w:bookmarkStart w:id="1435" w:name="Tc_xDesKePYJ0abRQHbcrSTAQ_5_3"/>
      <w:bookmarkStart w:id="1436" w:name="Tc_KsWyzCBJUE640R0olUx8zA_4_2"/>
      <w:bookmarkStart w:id="1437" w:name="Tc_qCw0N7gn0EuoQkyE9HPN5Q_3_2"/>
      <w:bookmarkStart w:id="1438" w:name="Tc_Po2xfTRMNkybDALEp0bSNw_2_2"/>
      <w:bookmarkStart w:id="1439" w:name="Tc_6nwawbJQiEmSGXMG2KRqBA_1_2"/>
      <w:bookmarkStart w:id="1440" w:name="_9fdb7e85_e292_4a0c_b8da_9fbd25b5a752"/>
      <w:bookmarkStart w:id="1441" w:name="Tc_bcsC9AfLkk-FN6WPQuK7zQ_8_11"/>
      <w:bookmarkStart w:id="1442" w:name="Tc_Hyam0wShpE61Of4hqMwkYw_8_8"/>
      <w:bookmarkStart w:id="1443" w:name="Tc_Q-atWiz4nkSE5BBFTaE8ug_8_6"/>
      <w:bookmarkStart w:id="1444" w:name="Tc_g_jNW4jUeEKK499qKRDvGw_8_5"/>
      <w:bookmarkStart w:id="1445" w:name="Tc_WYDgJPFPpkGGz0jGngbV-g_8_3"/>
      <w:bookmarkStart w:id="1446" w:name="Tc_PvAp03CTVkq8Iz8q-vtKqg_8_2"/>
      <w:bookmarkStart w:id="1447" w:name="Tc_Oq87QSQoLU6lyUmPafCmgg_8_0"/>
      <w:bookmarkStart w:id="1448" w:name="Tc_LJ_JW6I6xEKilTeuu8_B1g_7_11"/>
      <w:bookmarkStart w:id="1449" w:name="Tc_-h7Gi0naVkKZXZDj_ul-aw_7_8"/>
      <w:bookmarkStart w:id="1450" w:name="Tc_kQvDZM8BcEeL8HNrvxWmOA_7_6"/>
      <w:bookmarkStart w:id="1451" w:name="Tc__zT2KEQHbkWk9gwiEQjrCw_7_5"/>
      <w:bookmarkStart w:id="1452" w:name="Tc_2Zu6dyblH0KJGntS4lgJlg_7_3"/>
      <w:bookmarkStart w:id="1453" w:name="Tc_T08aZy4kNEW_KrOL8QpC3Q_7_2"/>
      <w:bookmarkStart w:id="1454" w:name="Tc_Vs4noeswqk-hQP6X32K7sA_7_0"/>
      <w:bookmarkStart w:id="1455" w:name="Tc_ihx6bVvi4UiW-ThTk_7wjQ_6_11"/>
      <w:bookmarkStart w:id="1456" w:name="Tc_9ljAoREzOEaB7iiUHNVpZg_6_8"/>
      <w:bookmarkStart w:id="1457" w:name="Tc_oPj95lfQo0WshuaquP811Q_6_5"/>
      <w:bookmarkStart w:id="1458" w:name="Tc_8LYYFz--d0S-YLUpnbNeng_6_2"/>
      <w:bookmarkStart w:id="1459" w:name="Tc_RLCPvgwUO0C6q2NNoxffhw_6_0"/>
      <w:bookmarkStart w:id="1460" w:name="Tc_FRNR_0KUq0Oeg_j9CpQ5bA_5_8"/>
      <w:bookmarkStart w:id="1461" w:name="Tc_DG-Qa5vMwk-6ee7WcBCy8w_5_5"/>
      <w:bookmarkStart w:id="1462" w:name="Tc_EX1gbuhcekil2JQcllnzvA_5_2"/>
      <w:bookmarkStart w:id="1463" w:name="Tc_6FW-AnLE5ka8kv4kIeZqDw_4_8"/>
      <w:bookmarkStart w:id="1464" w:name="Tc_ZnK0mWujc0Ouy0PXL4Cv1Q_4_5"/>
      <w:bookmarkStart w:id="1465" w:name="Tc_N-Odt6_E8UCwpoIELaMbMw_4_2"/>
      <w:bookmarkStart w:id="1466" w:name="Tc_GnUY-0S-UUirJcF2Ttv6Xg_3_8"/>
      <w:bookmarkStart w:id="1467" w:name="Tc_KQUhOz2uqEiMgMCjThP9Rw_3_5"/>
      <w:bookmarkStart w:id="1468" w:name="Tc_sl-nwFgxZE6V23EqSoVnvQ_3_2"/>
      <w:bookmarkStart w:id="1469" w:name="Tc_q7M0nLJ_eE-BFq4JnWfQeQ_2_5"/>
      <w:bookmarkStart w:id="1470" w:name="Tc_sd9zSU3AkEWhm0Zmn2ytuQ_1_2"/>
      <w:bookmarkStart w:id="1471" w:name="_a4a52ca3_84de_4452_943d_49f1c3ce6838"/>
      <w:bookmarkStart w:id="1472" w:name="Tc_4hqbUIRMjEKg8_MsemMhKA_9_11"/>
      <w:bookmarkStart w:id="1473" w:name="Tc_v1SkCLvLGESZDdVzuZCS6Q_9_9"/>
      <w:bookmarkStart w:id="1474" w:name="Tc_UcyaDPISo0-OM14ba1Dmjw_9_8"/>
      <w:bookmarkStart w:id="1475" w:name="Tc_u7HefGdYLEecExmwTkrKeA_9_5"/>
      <w:bookmarkStart w:id="1476" w:name="Tc_VgPNPkR7PkWsBXwVF8Hyvg_9_2"/>
      <w:bookmarkStart w:id="1477" w:name="Tc__e3cB2Imx0Oq9CUkKx_yYA_9_0"/>
      <w:bookmarkStart w:id="1478" w:name="Tc_1Xbkb2RBEki1VUKvvmu1kw_8_9"/>
      <w:bookmarkStart w:id="1479" w:name="Tc_EWjB8ZtH7ECqzBzlpwZRTg_8_3"/>
      <w:bookmarkStart w:id="1480" w:name="Tc_gfADNn06N0C4jhP4hozm_w_8_0"/>
      <w:bookmarkStart w:id="1481" w:name="Tc_KvgOSCqVKEGK0iHUFCTovA_7_11"/>
      <w:bookmarkStart w:id="1482" w:name="Tc_9LJCugMNq0OwXSaK8oW6bQ_7_9"/>
      <w:bookmarkStart w:id="1483" w:name="Tc_uuQ8V3ZMr0WZkXxJimJfFw_7_8"/>
      <w:bookmarkStart w:id="1484" w:name="Tc_ro_kylrxNkiwstNkNpNjEg_7_6"/>
      <w:bookmarkStart w:id="1485" w:name="Tc_tYjOZNtDLUWx3OwRAoGAkg_7_5"/>
      <w:bookmarkStart w:id="1486" w:name="Tc_G6QrC1HT40esrNmfAhNbYA_7_2"/>
      <w:bookmarkStart w:id="1487" w:name="Tc_ElhIVYTMSECvsrdK8WzqMA_7_0"/>
      <w:bookmarkStart w:id="1488" w:name="Tc_N8eJ7Blei0KBEEZm39BfRA_6_11"/>
      <w:bookmarkStart w:id="1489" w:name="Tc_rrLLvt49aU-GjbfA0GHevw_6_8"/>
      <w:bookmarkStart w:id="1490" w:name="Tc_8gnT1TC69EWfwHIYC-vvZA_6_5"/>
      <w:bookmarkStart w:id="1491" w:name="Tc_Q7mNjhVmFEK7D4slQpgODA_6_2"/>
      <w:bookmarkStart w:id="1492" w:name="Tc_EuJXghtylkmdzeBoK953Ug_6_0"/>
      <w:bookmarkStart w:id="1493" w:name="Tc_Jp1nP_oL-kK4IJy-PG176Q_5_8"/>
      <w:bookmarkStart w:id="1494" w:name="Tc_37SSX_ihiky8RyM4xmxh9A_5_5"/>
      <w:bookmarkStart w:id="1495" w:name="Tc_SwJggJ7m0kenJol9NqWPAw_5_2"/>
      <w:bookmarkStart w:id="1496" w:name="Tc_t1K8MFs9PECpbRMGY4k_Pg_4_8"/>
      <w:bookmarkStart w:id="1497" w:name="Tc_z190snougU68hgap7mK1rw_4_5"/>
      <w:bookmarkStart w:id="1498" w:name="Tc_F8AkORy86UC8j-y8eJGOYg_4_2"/>
      <w:bookmarkStart w:id="1499" w:name="Tc_ZBxdQ2vH_0-a_Uc5n3lL_Q_3_8"/>
      <w:bookmarkStart w:id="1500" w:name="Tc_o07xVbe8m0ytzJJFpH5KMA_3_5"/>
      <w:bookmarkStart w:id="1501" w:name="Tc_FchNRrdlJEy2M1r4Bsai1w_3_2"/>
      <w:bookmarkStart w:id="1502" w:name="Tc_ZjlteyAEg0a6--hLIRW7qw_2_5"/>
      <w:bookmarkStart w:id="1503" w:name="Tc_hDm3Ak578U-8_9oPfPOoAg_1_2"/>
      <w:bookmarkStart w:id="1504" w:name="_a5d01049_ca61_4ae1_b2ff_f2facdbf5712"/>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r>
        <w:rPr>
          <w:rFonts w:ascii="Times New Roman;Times;serif" w:hAnsi="Times New Roman;Times;serif"/>
          <w:sz w:val="20"/>
        </w:rPr>
        <w:t>The Company had no financial liabilities measured at fair value on a recurring basis at January 27,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financial assets measured at fair value on a recurring basis at April 30, 2023, were as follows (in thousands):</w:t>
      </w:r>
    </w:p>
    <w:p>
      <w:pPr>
        <w:pStyle w:val="TextBody"/>
        <w:bidi w:val="0"/>
        <w:spacing w:before="0" w:after="0"/>
        <w:ind w:left="0" w:right="0" w:hanging="0"/>
        <w:jc w:val="left"/>
        <w:rPr/>
      </w:pPr>
      <w:r>
        <w:rPr/>
        <w:t>​</w:t>
      </w:r>
    </w:p>
    <w:tbl>
      <w:tblPr>
        <w:tblW w:w="7070" w:type="dxa"/>
        <w:jc w:val="left"/>
        <w:tblInd w:w="0" w:type="dxa"/>
        <w:tblLayout w:type="fixed"/>
        <w:tblCellMar>
          <w:top w:w="0" w:type="dxa"/>
          <w:left w:w="0" w:type="dxa"/>
          <w:bottom w:w="0" w:type="dxa"/>
          <w:right w:w="0" w:type="dxa"/>
        </w:tblCellMar>
      </w:tblPr>
      <w:tblGrid>
        <w:gridCol w:w="1486"/>
        <w:gridCol w:w="326"/>
        <w:gridCol w:w="388"/>
        <w:gridCol w:w="1053"/>
        <w:gridCol w:w="326"/>
        <w:gridCol w:w="295"/>
        <w:gridCol w:w="591"/>
        <w:gridCol w:w="326"/>
        <w:gridCol w:w="403"/>
        <w:gridCol w:w="663"/>
        <w:gridCol w:w="326"/>
        <w:gridCol w:w="211"/>
        <w:gridCol w:w="67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943610" cy="175260"/>
                      <wp:effectExtent l="0" t="0" r="0" b="0"/>
                      <wp:wrapNone/>
                      <wp:docPr id="202" name="Frame202"/>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46380" cy="175260"/>
                      <wp:effectExtent l="0" t="0" r="0" b="0"/>
                      <wp:wrapNone/>
                      <wp:docPr id="204" name="Frame204"/>
                      <a:graphic xmlns:a="http://schemas.openxmlformats.org/drawingml/2006/main">
                        <a:graphicData uri="http://schemas.microsoft.com/office/word/2010/wordprocessingShape">
                          <wps:wsp>
                            <wps:cNvSpPr txBox="1"/>
                            <wps:spPr>
                              <a:xfrm>
                                <a:off x="0" y="0"/>
                                <a:ext cx="2463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68655" cy="175260"/>
                      <wp:effectExtent l="0" t="0" r="0" b="0"/>
                      <wp:wrapNone/>
                      <wp:docPr id="205" name="Frame205"/>
                      <a:graphic xmlns:a="http://schemas.openxmlformats.org/drawingml/2006/main">
                        <a:graphicData uri="http://schemas.microsoft.com/office/word/2010/wordprocessingShape">
                          <wps:wsp>
                            <wps:cNvSpPr txBox="1"/>
                            <wps:spPr>
                              <a:xfrm>
                                <a:off x="0" y="0"/>
                                <a:ext cx="668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87325" cy="175260"/>
                      <wp:effectExtent l="0" t="0" r="0" b="0"/>
                      <wp:wrapNone/>
                      <wp:docPr id="207" name="Frame20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375285" cy="175260"/>
                      <wp:effectExtent l="0" t="0" r="0" b="0"/>
                      <wp:wrapNone/>
                      <wp:docPr id="208" name="Frame208"/>
                      <a:graphic xmlns:a="http://schemas.openxmlformats.org/drawingml/2006/main">
                        <a:graphicData uri="http://schemas.microsoft.com/office/word/2010/wordprocessingShape">
                          <wps:wsp>
                            <wps:cNvSpPr txBox="1"/>
                            <wps:spPr>
                              <a:xfrm>
                                <a:off x="0" y="0"/>
                                <a:ext cx="37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07010" cy="175260"/>
                      <wp:effectExtent l="0" t="0" r="0" b="0"/>
                      <wp:wrapNone/>
                      <wp:docPr id="209"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55905" cy="175260"/>
                      <wp:effectExtent l="0" t="0" r="0" b="0"/>
                      <wp:wrapNone/>
                      <wp:docPr id="210" name="Frame210"/>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21005" cy="175260"/>
                      <wp:effectExtent l="0" t="0" r="0" b="0"/>
                      <wp:wrapNone/>
                      <wp:docPr id="211" name="Frame211"/>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07010" cy="175260"/>
                      <wp:effectExtent l="0" t="0" r="0" b="0"/>
                      <wp:wrapNone/>
                      <wp:docPr id="212" name="Frame2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33985" cy="175260"/>
                      <wp:effectExtent l="0" t="0" r="0" b="0"/>
                      <wp:wrapNone/>
                      <wp:docPr id="213" name="Frame2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29260" cy="175260"/>
                      <wp:effectExtent l="0" t="0" r="0" b="0"/>
                      <wp:wrapNone/>
                      <wp:docPr id="214" name="Frame2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58"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388" w:type="dxa"/>
            <w:tcBorders/>
            <w:vAlign w:val="center"/>
          </w:tcPr>
          <w:p>
            <w:pPr>
              <w:pStyle w:val="TableContents"/>
              <w:bidi w:val="0"/>
              <w:spacing w:before="0" w:after="0"/>
              <w:ind w:left="0" w:right="0" w:hanging="0"/>
              <w:jc w:val="left"/>
              <w:rPr/>
            </w:pPr>
            <w:r>
              <w:rPr/>
              <w:t>​</w:t>
            </w:r>
          </w:p>
        </w:tc>
        <w:tc>
          <w:tcPr>
            <w:tcW w:w="105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    </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center"/>
              <w:rPr/>
            </w:pPr>
            <w:r>
              <w:rPr/>
              <w:t>​</w:t>
            </w:r>
          </w:p>
        </w:tc>
      </w:tr>
      <w:tr>
        <w:trPr/>
        <w:tc>
          <w:tcPr>
            <w:tcW w:w="14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Warrants</w:t>
            </w:r>
          </w:p>
        </w:tc>
        <w:tc>
          <w:tcPr>
            <w:tcW w:w="326" w:type="dxa"/>
            <w:tcBorders/>
            <w:vAlign w:val="center"/>
          </w:tcPr>
          <w:p>
            <w:pPr>
              <w:pStyle w:val="TableContents"/>
              <w:bidi w:val="0"/>
              <w:spacing w:before="0" w:after="0"/>
              <w:ind w:left="0" w:right="0" w:hanging="0"/>
              <w:jc w:val="left"/>
              <w:rPr/>
            </w:pPr>
            <w:r>
              <w:rPr/>
              <w:t>​</w:t>
            </w:r>
          </w:p>
        </w:tc>
        <w:tc>
          <w:tcPr>
            <w:tcW w:w="388" w:type="dxa"/>
            <w:tcBorders/>
            <w:vAlign w:val="center"/>
          </w:tcPr>
          <w:p>
            <w:pPr>
              <w:pStyle w:val="TableContents"/>
              <w:bidi w:val="0"/>
              <w:spacing w:before="0" w:after="0"/>
              <w:ind w:left="0" w:right="0" w:hanging="0"/>
              <w:jc w:val="left"/>
              <w:rPr/>
            </w:pPr>
            <w:r>
              <w:rPr/>
              <w:t>​</w:t>
            </w:r>
          </w:p>
        </w:tc>
        <w:tc>
          <w:tcPr>
            <w:tcW w:w="105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95" w:type="dxa"/>
            <w:tcBorders/>
            <w:vAlign w:val="center"/>
          </w:tcPr>
          <w:p>
            <w:pPr>
              <w:pStyle w:val="TableContents"/>
              <w:bidi w:val="0"/>
              <w:spacing w:before="0" w:after="0"/>
              <w:ind w:left="0" w:right="0" w:hanging="0"/>
              <w:jc w:val="left"/>
              <w:rPr/>
            </w:pPr>
            <w:r>
              <w:rPr/>
              <w:t>​</w:t>
            </w:r>
          </w:p>
        </w:tc>
        <w:tc>
          <w:tcPr>
            <w:tcW w:w="5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66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3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4,714</w:t>
            </w:r>
          </w:p>
        </w:tc>
        <w:tc>
          <w:tcPr>
            <w:tcW w:w="326" w:type="dxa"/>
            <w:tcBorders/>
            <w:shd w:fill="CCEEFF" w:val="clear"/>
            <w:vAlign w:val="center"/>
          </w:tcPr>
          <w:p>
            <w:pPr>
              <w:pStyle w:val="TableContents"/>
              <w:bidi w:val="0"/>
              <w:spacing w:before="0" w:after="0"/>
              <w:ind w:left="0" w:right="0" w:hanging="0"/>
              <w:jc w:val="left"/>
              <w:rPr/>
            </w:pPr>
            <w:r>
              <w:rPr/>
              <w:t>​</w:t>
            </w:r>
          </w:p>
        </w:tc>
        <w:tc>
          <w:tcPr>
            <w:tcW w:w="29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4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4,969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financial liabilities measured at fair value on a recurring basis at April 30, 2023, were as follows (in thousands):</w:t>
      </w:r>
    </w:p>
    <w:p>
      <w:pPr>
        <w:pStyle w:val="TextBody"/>
        <w:bidi w:val="0"/>
        <w:spacing w:before="0" w:after="0"/>
        <w:ind w:left="0" w:right="0" w:hanging="0"/>
        <w:jc w:val="left"/>
        <w:rPr/>
      </w:pPr>
      <w:r>
        <w:rPr/>
        <w:t>​</w:t>
      </w:r>
    </w:p>
    <w:tbl>
      <w:tblPr>
        <w:tblW w:w="7839" w:type="dxa"/>
        <w:jc w:val="left"/>
        <w:tblInd w:w="0" w:type="dxa"/>
        <w:tblLayout w:type="fixed"/>
        <w:tblCellMar>
          <w:top w:w="0" w:type="dxa"/>
          <w:left w:w="0" w:type="dxa"/>
          <w:bottom w:w="0" w:type="dxa"/>
          <w:right w:w="0" w:type="dxa"/>
        </w:tblCellMar>
      </w:tblPr>
      <w:tblGrid>
        <w:gridCol w:w="2206"/>
        <w:gridCol w:w="326"/>
        <w:gridCol w:w="545"/>
        <w:gridCol w:w="896"/>
        <w:gridCol w:w="326"/>
        <w:gridCol w:w="335"/>
        <w:gridCol w:w="551"/>
        <w:gridCol w:w="326"/>
        <w:gridCol w:w="287"/>
        <w:gridCol w:w="779"/>
        <w:gridCol w:w="326"/>
        <w:gridCol w:w="211"/>
        <w:gridCol w:w="571"/>
        <w:gridCol w:w="154"/>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400810" cy="175260"/>
                      <wp:effectExtent l="0" t="0" r="0" b="0"/>
                      <wp:wrapNone/>
                      <wp:docPr id="215" name="Frame21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07010" cy="175260"/>
                      <wp:effectExtent l="0" t="0" r="0" b="0"/>
                      <wp:wrapNone/>
                      <wp:docPr id="216"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346075" cy="175260"/>
                      <wp:effectExtent l="0" t="0" r="0" b="0"/>
                      <wp:wrapNone/>
                      <wp:docPr id="217" name="Frame217"/>
                      <a:graphic xmlns:a="http://schemas.openxmlformats.org/drawingml/2006/main">
                        <a:graphicData uri="http://schemas.microsoft.com/office/word/2010/wordprocessingShape">
                          <wps:wsp>
                            <wps:cNvSpPr txBox="1"/>
                            <wps:spPr>
                              <a:xfrm>
                                <a:off x="0" y="0"/>
                                <a:ext cx="346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568960" cy="175260"/>
                      <wp:effectExtent l="0" t="0" r="0" b="0"/>
                      <wp:wrapNone/>
                      <wp:docPr id="218" name="Frame21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2725" cy="175260"/>
                      <wp:effectExtent l="0" t="0" r="0" b="0"/>
                      <wp:wrapNone/>
                      <wp:docPr id="220" name="Frame220"/>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49885" cy="175260"/>
                      <wp:effectExtent l="0" t="0" r="0" b="0"/>
                      <wp:wrapNone/>
                      <wp:docPr id="221" name="Frame221"/>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82245" cy="175260"/>
                      <wp:effectExtent l="0" t="0" r="0" b="0"/>
                      <wp:wrapNone/>
                      <wp:docPr id="223" name="Frame223"/>
                      <a:graphic xmlns:a="http://schemas.openxmlformats.org/drawingml/2006/main">
                        <a:graphicData uri="http://schemas.microsoft.com/office/word/2010/wordprocessingShape">
                          <wps:wsp>
                            <wps:cNvSpPr txBox="1"/>
                            <wps:spPr>
                              <a:xfrm>
                                <a:off x="0" y="0"/>
                                <a:ext cx="182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94665" cy="175260"/>
                      <wp:effectExtent l="0" t="0" r="0" b="0"/>
                      <wp:wrapNone/>
                      <wp:docPr id="224" name="Frame22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207010" cy="175260"/>
                      <wp:effectExtent l="0" t="0" r="0" b="0"/>
                      <wp:wrapNone/>
                      <wp:docPr id="225" name="Frame2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33985" cy="175260"/>
                      <wp:effectExtent l="0" t="0" r="0" b="0"/>
                      <wp:wrapNone/>
                      <wp:docPr id="226" name="Frame2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362585" cy="175260"/>
                      <wp:effectExtent l="0" t="0" r="0" b="0"/>
                      <wp:wrapNone/>
                      <wp:docPr id="227" name="Frame2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97790" cy="175260"/>
                      <wp:effectExtent l="0" t="0" r="0" b="0"/>
                      <wp:wrapNone/>
                      <wp:docPr id="228" name="Frame228"/>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153" w:type="dxa"/>
            <w:gridSpan w:val="11"/>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Measurement Using</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45"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    </w:t>
            </w:r>
          </w:p>
        </w:tc>
        <w:tc>
          <w:tcPr>
            <w:tcW w:w="287"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Quoted prices in</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active markets for</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observable</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identical assets</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inputs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left"/>
              <w:rPr/>
            </w:pPr>
            <w:r>
              <w:rPr/>
              <w:t>​</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26" w:type="dxa"/>
            <w:tcBorders/>
            <w:vAlign w:val="center"/>
          </w:tcPr>
          <w:p>
            <w:pPr>
              <w:pStyle w:val="TableContents"/>
              <w:bidi w:val="0"/>
              <w:spacing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26" w:type="dxa"/>
            <w:tcBorders/>
            <w:vAlign w:val="center"/>
          </w:tcPr>
          <w:p>
            <w:pPr>
              <w:pStyle w:val="TableContents"/>
              <w:bidi w:val="0"/>
              <w:spacing w:before="0" w:after="0"/>
              <w:ind w:left="0" w:right="0" w:hanging="0"/>
              <w:jc w:val="left"/>
              <w:rPr/>
            </w:pPr>
            <w:r>
              <w:rPr/>
              <w:t>​</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Contingent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5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54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3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8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a reconciliation between the beginning and ending balances of items measured at fair value on a recurring basis that used significant unobservable inputs (Level 3)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097"/>
        <w:gridCol w:w="326"/>
        <w:gridCol w:w="328"/>
        <w:gridCol w:w="1263"/>
        <w:gridCol w:w="191"/>
      </w:tblGrid>
      <w:tr>
        <w:trPr/>
        <w:tc>
          <w:tcPr>
            <w:tcW w:w="80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141595" cy="175260"/>
                      <wp:effectExtent l="0" t="0" r="0" b="0"/>
                      <wp:wrapNone/>
                      <wp:docPr id="229" name="Frame229"/>
                      <a:graphic xmlns:a="http://schemas.openxmlformats.org/drawingml/2006/main">
                        <a:graphicData uri="http://schemas.microsoft.com/office/word/2010/wordprocessingShape">
                          <wps:wsp>
                            <wps:cNvSpPr txBox="1"/>
                            <wps:spPr>
                              <a:xfrm>
                                <a:off x="0" y="0"/>
                                <a:ext cx="5141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175260"/>
                      <wp:effectExtent l="0" t="0" r="0" b="0"/>
                      <wp:wrapNone/>
                      <wp:docPr id="230" name="Frame2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08280" cy="175260"/>
                      <wp:effectExtent l="0" t="0" r="0" b="0"/>
                      <wp:wrapNone/>
                      <wp:docPr id="231" name="Frame231"/>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02005" cy="175260"/>
                      <wp:effectExtent l="0" t="0" r="0" b="0"/>
                      <wp:wrapNone/>
                      <wp:docPr id="232" name="Frame232"/>
                      <a:graphic xmlns:a="http://schemas.openxmlformats.org/drawingml/2006/main">
                        <a:graphicData uri="http://schemas.microsoft.com/office/word/2010/wordprocessingShape">
                          <wps:wsp>
                            <wps:cNvSpPr txBox="1"/>
                            <wps:spPr>
                              <a:xfrm>
                                <a:off x="0" y="0"/>
                                <a:ext cx="802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1285" cy="175260"/>
                      <wp:effectExtent l="0" t="0" r="0" b="0"/>
                      <wp:wrapNone/>
                      <wp:docPr id="233" name="Frame233"/>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8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c>
          <w:tcPr>
            <w:tcW w:w="191" w:type="dxa"/>
            <w:tcBorders/>
            <w:vAlign w:val="center"/>
          </w:tcPr>
          <w:p>
            <w:pPr>
              <w:pStyle w:val="TableContents"/>
              <w:bidi w:val="0"/>
              <w:spacing w:before="0" w:after="0"/>
              <w:ind w:left="0" w:right="0" w:hanging="0"/>
              <w:jc w:val="left"/>
              <w:rPr/>
            </w:pPr>
            <w:r>
              <w:rPr/>
              <w:t> </w:t>
            </w:r>
          </w:p>
        </w:tc>
      </w:tr>
      <w:tr>
        <w:trPr/>
        <w:tc>
          <w:tcPr>
            <w:tcW w:w="8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Measurements Using</w:t>
            </w:r>
          </w:p>
        </w:tc>
        <w:tc>
          <w:tcPr>
            <w:tcW w:w="191" w:type="dxa"/>
            <w:tcBorders/>
            <w:vAlign w:val="center"/>
          </w:tcPr>
          <w:p>
            <w:pPr>
              <w:pStyle w:val="TableContents"/>
              <w:bidi w:val="0"/>
              <w:spacing w:before="0" w:after="0"/>
              <w:ind w:left="0" w:right="0" w:hanging="0"/>
              <w:jc w:val="left"/>
              <w:rPr/>
            </w:pPr>
            <w:r>
              <w:rPr/>
              <w:t> </w:t>
            </w:r>
          </w:p>
        </w:tc>
      </w:tr>
      <w:tr>
        <w:trPr/>
        <w:tc>
          <w:tcPr>
            <w:tcW w:w="8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191" w:type="dxa"/>
            <w:tcBorders/>
            <w:vAlign w:val="center"/>
          </w:tcPr>
          <w:p>
            <w:pPr>
              <w:pStyle w:val="TableContents"/>
              <w:bidi w:val="0"/>
              <w:spacing w:before="0" w:after="0"/>
              <w:ind w:left="0" w:right="0" w:hanging="0"/>
              <w:jc w:val="left"/>
              <w:rPr/>
            </w:pPr>
            <w:r>
              <w:rPr/>
              <w:t> </w:t>
            </w:r>
          </w:p>
        </w:tc>
      </w:tr>
      <w:tr>
        <w:trPr/>
        <w:tc>
          <w:tcPr>
            <w:tcW w:w="8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191" w:type="dxa"/>
            <w:tcBorders/>
            <w:vAlign w:val="center"/>
          </w:tcPr>
          <w:p>
            <w:pPr>
              <w:pStyle w:val="TableContents"/>
              <w:bidi w:val="0"/>
              <w:spacing w:before="0" w:after="0"/>
              <w:ind w:left="0" w:right="0" w:hanging="0"/>
              <w:jc w:val="left"/>
              <w:rPr/>
            </w:pPr>
            <w:r>
              <w:rPr/>
              <w:t> </w:t>
            </w:r>
          </w:p>
        </w:tc>
      </w:tr>
      <w:tr>
        <w:trPr/>
        <w:tc>
          <w:tcPr>
            <w:tcW w:w="809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center"/>
              <w:rPr/>
            </w:pPr>
            <w:r>
              <w:rPr/>
              <w:t>​</w:t>
            </w:r>
          </w:p>
        </w:tc>
        <w:tc>
          <w:tcPr>
            <w:tcW w:w="126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Liabilities</w:t>
            </w:r>
          </w:p>
        </w:tc>
        <w:tc>
          <w:tcPr>
            <w:tcW w:w="191" w:type="dxa"/>
            <w:tcBorders/>
            <w:vAlign w:val="center"/>
          </w:tcPr>
          <w:p>
            <w:pPr>
              <w:pStyle w:val="TableContents"/>
              <w:bidi w:val="0"/>
              <w:spacing w:before="0" w:after="0"/>
              <w:ind w:left="0" w:right="0" w:hanging="0"/>
              <w:jc w:val="left"/>
              <w:rPr/>
            </w:pPr>
            <w:r>
              <w:rPr/>
              <w:t>​</w:t>
            </w:r>
          </w:p>
        </w:tc>
      </w:tr>
      <w:tr>
        <w:trPr/>
        <w:tc>
          <w:tcPr>
            <w:tcW w:w="809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26" w:type="dxa"/>
            <w:tcBorders/>
            <w:vAlign w:val="center"/>
          </w:tcPr>
          <w:p>
            <w:pPr>
              <w:pStyle w:val="TableContents"/>
              <w:bidi w:val="0"/>
              <w:spacing w:before="0" w:after="0"/>
              <w:ind w:left="0" w:right="0" w:hanging="0"/>
              <w:jc w:val="left"/>
              <w:rPr/>
            </w:pPr>
            <w:r>
              <w:rPr/>
              <w:t>​</w:t>
            </w:r>
          </w:p>
        </w:tc>
        <w:tc>
          <w:tcPr>
            <w:tcW w:w="15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191" w:type="dxa"/>
            <w:tcBorders/>
            <w:vAlign w:val="center"/>
          </w:tcPr>
          <w:p>
            <w:pPr>
              <w:pStyle w:val="TableContents"/>
              <w:bidi w:val="0"/>
              <w:spacing w:before="0" w:after="0"/>
              <w:ind w:left="0" w:right="0" w:hanging="0"/>
              <w:jc w:val="left"/>
              <w:rPr/>
            </w:pPr>
            <w:r>
              <w:rPr/>
              <w:t> </w:t>
            </w:r>
          </w:p>
        </w:tc>
      </w:tr>
      <w:tr>
        <w:trPr/>
        <w:tc>
          <w:tcPr>
            <w:tcW w:w="8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May 1, 2023</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2,109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8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Business acquisition</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Transfers to Level 3</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 </w:t>
            </w:r>
          </w:p>
        </w:tc>
        <w:tc>
          <w:tcPr>
            <w:tcW w:w="1263"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8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fair value measurement adjustments (realized or unrealized)</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pPr>
            <w:r>
              <w:rPr/>
              <w:t>​</w:t>
            </w:r>
          </w:p>
        </w:tc>
        <w:tc>
          <w:tcPr>
            <w:tcW w:w="126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8097"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Included in selling, general and administrative</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shd w:fill="CCEEFF" w:val="clear"/>
            <w:vAlign w:val="center"/>
          </w:tcPr>
          <w:p>
            <w:pPr>
              <w:pStyle w:val="TableContents"/>
              <w:bidi w:val="0"/>
              <w:spacing w:before="0" w:after="0"/>
              <w:ind w:left="0" w:right="0" w:hanging="0"/>
              <w:jc w:val="left"/>
              <w:rPr/>
            </w:pPr>
            <w:r>
              <w:rPr/>
              <w:t>​</w:t>
            </w:r>
          </w:p>
        </w:tc>
        <w:tc>
          <w:tcPr>
            <w:tcW w:w="12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8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Settlements</w:t>
            </w:r>
          </w:p>
        </w:tc>
        <w:tc>
          <w:tcPr>
            <w:tcW w:w="326" w:type="dxa"/>
            <w:tcBorders/>
            <w:vAlign w:val="center"/>
          </w:tcPr>
          <w:p>
            <w:pPr>
              <w:pStyle w:val="TableContents"/>
              <w:bidi w:val="0"/>
              <w:spacing w:before="0" w:after="0"/>
              <w:ind w:left="0" w:right="0" w:hanging="0"/>
              <w:jc w:val="left"/>
              <w:rPr/>
            </w:pPr>
            <w:r>
              <w:rPr/>
              <w:t>​</w:t>
            </w:r>
          </w:p>
        </w:tc>
        <w:tc>
          <w:tcPr>
            <w:tcW w:w="3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6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w:t>
            </w:r>
          </w:p>
        </w:tc>
        <w:tc>
          <w:tcPr>
            <w:tcW w:w="191" w:type="dxa"/>
            <w:tcBorders/>
            <w:vAlign w:val="center"/>
          </w:tcPr>
          <w:p>
            <w:pPr>
              <w:pStyle w:val="TableContents"/>
              <w:bidi w:val="0"/>
              <w:spacing w:before="0" w:after="0"/>
              <w:ind w:left="0" w:right="0" w:hanging="0"/>
              <w:jc w:val="left"/>
              <w:rPr/>
            </w:pPr>
            <w:r>
              <w:rPr/>
              <w:t>​</w:t>
            </w:r>
          </w:p>
        </w:tc>
      </w:tr>
      <w:tr>
        <w:trPr/>
        <w:tc>
          <w:tcPr>
            <w:tcW w:w="80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27, 2024</w:t>
            </w:r>
          </w:p>
        </w:tc>
        <w:tc>
          <w:tcPr>
            <w:tcW w:w="326" w:type="dxa"/>
            <w:tcBorders/>
            <w:shd w:fill="CCEEFF" w:val="clear"/>
            <w:vAlign w:val="center"/>
          </w:tcPr>
          <w:p>
            <w:pPr>
              <w:pStyle w:val="TableContents"/>
              <w:bidi w:val="0"/>
              <w:spacing w:before="0" w:after="0"/>
              <w:ind w:left="0" w:right="0" w:hanging="0"/>
              <w:jc w:val="left"/>
              <w:rPr/>
            </w:pPr>
            <w:r>
              <w:rPr/>
              <w:t>​</w:t>
            </w:r>
          </w:p>
        </w:tc>
        <w:tc>
          <w:tcPr>
            <w:tcW w:w="3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80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amount of total (gains) or losses for the period included in earnings attributable to the change in unrealized gains or losses relating to assets or liabilities still held at January 27, 2024</w:t>
            </w:r>
          </w:p>
        </w:tc>
        <w:tc>
          <w:tcPr>
            <w:tcW w:w="326" w:type="dxa"/>
            <w:tcBorders/>
            <w:vAlign w:val="center"/>
          </w:tcPr>
          <w:p>
            <w:pPr>
              <w:pStyle w:val="TableContents"/>
              <w:bidi w:val="0"/>
              <w:spacing w:before="0" w:after="0"/>
              <w:ind w:left="0" w:right="0" w:hanging="0"/>
              <w:jc w:val="left"/>
              <w:rPr/>
            </w:pPr>
            <w:r>
              <w:rPr/>
              <w:t>​</w:t>
            </w:r>
          </w:p>
        </w:tc>
        <w:tc>
          <w:tcPr>
            <w:tcW w:w="3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May 3, 2021, the Company closed its acquisition of Telerob Gesellschaft für Fernhantierungstechnik mbH (“Telerob GmbH”), including Telerob GmbH’s wholly-owned subsidiary, Telerob USA, Inc. (“Telerob USA,” and collectively with Telerob GmbH, “Telerob”) pursuant to its Share Purchase Agreement (the “Telerob Purchase Agreement”) with Unmanned Systems Investments GmbH (the “Telerob Seller”). Pursuant to the Telerob Purchase Agreement, the Telerob Sellers may receive up to a maximum of €6,000,000 (approximately $6,511,000) in additional cash consideration if specific revenue and contract award targets for Telerob were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consideration will be achieved. The fair value of the contingent consideration was recorded in other current liabilities on the condensed consolidated balance sheet. The first year earnout of €2,000,000 (approximately $2,170,000) was not achieved. During the fiscal year ended April 30, 2023, the second year earnout of €2,000,000 (approximately $2,132,000) was achieved and was paid in November 2023. The third earnout of €2,000,000 (approximately $2,170,000) is not expected to be achieved.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12, 2022, the Company invested $5,000,000 and acquired 500,000 shares and 500,000 privately placed, redeemable warrants of Amprius Technologies, Inc. The privately placed, redeemable warrants have an exercise price of $12.50 and redemption price of $20.00. The Company measures the fair value of the privately placed, redeemable warrants using the quoted market price of the public warrants which have an exercise price of $11.50 and a redemption price of $18.00 and classifies the warrants as a level 2 fair value measurement. On September 9, 2022, the Company acquired 10,000 shares of Nauticus Robotics, Inc. for $100,000.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05" w:name="Tc_DQP8vnqQ5UK4u_L3PC6gfQ_9_5"/>
      <w:bookmarkStart w:id="1506" w:name="Tc_bPeCsPEc5027cEI1Mo8g6w_9_2"/>
      <w:bookmarkStart w:id="1507" w:name="Tc_ShrggYrK1k69HDl1lUqaaw_9_0"/>
      <w:bookmarkStart w:id="1508" w:name="Tc_i1FkA72AWU-TT7zC9qKL6A_8_0"/>
      <w:bookmarkStart w:id="1509" w:name="Tc_gYV6uJ-YKUWo9YCkiXZMMA_7_0"/>
      <w:bookmarkStart w:id="1510" w:name="Tc_xBUparRb_UuCxar59WkJFQ_6_0"/>
      <w:bookmarkStart w:id="1511" w:name="Tc_Emad_-L8xUmMxe5vkNZoIQ_5_0"/>
      <w:bookmarkStart w:id="1512" w:name="Tc_1g4hEQcor0K2UV91a7TRfw_4_5"/>
      <w:bookmarkStart w:id="1513" w:name="Tc_X62UZsfcYUGyQNzcFf60-Q_4_2"/>
      <w:bookmarkStart w:id="1514" w:name="Tc_rw-K3SpWpkC3Ad5pzRZ8Qg_4_0"/>
      <w:bookmarkStart w:id="1515" w:name="Tc_bVKsaLrMlkmwgZDSKGRBhQ_2_5"/>
      <w:bookmarkStart w:id="1516" w:name="Tc_Q_lh7zVkR0K_t55ALviEqw_2_2"/>
      <w:bookmarkStart w:id="1517" w:name="Tc_1jOawZASxEGrP51QEw7GeQ_1_5"/>
      <w:bookmarkStart w:id="1518" w:name="Tc_5tPQ90jPlE2vQ8r3vvchMg_1_2"/>
      <w:bookmarkStart w:id="1519" w:name="_d2d97f90_7fcd_4b60_a047_26ccd5b027c1"/>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r>
        <w:rPr>
          <w:rFonts w:ascii="Times New Roman;Times;serif" w:hAnsi="Times New Roman;Times;serif"/>
          <w:b/>
          <w:sz w:val="20"/>
        </w:rPr>
        <w:t>4. Inventories,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consist of the following (in thousands):</w:t>
      </w:r>
    </w:p>
    <w:p>
      <w:pPr>
        <w:pStyle w:val="TextBody"/>
        <w:bidi w:val="0"/>
        <w:spacing w:before="0" w:after="0"/>
        <w:ind w:left="0" w:right="0" w:hanging="0"/>
        <w:jc w:val="left"/>
        <w:rPr/>
      </w:pPr>
      <w:r>
        <w:rPr/>
        <w:t>​</w:t>
      </w:r>
    </w:p>
    <w:tbl>
      <w:tblPr>
        <w:tblW w:w="6773" w:type="dxa"/>
        <w:jc w:val="left"/>
        <w:tblInd w:w="0" w:type="dxa"/>
        <w:tblLayout w:type="fixed"/>
        <w:tblCellMar>
          <w:top w:w="0" w:type="dxa"/>
          <w:left w:w="0" w:type="dxa"/>
          <w:bottom w:w="0" w:type="dxa"/>
          <w:right w:w="0" w:type="dxa"/>
        </w:tblCellMar>
      </w:tblPr>
      <w:tblGrid>
        <w:gridCol w:w="3916"/>
        <w:gridCol w:w="326"/>
        <w:gridCol w:w="211"/>
        <w:gridCol w:w="796"/>
        <w:gridCol w:w="326"/>
        <w:gridCol w:w="211"/>
        <w:gridCol w:w="796"/>
        <w:gridCol w:w="19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486660" cy="175260"/>
                      <wp:effectExtent l="0" t="0" r="0" b="0"/>
                      <wp:wrapNone/>
                      <wp:docPr id="234" name="Frame234"/>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07010" cy="175260"/>
                      <wp:effectExtent l="0" t="0" r="0" b="0"/>
                      <wp:wrapNone/>
                      <wp:docPr id="235"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3985" cy="175260"/>
                      <wp:effectExtent l="0" t="0" r="0" b="0"/>
                      <wp:wrapNone/>
                      <wp:docPr id="236"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505460" cy="175260"/>
                      <wp:effectExtent l="0" t="0" r="0" b="0"/>
                      <wp:wrapNone/>
                      <wp:docPr id="237" name="Frame23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07010" cy="175260"/>
                      <wp:effectExtent l="0" t="0" r="0" b="0"/>
                      <wp:wrapNone/>
                      <wp:docPr id="238"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33985" cy="175260"/>
                      <wp:effectExtent l="0" t="0" r="0" b="0"/>
                      <wp:wrapNone/>
                      <wp:docPr id="239"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505460" cy="175260"/>
                      <wp:effectExtent l="0" t="0" r="0" b="0"/>
                      <wp:wrapNone/>
                      <wp:docPr id="240" name="Frame24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21285" cy="175260"/>
                      <wp:effectExtent l="0" t="0" r="0" b="0"/>
                      <wp:wrapNone/>
                      <wp:docPr id="241" name="Frame24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left"/>
              <w:rPr/>
            </w:pPr>
            <w:r>
              <w:rPr/>
              <w:t> </w:t>
            </w:r>
          </w:p>
        </w:tc>
      </w:tr>
      <w:tr>
        <w:trPr/>
        <w:tc>
          <w:tcPr>
            <w:tcW w:w="6773"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40" w:type="dxa"/>
            <w:gridSpan w:val="5"/>
            <w:tcBorders/>
            <w:vAlign w:val="center"/>
          </w:tcPr>
          <w:p>
            <w:pPr>
              <w:pStyle w:val="TableContents"/>
              <w:bidi w:val="0"/>
              <w:spacing w:before="0" w:after="0"/>
              <w:ind w:left="0" w:right="0" w:hanging="0"/>
              <w:jc w:val="center"/>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65,296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67,775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56,819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43,276</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42,968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gross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185,805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154,019</w:t>
            </w:r>
          </w:p>
        </w:tc>
        <w:tc>
          <w:tcPr>
            <w:tcW w:w="191" w:type="dxa"/>
            <w:tcBorders/>
            <w:vAlign w:val="center"/>
          </w:tcPr>
          <w:p>
            <w:pPr>
              <w:pStyle w:val="TableContents"/>
              <w:bidi w:val="0"/>
              <w:spacing w:before="0" w:after="0"/>
              <w:ind w:left="0" w:right="0" w:hanging="0"/>
              <w:jc w:val="left"/>
              <w:rPr/>
            </w:pPr>
            <w:r>
              <w:rPr/>
              <w:t>​</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Reserve for inventory excess and obsolescence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(15,205)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161,384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138,814</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 Equity Method Investments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Investments in Limited Partnership Funds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July 2019, the Company made its initial capital contribution to a limited partnership fund focusing on highly relevant technologies and start-up companies serving defense and industrial markets. Under the terms of the limited partnership agreement, the Company contributed a total of $10,000,000 during the fiscal years ended April 30, 2021 and 2022, and there were no further contribution commitments to this fund as of April 30, 2022. In March 2022, the Company entered into a limited partnership agreement with a second limited partnership fund also focusing on highly relevant technologies and start-up companies serving defense and industrial markets. Under the terms of the second limited partnership agreement, the Company is committed to contributions totaling $20,000,000 over an expected five year period. During the fiscal year ended April 30, 2023, the Company made total contributions of $5,778,000. The Company made a capital contribution of $1,875,000 during the three months ended October 28, 2023. Under the terms of the second limited partnership agreement, the Company has committed to make additional capital contributions of $12,347,000 to the fund. The Company accounts for investments in limited partnerships as equity method investments as the Company is deemed to have influence when it holds more than a minor interest. For the three and nine months ended January 27, 2024, the Company recorded its ownership percentage of the net losses of the limited partnerships, or $(80,000) and $(1,494,000), respectively, in equity method investment loss, net of $0 tax in the unaudited condensed consolidated statements of operations, respectively. For the three and nine months ended January 28, 2023, the Company recorded its ownership percentage of the net loss of the limited partnership, or $(417,000) and $(2,190,000), respectively, in equity method investment loss, net of $0 tax in the unaudited condensed consolidated statements of operations, respectively. At January 27, 2024 and April 30, 2023, the carrying value of the investments in the limited partnership funds of $19,022,000 and $18,644,000, respectively, which is recorded in long-term investments on the unaudited condensed consolidated balance sheet.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left"/>
        <w:rPr>
          <w:rFonts w:ascii="Times New Roman;Times;serif" w:hAnsi="Times New Roman;Times;serif"/>
          <w:b/>
          <w:sz w:val="20"/>
        </w:rPr>
      </w:pPr>
      <w:r>
        <w:rPr>
          <w:rFonts w:ascii="Times New Roman;Times;serif" w:hAnsi="Times New Roman;Times;serif"/>
          <w:b/>
          <w:sz w:val="20"/>
        </w:rPr>
        <w:t>Investment in Altoy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15, 2021, the Company entered into a Share Sale and Purchase Agreement with Toygun whereby the Company sold 35% of the common shares of Altoy to Toygun. On October 14, 2022, the company sold an additional 35% of the common shares of Altoy to Toygun. As a result of the sales, the Company decreased its interest in Altoy from 85% to 15%. The Company no longer controls Altoy, and therefore, has deconsolidated Altoy in the Company’s unaudited condensed consolidated financial statements. The Company maintains significant influence, accounts for its investment in Altoy as an equity method investment and records its proportion of any gains or losses of Altoy in equity method investment loss, net of tax. For the three and nine months ended January 27, 2024 and January 28, 2023, the Company recorded $0 for its ownership percentage of the net loss of Altoy in equity method investment loss, net of tax in the unaudited condensed consolidated statements of operations. At January 27, 2024 and April 30, 2023, the carrying value of the investment in Altoy of $71,000 and $114,000, respectively, was recorded in other assets on the unaudited condensed consolidated balance sheet.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20" w:name="Tc_BmXKTOduOUqIxZRootgSBQ_8_11"/>
      <w:bookmarkStart w:id="1521" w:name="Tc_jHbu92ABGEGI7JGLq4vWGg_8_8"/>
      <w:bookmarkStart w:id="1522" w:name="Tc_4kz0iz2uCEKf2wJb35Uc-A_8_5"/>
      <w:bookmarkStart w:id="1523" w:name="Tc_e4yODhI2UkKJuj8_pyjtFw_8_2"/>
      <w:bookmarkStart w:id="1524" w:name="Tc_fgXj3LtkuEm_zjLeHlZwQg_8_0"/>
      <w:bookmarkStart w:id="1525" w:name="Tc_T5qPE3ruT0KPVWoK4l98Lw_7_0"/>
      <w:bookmarkStart w:id="1526" w:name="Tc_HNJG4wYbZUG2sCHSTStsaA_6_0"/>
      <w:bookmarkStart w:id="1527" w:name="Tc_k-XF1MKWLEyrKzmK6myqUQ_5_12"/>
      <w:bookmarkStart w:id="1528" w:name="Tc_o1GeCODE8Euge7nBJuBWZg_5_6"/>
      <w:bookmarkStart w:id="1529" w:name="Tc_8tCu5Js8006Iy2osLVXRgw_5_3"/>
      <w:bookmarkStart w:id="1530" w:name="Tc_2YBr7W2R5k2BfY50C_lCKw_5_0"/>
      <w:bookmarkStart w:id="1531" w:name="Tc_MHreqcA7QkCd-iFvvaz6Cw_4_11"/>
      <w:bookmarkStart w:id="1532" w:name="Tc_mPWSnM4aYkKzs623rFUYbg_4_8"/>
      <w:bookmarkStart w:id="1533" w:name="Tc_HfrLnnFEa0eFKeTOJEmXpw_4_5"/>
      <w:bookmarkStart w:id="1534" w:name="Tc_0kth_YKvkkCWrrypJ3LFcg_4_2"/>
      <w:bookmarkStart w:id="1535" w:name="Tc_1RjQusyLBUqw3A4f1gqbkQ_4_0"/>
      <w:bookmarkStart w:id="1536" w:name="Tc_aep0R5lsiUeJ2-Tgb3-ieg_3_11"/>
      <w:bookmarkStart w:id="1537" w:name="Tc_6vmlQsOxL0GZRjN0gnZYFg_3_8"/>
      <w:bookmarkStart w:id="1538" w:name="Tc_9bvoSTEPN0eldzAW7yCHVA_3_5"/>
      <w:bookmarkStart w:id="1539" w:name="Tc_MnlxWepyVUOs3TCxQqu8Vg_3_2"/>
      <w:bookmarkStart w:id="1540" w:name="Tc_bTcyUeQ4uUOSsi06fu5pGA_2_11"/>
      <w:bookmarkStart w:id="1541" w:name="Tc_s3xAh81TUUqwA3sCz-731g_2_8"/>
      <w:bookmarkStart w:id="1542" w:name="Tc_ordl4lBcXUyTm-2sD6JFfg_2_6"/>
      <w:bookmarkStart w:id="1543" w:name="Tc_qK638OINEkKUOj-LzfEH8g_2_2"/>
      <w:bookmarkStart w:id="1544" w:name="Tc_W_rXe1vVgUK0f6PEd9HbRA_1_8"/>
      <w:bookmarkStart w:id="1545" w:name="Tc_qxdRrSsyl0CFfmzmZZWWYQ_1_2"/>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bookmarkEnd w:id="1540"/>
      <w:bookmarkEnd w:id="1541"/>
      <w:bookmarkEnd w:id="1542"/>
      <w:bookmarkEnd w:id="1543"/>
      <w:bookmarkEnd w:id="1544"/>
      <w:bookmarkEnd w:id="1545"/>
      <w:r>
        <w:rPr>
          <w:rFonts w:ascii="Times New Roman;Times;serif" w:hAnsi="Times New Roman;Times;serif"/>
          <w:b/>
          <w:sz w:val="20"/>
        </w:rPr>
        <w:t>6. Warranty Reserves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accrues an estimate of its exposure to warranty claims based upon both current and historical product sales data and warranty costs incurred. The warranty reserve is included in other current liabilities on the unaudited condensed consolidated balance sheet. The related expense is included in cost of sales. Warranty reserve activity is summarized as follows for the three and nine months ended January 27, 2024 and January 28, 2023, respectively (in thousands):</w:t>
      </w:r>
    </w:p>
    <w:p>
      <w:pPr>
        <w:pStyle w:val="TextBody"/>
        <w:bidi w:val="0"/>
        <w:spacing w:before="0" w:after="0"/>
        <w:ind w:left="0" w:right="0" w:hanging="0"/>
        <w:jc w:val="left"/>
        <w:rPr/>
      </w:pPr>
      <w:r>
        <w:rPr/>
        <w:t>​</w:t>
      </w:r>
    </w:p>
    <w:tbl>
      <w:tblPr>
        <w:tblW w:w="8541" w:type="dxa"/>
        <w:jc w:val="left"/>
        <w:tblInd w:w="0" w:type="dxa"/>
        <w:tblLayout w:type="fixed"/>
        <w:tblCellMar>
          <w:top w:w="0" w:type="dxa"/>
          <w:left w:w="0" w:type="dxa"/>
          <w:bottom w:w="0" w:type="dxa"/>
          <w:right w:w="0" w:type="dxa"/>
        </w:tblCellMar>
      </w:tblPr>
      <w:tblGrid>
        <w:gridCol w:w="2911"/>
        <w:gridCol w:w="326"/>
        <w:gridCol w:w="267"/>
        <w:gridCol w:w="723"/>
        <w:gridCol w:w="326"/>
        <w:gridCol w:w="211"/>
        <w:gridCol w:w="991"/>
        <w:gridCol w:w="326"/>
        <w:gridCol w:w="248"/>
        <w:gridCol w:w="742"/>
        <w:gridCol w:w="326"/>
        <w:gridCol w:w="248"/>
        <w:gridCol w:w="742"/>
        <w:gridCol w:w="154"/>
      </w:tblGrid>
      <w:tr>
        <w:trPr/>
        <w:tc>
          <w:tcPr>
            <w:tcW w:w="2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848485" cy="175260"/>
                      <wp:effectExtent l="0" t="0" r="0" b="0"/>
                      <wp:wrapNone/>
                      <wp:docPr id="242" name="Frame242"/>
                      <a:graphic xmlns:a="http://schemas.openxmlformats.org/drawingml/2006/main">
                        <a:graphicData uri="http://schemas.microsoft.com/office/word/2010/wordprocessingShape">
                          <wps:wsp>
                            <wps:cNvSpPr txBox="1"/>
                            <wps:spPr>
                              <a:xfrm>
                                <a:off x="0" y="0"/>
                                <a:ext cx="184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07010" cy="175260"/>
                      <wp:effectExtent l="0" t="0" r="0" b="0"/>
                      <wp:wrapNone/>
                      <wp:docPr id="243"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69545" cy="175260"/>
                      <wp:effectExtent l="0" t="0" r="0" b="0"/>
                      <wp:wrapNone/>
                      <wp:docPr id="244" name="Frame244"/>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59105" cy="175260"/>
                      <wp:effectExtent l="0" t="0" r="0" b="0"/>
                      <wp:wrapNone/>
                      <wp:docPr id="245" name="Frame245"/>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07010" cy="175260"/>
                      <wp:effectExtent l="0" t="0" r="0" b="0"/>
                      <wp:wrapNone/>
                      <wp:docPr id="246"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7" name="Frame2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29285" cy="175260"/>
                      <wp:effectExtent l="0" t="0" r="0" b="0"/>
                      <wp:wrapNone/>
                      <wp:docPr id="248" name="Frame24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9" name="Frame2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57480" cy="175260"/>
                      <wp:effectExtent l="0" t="0" r="0" b="0"/>
                      <wp:wrapNone/>
                      <wp:docPr id="250" name="Frame250"/>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71170" cy="175260"/>
                      <wp:effectExtent l="0" t="0" r="0" b="0"/>
                      <wp:wrapNone/>
                      <wp:docPr id="251" name="Frame251"/>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207010" cy="175260"/>
                      <wp:effectExtent l="0" t="0" r="0" b="0"/>
                      <wp:wrapNone/>
                      <wp:docPr id="252"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57480" cy="175260"/>
                      <wp:effectExtent l="0" t="0" r="0" b="0"/>
                      <wp:wrapNone/>
                      <wp:docPr id="253" name="Frame253"/>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471170" cy="175260"/>
                      <wp:effectExtent l="0" t="0" r="0" b="0"/>
                      <wp:wrapNone/>
                      <wp:docPr id="254" name="Frame254"/>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97790" cy="175260"/>
                      <wp:effectExtent l="0" t="0" r="0" b="0"/>
                      <wp:wrapNone/>
                      <wp:docPr id="255" name="Frame255"/>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51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left"/>
              <w:rPr/>
            </w:pPr>
            <w:r>
              <w:rPr/>
              <w:t>​</w:t>
            </w:r>
          </w:p>
        </w:tc>
        <w:tc>
          <w:tcPr>
            <w:tcW w:w="23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12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3,017</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3,642</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acquired from acquisition</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left"/>
              <w:rPr/>
            </w:pPr>
            <w:r>
              <w:rPr/>
              <w:t>​</w:t>
            </w:r>
          </w:p>
        </w:tc>
        <w:tc>
          <w:tcPr>
            <w:tcW w:w="742" w:type="dxa"/>
            <w:tcBorders/>
            <w:vAlign w:val="center"/>
          </w:tcPr>
          <w:p>
            <w:pPr>
              <w:pStyle w:val="TableContents"/>
              <w:bidi w:val="0"/>
              <w:spacing w:before="0" w:after="0"/>
              <w:ind w:left="0" w:right="0" w:hanging="0"/>
              <w:jc w:val="righ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3,294</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pPr>
            <w:r>
              <w:rPr/>
              <w:t> </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9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costs settled</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(1,610)</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(1,003)</w:t>
            </w:r>
          </w:p>
        </w:tc>
        <w:tc>
          <w:tcPr>
            <w:tcW w:w="154" w:type="dxa"/>
            <w:tcBorders/>
            <w:vAlign w:val="center"/>
          </w:tcPr>
          <w:p>
            <w:pPr>
              <w:pStyle w:val="TableContents"/>
              <w:bidi w:val="0"/>
              <w:spacing w:before="0" w:after="0"/>
              <w:ind w:left="0" w:right="0" w:hanging="0"/>
              <w:jc w:val="left"/>
              <w:rPr/>
            </w:pPr>
            <w:r>
              <w:rPr/>
              <w:t>​</w:t>
            </w:r>
          </w:p>
        </w:tc>
      </w:tr>
      <w:tr>
        <w:trPr/>
        <w:tc>
          <w:tcPr>
            <w:tcW w:w="29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Ending balance</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5,366</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2,297</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546" w:name="Tc_q9E9wrDYCUCyABVDGEeR4w_13_5"/>
      <w:bookmarkStart w:id="1547" w:name="Tc_6w9UMC3klUSxi4An9BhrMA_13_2"/>
      <w:bookmarkStart w:id="1548" w:name="Tc_rVjoJIzfzESrqCOtPOdUyw_13_0"/>
      <w:bookmarkStart w:id="1549" w:name="Tc_6ItjHNkq1UipqSD4GWfviw_12_0"/>
      <w:bookmarkStart w:id="1550" w:name="Tc_L-rSvN2h6kGqiQjhyA0aTg_11_0"/>
      <w:bookmarkStart w:id="1551" w:name="Tc_ODYSXGPXGk6jLghAOFcS7Q_10_0"/>
      <w:bookmarkStart w:id="1552" w:name="Tc_xnll_FcG3kOb-j_d9OdkcQ_9_0"/>
      <w:bookmarkStart w:id="1553" w:name="Tc_OAw-urHxm0GyOYgnGARvRQ_8_0"/>
      <w:bookmarkStart w:id="1554" w:name="Tc_Fg6re1mcRESOdJgeqimieA_7_0"/>
      <w:bookmarkStart w:id="1555" w:name="Tc_jFMkHcVdR0yY8WsFY-D0wA_6_0"/>
      <w:bookmarkStart w:id="1556" w:name="Tc_SiLXKwsLeU6VuVkbqJgi-w_5_0"/>
      <w:bookmarkStart w:id="1557" w:name="Tc_BeGV6vF_MUC7c4Cw7s0i4w_4_0"/>
      <w:bookmarkStart w:id="1558" w:name="Tc_a92EA76ETky1kGy7VVfNIw_3_5"/>
      <w:bookmarkStart w:id="1559" w:name="Tc_M1sUBeeKOkSKcqceYUxWtw_3_2"/>
      <w:bookmarkStart w:id="1560" w:name="Tc_FZnHIxWtCEqJAUNNA_7Sjw_3_0"/>
      <w:bookmarkStart w:id="1561" w:name="Tc_QggjtbQBMEq84voX551oqg_2_5"/>
      <w:bookmarkStart w:id="1562" w:name="Tc_-OsGV-qIIU-NbMPu6BNOXQ_2_2"/>
      <w:bookmarkStart w:id="1563" w:name="Tc_9XN9nwYULEmXFdTfW37_bA_1_5"/>
      <w:bookmarkStart w:id="1564" w:name="Tc_uPnetgDpg0OUlS7C5qF4QA_1_2"/>
      <w:bookmarkStart w:id="1565" w:name="_ffd6d9d5_a0e7_4634_bf05_6d2a05c1212c"/>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r>
        <w:rPr>
          <w:rFonts w:ascii="Times New Roman;Times;serif" w:hAnsi="Times New Roman;Times;serif"/>
          <w:b/>
          <w:sz w:val="20"/>
        </w:rPr>
        <w:t>7. Intangibles, net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intangibles are as follows (in thousands):</w:t>
      </w:r>
    </w:p>
    <w:p>
      <w:pPr>
        <w:pStyle w:val="TextBody"/>
        <w:bidi w:val="0"/>
        <w:spacing w:before="0" w:after="0"/>
        <w:ind w:left="0" w:right="0" w:hanging="0"/>
        <w:jc w:val="left"/>
        <w:rPr/>
      </w:pPr>
      <w:r>
        <w:rPr/>
        <w:t>​</w:t>
      </w:r>
    </w:p>
    <w:tbl>
      <w:tblPr>
        <w:tblW w:w="6031" w:type="dxa"/>
        <w:jc w:val="left"/>
        <w:tblInd w:w="0" w:type="dxa"/>
        <w:tblLayout w:type="fixed"/>
        <w:tblCellMar>
          <w:top w:w="0" w:type="dxa"/>
          <w:left w:w="0" w:type="dxa"/>
          <w:bottom w:w="0" w:type="dxa"/>
          <w:right w:w="0" w:type="dxa"/>
        </w:tblCellMar>
      </w:tblPr>
      <w:tblGrid>
        <w:gridCol w:w="3106"/>
        <w:gridCol w:w="326"/>
        <w:gridCol w:w="211"/>
        <w:gridCol w:w="901"/>
        <w:gridCol w:w="326"/>
        <w:gridCol w:w="211"/>
        <w:gridCol w:w="796"/>
        <w:gridCol w:w="154"/>
      </w:tblGrid>
      <w:tr>
        <w:trPr/>
        <w:tc>
          <w:tcPr>
            <w:tcW w:w="31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972310" cy="175260"/>
                      <wp:effectExtent l="0" t="0" r="0" b="0"/>
                      <wp:wrapNone/>
                      <wp:docPr id="256" name="Frame256"/>
                      <a:graphic xmlns:a="http://schemas.openxmlformats.org/drawingml/2006/main">
                        <a:graphicData uri="http://schemas.microsoft.com/office/word/2010/wordprocessingShape">
                          <wps:wsp>
                            <wps:cNvSpPr txBox="1"/>
                            <wps:spPr>
                              <a:xfrm>
                                <a:off x="0" y="0"/>
                                <a:ext cx="1972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207010" cy="175260"/>
                      <wp:effectExtent l="0" t="0" r="0" b="0"/>
                      <wp:wrapNone/>
                      <wp:docPr id="257"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133985" cy="175260"/>
                      <wp:effectExtent l="0" t="0" r="0" b="0"/>
                      <wp:wrapNone/>
                      <wp:docPr id="258" name="Frame2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72135" cy="175260"/>
                      <wp:effectExtent l="0" t="0" r="0" b="0"/>
                      <wp:wrapNone/>
                      <wp:docPr id="259" name="Frame259"/>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60" name="Frame2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33985" cy="175260"/>
                      <wp:effectExtent l="0" t="0" r="0" b="0"/>
                      <wp:wrapNone/>
                      <wp:docPr id="261" name="Frame2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505460" cy="175260"/>
                      <wp:effectExtent l="0" t="0" r="0" b="0"/>
                      <wp:wrapNone/>
                      <wp:docPr id="262" name="Frame26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7790" cy="175260"/>
                      <wp:effectExtent l="0" t="0" r="0" b="0"/>
                      <wp:wrapNone/>
                      <wp:docPr id="263" name="Frame263"/>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101,160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60,817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72,645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2,895</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In-process 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Non-compete agreements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 and tradenames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gross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185,094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138,453</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1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(107,497)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(94,876)</w:t>
            </w:r>
          </w:p>
        </w:tc>
        <w:tc>
          <w:tcPr>
            <w:tcW w:w="154" w:type="dxa"/>
            <w:tcBorders/>
            <w:vAlign w:val="center"/>
          </w:tcPr>
          <w:p>
            <w:pPr>
              <w:pStyle w:val="TableContents"/>
              <w:bidi w:val="0"/>
              <w:spacing w:before="0" w:after="0"/>
              <w:ind w:left="0" w:right="0" w:hanging="0"/>
              <w:jc w:val="left"/>
              <w:rPr/>
            </w:pPr>
            <w:r>
              <w:rPr/>
              <w:t>​</w:t>
            </w:r>
          </w:p>
        </w:tc>
      </w:tr>
      <w:tr>
        <w:trPr/>
        <w:tc>
          <w:tcPr>
            <w:tcW w:w="31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Intangibles,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77,597</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43,577</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Additions to technology, customer relationships, and trademark and tradenames primarily relate to the Tomahawk acquisition. Refer to Note 16—Business Acquisitions for further details. In addition, during the three months ended October 28, 2023, AeroVironment acquired technology intellectual property of $1,500,000 through an asset purchase agreement with Windward Performance, Ltd. Under the asset purchase agreement, AeroVironment acquired intellectual property related to unmanned aircraft for $3,000,000 consisting of $1,500,000 paid at closing plus </w:t>
      </w:r>
      <w:r>
        <w:rPr>
          <w:rFonts w:ascii="Times New Roman;Times;serif" w:hAnsi="Times New Roman;Times;serif"/>
          <w:b w:val="false"/>
          <w:i w:val="false"/>
          <w:caps w:val="false"/>
          <w:smallCaps w:val="false"/>
          <w:sz w:val="20"/>
        </w:rPr>
        <w:t>two</w:t>
      </w:r>
      <w:r>
        <w:rPr>
          <w:rFonts w:ascii="Times New Roman;Times;serif" w:hAnsi="Times New Roman;Times;serif"/>
          <w:sz w:val="20"/>
        </w:rPr>
        <w:t xml:space="preserve"> payments of $750,000 on the first and second anniversaries of the purchase agreement. The additional payments will be expensed to R&amp;D on a straight-line basis over the two year term.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566" w:name="Tc_HTQ5hhnVZk-F0wYDaRf3Pw_8_2"/>
      <w:bookmarkStart w:id="1567" w:name="Tc_PVf9ParBXUycwjUe-l-mMw_7_0"/>
      <w:bookmarkStart w:id="1568" w:name="Tc_1a7h-4fmBUqb5U7qspIk9w_6_0"/>
      <w:bookmarkStart w:id="1569" w:name="Tc_fJGch6PSMEumljouhJI2uA_5_0"/>
      <w:bookmarkStart w:id="1570" w:name="Tc_-rQ-LdhOjkWa_4JSs3GXBA_4_0"/>
      <w:bookmarkStart w:id="1571" w:name="Tc_mNP6ssDcfEuDYkZ4-PKgRw_3_2"/>
      <w:bookmarkStart w:id="1572" w:name="Tc_roK9wo1J20eDUgnrEBaUhw_3_0"/>
      <w:bookmarkStart w:id="1573" w:name="Tc_XDfP-39fBUW_ceO-ToTN_Q_2_2"/>
      <w:bookmarkStart w:id="1574" w:name="Tc_GcXkIR5qc0K44twKP2ieIQ_1_2"/>
      <w:bookmarkStart w:id="1575" w:name="_8c632472_c08a_4f23_852f_1970b0161abb"/>
      <w:bookmarkEnd w:id="1566"/>
      <w:bookmarkEnd w:id="1567"/>
      <w:bookmarkEnd w:id="1568"/>
      <w:bookmarkEnd w:id="1569"/>
      <w:bookmarkEnd w:id="1570"/>
      <w:bookmarkEnd w:id="1571"/>
      <w:bookmarkEnd w:id="1572"/>
      <w:bookmarkEnd w:id="1573"/>
      <w:bookmarkEnd w:id="1574"/>
      <w:bookmarkEnd w:id="1575"/>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weighted average amortization period at each of January 27, 2024 and April 30, 2023 was four years. Amortization expense for the three and nine months ended January 27, 2024 was $5,445,000 and $12,721,000, respectively. Amortization expense for the three and nine months ended January 28, 2023 was $6,073,000 and $17,925,000,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Estimated amortization expense for the next five years is as follows (in thousands):</w:t>
      </w:r>
    </w:p>
    <w:p>
      <w:pPr>
        <w:pStyle w:val="TextBody"/>
        <w:bidi w:val="0"/>
        <w:spacing w:before="0" w:after="0"/>
        <w:ind w:left="0" w:right="0" w:hanging="0"/>
        <w:jc w:val="left"/>
        <w:rPr/>
      </w:pPr>
      <w:r>
        <w:rPr/>
        <w:t>​</w:t>
      </w:r>
    </w:p>
    <w:tbl>
      <w:tblPr>
        <w:tblW w:w="2049" w:type="dxa"/>
        <w:jc w:val="left"/>
        <w:tblInd w:w="0" w:type="dxa"/>
        <w:tblLayout w:type="fixed"/>
        <w:tblCellMar>
          <w:top w:w="0" w:type="dxa"/>
          <w:left w:w="0" w:type="dxa"/>
          <w:bottom w:w="0" w:type="dxa"/>
          <w:right w:w="0" w:type="dxa"/>
        </w:tblCellMar>
      </w:tblPr>
      <w:tblGrid>
        <w:gridCol w:w="541"/>
        <w:gridCol w:w="326"/>
        <w:gridCol w:w="235"/>
        <w:gridCol w:w="756"/>
        <w:gridCol w:w="191"/>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43535" cy="175260"/>
                      <wp:effectExtent l="0" t="0" r="0" b="0"/>
                      <wp:wrapNone/>
                      <wp:docPr id="264" name="Frame26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07010" cy="175260"/>
                      <wp:effectExtent l="0" t="0" r="0" b="0"/>
                      <wp:wrapNone/>
                      <wp:docPr id="265" name="Frame2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49225" cy="175260"/>
                      <wp:effectExtent l="0" t="0" r="0" b="0"/>
                      <wp:wrapNone/>
                      <wp:docPr id="266" name="Frame266"/>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480060" cy="175260"/>
                      <wp:effectExtent l="0" t="0" r="0" b="0"/>
                      <wp:wrapNone/>
                      <wp:docPr id="267" name="Frame267"/>
                      <a:graphic xmlns:a="http://schemas.openxmlformats.org/drawingml/2006/main">
                        <a:graphicData uri="http://schemas.microsoft.com/office/word/2010/wordprocessingShape">
                          <wps:wsp>
                            <wps:cNvSpPr txBox="1"/>
                            <wps:spPr>
                              <a:xfrm>
                                <a:off x="0" y="0"/>
                                <a:ext cx="480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21285" cy="175260"/>
                      <wp:effectExtent l="0" t="0" r="0" b="0"/>
                      <wp:wrapNone/>
                      <wp:docPr id="268" name="Frame26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ending</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c>
          <w:tcPr>
            <w:tcW w:w="191" w:type="dxa"/>
            <w:tcBorders/>
            <w:vAlign w:val="center"/>
          </w:tcPr>
          <w:p>
            <w:pPr>
              <w:pStyle w:val="TableContents"/>
              <w:bidi w:val="0"/>
              <w:spacing w:before="0" w:after="0"/>
              <w:ind w:left="0" w:right="0" w:hanging="0"/>
              <w:jc w:val="left"/>
              <w:rPr/>
            </w:pPr>
            <w:r>
              <w:rPr/>
              <w:t> </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19,159</w:t>
            </w:r>
          </w:p>
        </w:tc>
        <w:tc>
          <w:tcPr>
            <w:tcW w:w="191" w:type="dxa"/>
            <w:tcBorders/>
            <w:vAlign w:val="center"/>
          </w:tcPr>
          <w:p>
            <w:pPr>
              <w:pStyle w:val="TableContents"/>
              <w:bidi w:val="0"/>
              <w:spacing w:before="0" w:after="0"/>
              <w:ind w:left="0" w:right="0" w:hanging="0"/>
              <w:jc w:val="left"/>
              <w:rPr/>
            </w:pPr>
            <w:r>
              <w:rPr/>
              <w: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15,022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 </w:t>
            </w:r>
          </w:p>
        </w:tc>
        <w:tc>
          <w:tcPr>
            <w:tcW w:w="7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12,654</w:t>
            </w:r>
          </w:p>
        </w:tc>
        <w:tc>
          <w:tcPr>
            <w:tcW w:w="191" w:type="dxa"/>
            <w:tcBorders/>
            <w:vAlign w:val="center"/>
          </w:tcPr>
          <w:p>
            <w:pPr>
              <w:pStyle w:val="TableContents"/>
              <w:bidi w:val="0"/>
              <w:spacing w:before="0" w:after="0"/>
              <w:ind w:left="0" w:right="0" w:hanging="0"/>
              <w:jc w:val="left"/>
              <w:rPr/>
            </w:pPr>
            <w:r>
              <w:rPr/>
              <w:t>​</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11,940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5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64,022</w:t>
            </w:r>
          </w:p>
        </w:tc>
        <w:tc>
          <w:tcPr>
            <w:tcW w:w="19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bookmarkStart w:id="1576" w:name="Tc_d8KWA7QNsECUOsJkBjsstA_5_11"/>
      <w:bookmarkStart w:id="1577" w:name="Tc_JmIgdnhMXEusGSfLJ3746A_5_8"/>
      <w:bookmarkStart w:id="1578" w:name="Tc_i77hHc-7YkWjbATVCETPKA_5_6"/>
      <w:bookmarkStart w:id="1579" w:name="Tc_QG9Jlj3b0EmIj8qNfMrDeg_5_5"/>
      <w:bookmarkStart w:id="1580" w:name="Tc_JwUAjL_f0EiAKcrimzAzmg_5_2"/>
      <w:bookmarkStart w:id="1581" w:name="Tc_l-5BPLq4JkmPMtk3fnPbJg_5_0"/>
      <w:bookmarkStart w:id="1582" w:name="Tc_5y0ViA6tukipFICKpSIFOA_4_9"/>
      <w:bookmarkStart w:id="1583" w:name="Tc_cvA6l1kw0EmLTW90I-4gyg_4_6"/>
      <w:bookmarkStart w:id="1584" w:name="Tc_TgejtHwtsUa20Owv9a8vMQ_4_0"/>
      <w:bookmarkStart w:id="1585" w:name="Tc_58tMgULPS0uTsZVQvI6X1w_3_9"/>
      <w:bookmarkStart w:id="1586" w:name="Tc_6XtrCaomaEyIQueHk6Xm8w_3_6"/>
      <w:bookmarkStart w:id="1587" w:name="Tc_L0uA5qxgJkikrcgvREox3g_3_0"/>
      <w:bookmarkStart w:id="1588" w:name="Tc_DKE8JHcfXEeZbIDQ_IYq3w_2_11"/>
      <w:bookmarkStart w:id="1589" w:name="Tc_BWB2MhEmPUG0otcUP0Wzcg_2_8"/>
      <w:bookmarkStart w:id="1590" w:name="Tc_iAe8AYKSBkCl6mXsW3FDPA_2_6"/>
      <w:bookmarkStart w:id="1591" w:name="Tc_mH0qLBSfEEmpm6-oDqbHdA_2_5"/>
      <w:bookmarkStart w:id="1592" w:name="Tc_rZuTyPcT6E-cZCIII2EmRw_2_2"/>
      <w:bookmarkStart w:id="1593" w:name="Tc_ZDg84XF8p0eWdA88vX5iPw_2_0"/>
      <w:bookmarkStart w:id="1594" w:name="Tc_ypC-xOPN702KpPlzFLQ2_A_1_11"/>
      <w:bookmarkStart w:id="1595" w:name="Tc_dsmm9RSo_kOKmoSZupPhQA_1_8"/>
      <w:bookmarkStart w:id="1596" w:name="Tc_lJXw4TpDCEqLk8eDo4GJvQ_1_5"/>
      <w:bookmarkStart w:id="1597" w:name="Tc_QzmnMFHJMkqA86IEVFlXWg_1_2"/>
      <w:bookmarkStart w:id="1598" w:name="_33a898bb_13b8_42a7_87f4_62d162973a1e"/>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 Goodwill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presents the changes in the Company’s goodwill balance by segment (in thousands):</w:t>
      </w:r>
    </w:p>
    <w:p>
      <w:pPr>
        <w:pStyle w:val="TextBody"/>
        <w:bidi w:val="0"/>
        <w:spacing w:before="0" w:after="0"/>
        <w:ind w:left="0" w:right="0" w:hanging="0"/>
        <w:jc w:val="left"/>
        <w:rPr/>
      </w:pPr>
      <w:r>
        <w:rPr/>
        <w:t>​</w:t>
      </w:r>
    </w:p>
    <w:tbl>
      <w:tblPr>
        <w:tblW w:w="6385" w:type="dxa"/>
        <w:jc w:val="left"/>
        <w:tblInd w:w="0" w:type="dxa"/>
        <w:tblLayout w:type="fixed"/>
        <w:tblCellMar>
          <w:top w:w="0" w:type="dxa"/>
          <w:left w:w="0" w:type="dxa"/>
          <w:bottom w:w="0" w:type="dxa"/>
          <w:right w:w="0" w:type="dxa"/>
        </w:tblCellMar>
      </w:tblPr>
      <w:tblGrid>
        <w:gridCol w:w="2416"/>
        <w:gridCol w:w="109"/>
        <w:gridCol w:w="211"/>
        <w:gridCol w:w="781"/>
        <w:gridCol w:w="109"/>
        <w:gridCol w:w="211"/>
        <w:gridCol w:w="346"/>
        <w:gridCol w:w="109"/>
        <w:gridCol w:w="211"/>
        <w:gridCol w:w="676"/>
        <w:gridCol w:w="109"/>
        <w:gridCol w:w="211"/>
        <w:gridCol w:w="886"/>
      </w:tblGrid>
      <w:tr>
        <w:trPr/>
        <w:tc>
          <w:tcPr>
            <w:tcW w:w="24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1534160" cy="175260"/>
                      <wp:effectExtent l="0" t="0" r="0" b="0"/>
                      <wp:wrapNone/>
                      <wp:docPr id="269" name="Frame269"/>
                      <a:graphic xmlns:a="http://schemas.openxmlformats.org/drawingml/2006/main">
                        <a:graphicData uri="http://schemas.microsoft.com/office/word/2010/wordprocessingShape">
                          <wps:wsp>
                            <wps:cNvSpPr txBox="1"/>
                            <wps:spPr>
                              <a:xfrm>
                                <a:off x="0" y="0"/>
                                <a:ext cx="1534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9215" cy="175260"/>
                      <wp:effectExtent l="0" t="0" r="0" b="0"/>
                      <wp:wrapNone/>
                      <wp:docPr id="270" name="Frame27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133985" cy="175260"/>
                      <wp:effectExtent l="0" t="0" r="0" b="0"/>
                      <wp:wrapNone/>
                      <wp:docPr id="271" name="Frame2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495935" cy="175260"/>
                      <wp:effectExtent l="0" t="0" r="0" b="0"/>
                      <wp:wrapNone/>
                      <wp:docPr id="272" name="Frame2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9215" cy="175260"/>
                      <wp:effectExtent l="0" t="0" r="0" b="0"/>
                      <wp:wrapNone/>
                      <wp:docPr id="273" name="Frame27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33985" cy="175260"/>
                      <wp:effectExtent l="0" t="0" r="0" b="0"/>
                      <wp:wrapNone/>
                      <wp:docPr id="274" name="Frame2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9215" cy="175260"/>
                      <wp:effectExtent l="0" t="0" r="0" b="0"/>
                      <wp:wrapNone/>
                      <wp:docPr id="276" name="Frame27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133985" cy="175260"/>
                      <wp:effectExtent l="0" t="0" r="0" b="0"/>
                      <wp:wrapNone/>
                      <wp:docPr id="277" name="Frame27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429260" cy="175260"/>
                      <wp:effectExtent l="0" t="0" r="0" b="0"/>
                      <wp:wrapNone/>
                      <wp:docPr id="278" name="Frame27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9215" cy="175260"/>
                      <wp:effectExtent l="0" t="0" r="0" b="0"/>
                      <wp:wrapNone/>
                      <wp:docPr id="279" name="Frame27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33985" cy="175260"/>
                      <wp:effectExtent l="0" t="0" r="0" b="0"/>
                      <wp:wrapNone/>
                      <wp:docPr id="280"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562610" cy="175260"/>
                      <wp:effectExtent l="0" t="0" r="0" b="0"/>
                      <wp:wrapNone/>
                      <wp:docPr id="281" name="Frame28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1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109" w:type="dxa"/>
            <w:tcBorders/>
            <w:vAlign w:val="center"/>
          </w:tcPr>
          <w:p>
            <w:pPr>
              <w:pStyle w:val="TableContents"/>
              <w:bidi w:val="0"/>
              <w:spacing w:before="0" w:after="0"/>
              <w:ind w:left="0" w:right="0" w:hanging="0"/>
              <w:jc w:val="left"/>
              <w:rPr/>
            </w:pPr>
            <w:r>
              <w:rPr/>
              <w:t>​</w:t>
            </w:r>
          </w:p>
        </w:tc>
        <w:tc>
          <w:tcPr>
            <w:tcW w:w="5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109" w:type="dxa"/>
            <w:tcBorders/>
            <w:vAlign w:val="center"/>
          </w:tcPr>
          <w:p>
            <w:pPr>
              <w:pStyle w:val="TableContents"/>
              <w:bidi w:val="0"/>
              <w:spacing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April 30, 2023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161,547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180,801</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 to goodwill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94,676</w:t>
            </w:r>
          </w:p>
        </w:tc>
      </w:tr>
      <w:tr>
        <w:trPr/>
        <w:tc>
          <w:tcPr>
            <w:tcW w:w="24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to goodwill</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24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January 27, 2024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255,935</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19,254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275,189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May 1, 2023, the reporting segments for goodwill are UMS, LMS and MW. The UMS segment includes goodwill from the acquisitions of Pulse Aerospace, LLC (“Pulse”), Arcturus UAV, Inc. (“Arcturus”), Telerob, Planck and Tomahawk acquisitions. The Tomahawk acquisition is included in the additions to goodwill. Refer to Note 16—Business Acquisitions for further details. The goodwill change to UMS is attributable to the Telerob acquisition recorded in Euros and translated to dollars at each reporting date. The MW segment includes goodwill from the purchase of certain assets of Intelligent Systems Group business segment (“ISG”) of Progeny Systems Corporation. The MUAS reporting unit, the renamed Arcturus acquisition included in the UMS reportable segment, has a goodwill balance of $134,140,000 as of January 27,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estimated fair value of the MUAS reporting unit does not substantially exceed its carrying value due to the impairment recorded during the most recent annual goodwill impairment test performed during the fourth quarter ended April 30, 2023, resulting in carrying value being equal to estimated fair value. Fair value determinations utilized in the quantitative goodwill impairment test require considerable judgment and are sensitive to changes in underlying assumptions, estimates, and market factors. Estimating the fair value of individual reporting units requires the Company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the Company’s ability to obtain contracts from the U.S. Department of Defense and foreign allied nations and negotiate the estimated pricing are considered the most significant, sensitive assumptions. If current expectations of future growth rates and margins are not met, if market factors outside of the Company’s control, such as discount rates, income tax rates, or inflation, change, or if management’s expectations or plans otherwise change, including updates to long-term operating plans, then MUAS may become impaired in the future. Accordingly, the MUAS reporting unit is considered at an increased risk of failing future quantitative goodwill impairment tests. During the most recent annual impairment test during the fourth quarter of fiscal year 2023 the estimated fair value of all reporting units, other than MUAS, substantially exceeded their carrying value.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January 27, 2024, the company has not identified any events or circumstances that could trigger an impairment review prior to the Company’s annual impairment test. The annual impairment test for the fiscal year ending April 30, 2024 will be performed during the fourth quarter. The intangibles included in the MUAS reporting unit of $14,636,000 as of January 27, 2024 will also be evaluated for potential impairment during the fourth quarter.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 Debt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consummation of the acquisition of Arcturus, a California corporation, pursuant to a Stock Purchase Agreement with Arcturus and each of the shareholders and other equity interest holders of Arcturus, to purchase 100% of the issued and outstanding equity of Arcturus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Credit Agreement and its associated Security and Pledge Agreement set forth the terms and conditions for (i) a five-year $100,000,000 revolving credit facility, which includes a $25,000,000 sublimit for the issuance of standby and commercial letters of credit (the “Revolving Facility”), and (ii) a five-year amortized $200,000,000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99" w:name="Tc_RzJEitXpKEyYAngefd1_Vw_5_2"/>
      <w:bookmarkStart w:id="1600" w:name="Tc_dvf4jAWUSkyfWdVoO3W5tA_4_0"/>
      <w:bookmarkStart w:id="1601" w:name="Tc_t8eNObKQhEKP8uAnNKnV4A_3_0"/>
      <w:bookmarkStart w:id="1602" w:name="Tc_eunk500ix06tauSUFu1uGg_2_3"/>
      <w:bookmarkStart w:id="1603" w:name="Tc_gUps5pWPIEev1lWWYjNGLw_2_2"/>
      <w:bookmarkStart w:id="1604" w:name="Tc_tQ834T-WoEmnJKrhLs403w_2_0"/>
      <w:bookmarkStart w:id="1605" w:name="Tc_Q-kWkdo2-UeJTOtOrHI0-g_1_2"/>
      <w:bookmarkStart w:id="1606" w:name="Tc_7vCktNrHxES3ebSPtmMgmw_12_0"/>
      <w:bookmarkStart w:id="1607" w:name="Tc_fNpRZP4yqE63CMHrtL_jDg_11_5"/>
      <w:bookmarkStart w:id="1608" w:name="Tc_TT-BFQC8H0G9gQh5XwmzBg_11_2"/>
      <w:bookmarkStart w:id="1609" w:name="Tc_4H5Fx_aKp0WWJrMWvzvC9Q_11_0"/>
      <w:bookmarkStart w:id="1610" w:name="Tc_6FvfrwjfX0uwBDa0LGvjCA_10_5"/>
      <w:bookmarkStart w:id="1611" w:name="Tc_8NmKHx06jkWpe3htpJrMlg_10_2"/>
      <w:bookmarkStart w:id="1612" w:name="Tc_H3GjbyN8xUSRxs2PR270mQ_10_0"/>
      <w:bookmarkStart w:id="1613" w:name="Tc_M6btrFp89EmBdqX69n0F7Q_9_0"/>
      <w:bookmarkStart w:id="1614" w:name="Tc_u8J2zAT5CkGeSN_fjrGUKg_8_0"/>
      <w:bookmarkStart w:id="1615" w:name="Tc_CqRQH34FXUWAJhONKpxfwg_7_0"/>
      <w:bookmarkStart w:id="1616" w:name="Tc_hsYAKXLgcEepEY8OIr2axA_6_0"/>
      <w:bookmarkStart w:id="1617" w:name="Tc_ifnnhA0KQEi5eVZVnl-Ldw_5_6"/>
      <w:bookmarkStart w:id="1618" w:name="Tc_iJpm38KOd0qyPp5pIGOf6A_5_3"/>
      <w:bookmarkStart w:id="1619" w:name="Tc_p9XFk12oxkGg4PlC9559SQ_5_0"/>
      <w:bookmarkStart w:id="1620" w:name="Tc_c1A_FygOoUeXeFokR7QKRA_4_5"/>
      <w:bookmarkStart w:id="1621" w:name="Tc_d463eivde0CeMcJLOPhVZA_4_2"/>
      <w:bookmarkStart w:id="1622" w:name="Tc_YtYuD6ZptkuphOuXnTy0Nw_4_0"/>
      <w:bookmarkStart w:id="1623" w:name="Tc_XhDMjL9oOU61MZweY-MGuA_3_5"/>
      <w:bookmarkStart w:id="1624" w:name="Tc_rJ9rHGJmPEmm-RoknJrICA_3_2"/>
      <w:bookmarkStart w:id="1625" w:name="Tc_SD6tDiD5FEegUM3G11M0Hw_2_5"/>
      <w:bookmarkStart w:id="1626" w:name="Tc_o-UqQeN8A0Sqz-lNNfy0oQ_2_2"/>
      <w:bookmarkStart w:id="1627" w:name="Tc_HNOZ1DtStUO-WbZpctBSJA_1_5"/>
      <w:bookmarkStart w:id="1628" w:name="Tc_FXE5v5HqmUmqoNSXZhNK_g_1_2"/>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r>
        <w:rPr>
          <w:rFonts w:ascii="Times New Roman;Times;serif" w:hAnsi="Times New Roman;Times;serif"/>
          <w:sz w:val="20"/>
        </w:rPr>
        <w:t>the Company’s fiscal quarters ending during the period from May 1, 2022 to October 31, 2022; and 3.00 to 1.00 for any fiscal quarter ending thereafter. On June 6, 2023, the Company entered into a Second Amendment to Credit Agreement relating to its existing credit Agreement which increased the sublimit from $10,000,000 to $25,000,000.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Credit Agreement, as amended by the First Amendment to Credit Agreement and Second Amendment to the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First Amendment to Credit Agreement also implemented certain secured overnight financing rate (“SOFR”) interest rate mechanics and interest rate reference benchmark replacement provisions in order to effectuate the transition from 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As of January 27, 2024, the Company is in compliance with all amended covenants.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and the current period interest rates were as follows:</w:t>
      </w:r>
    </w:p>
    <w:p>
      <w:pPr>
        <w:pStyle w:val="TextBody"/>
        <w:bidi w:val="0"/>
        <w:spacing w:before="0" w:after="0"/>
        <w:ind w:left="0" w:right="0" w:hanging="0"/>
        <w:jc w:val="left"/>
        <w:rPr/>
      </w:pPr>
      <w:r>
        <w:rPr/>
        <w:t>​</w:t>
      </w:r>
    </w:p>
    <w:tbl>
      <w:tblPr>
        <w:tblW w:w="8761" w:type="dxa"/>
        <w:jc w:val="left"/>
        <w:tblInd w:w="0" w:type="dxa"/>
        <w:tblLayout w:type="fixed"/>
        <w:tblCellMar>
          <w:top w:w="0" w:type="dxa"/>
          <w:left w:w="0" w:type="dxa"/>
          <w:bottom w:w="0" w:type="dxa"/>
          <w:right w:w="0" w:type="dxa"/>
        </w:tblCellMar>
      </w:tblPr>
      <w:tblGrid>
        <w:gridCol w:w="6001"/>
        <w:gridCol w:w="109"/>
        <w:gridCol w:w="271"/>
        <w:gridCol w:w="869"/>
        <w:gridCol w:w="326"/>
        <w:gridCol w:w="241"/>
        <w:gridCol w:w="944"/>
      </w:tblGrid>
      <w:tr>
        <w:trPr/>
        <w:tc>
          <w:tcPr>
            <w:tcW w:w="60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3810635" cy="175260"/>
                      <wp:effectExtent l="0" t="0" r="0" b="0"/>
                      <wp:wrapNone/>
                      <wp:docPr id="282" name="Frame282"/>
                      <a:graphic xmlns:a="http://schemas.openxmlformats.org/drawingml/2006/main">
                        <a:graphicData uri="http://schemas.microsoft.com/office/word/2010/wordprocessingShape">
                          <wps:wsp>
                            <wps:cNvSpPr txBox="1"/>
                            <wps:spPr>
                              <a:xfrm>
                                <a:off x="0" y="0"/>
                                <a:ext cx="3810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9215" cy="175260"/>
                      <wp:effectExtent l="0" t="0" r="0" b="0"/>
                      <wp:wrapNone/>
                      <wp:docPr id="283" name="Frame28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72085" cy="175260"/>
                      <wp:effectExtent l="0" t="0" r="0" b="0"/>
                      <wp:wrapNone/>
                      <wp:docPr id="284" name="Frame28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551815" cy="175260"/>
                      <wp:effectExtent l="0" t="0" r="0" b="0"/>
                      <wp:wrapNone/>
                      <wp:docPr id="285" name="Frame285"/>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6"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153035" cy="175260"/>
                      <wp:effectExtent l="0" t="0" r="0" b="0"/>
                      <wp:wrapNone/>
                      <wp:docPr id="287" name="Frame287"/>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599440" cy="175260"/>
                      <wp:effectExtent l="0" t="0" r="0" b="0"/>
                      <wp:wrapNone/>
                      <wp:docPr id="288" name="Frame288"/>
                      <a:graphic xmlns:a="http://schemas.openxmlformats.org/drawingml/2006/main">
                        <a:graphicData uri="http://schemas.microsoft.com/office/word/2010/wordprocessingShape">
                          <wps:wsp>
                            <wps:cNvSpPr txBox="1"/>
                            <wps:spPr>
                              <a:xfrm>
                                <a:off x="0" y="0"/>
                                <a:ext cx="599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6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0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facility</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debt</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40,000</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135,000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7,500</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less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32,500</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127,500</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unamortized debt issuance costs - term loans</w:t>
            </w:r>
          </w:p>
        </w:tc>
        <w:tc>
          <w:tcPr>
            <w:tcW w:w="109"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1,208</w:t>
            </w:r>
          </w:p>
        </w:tc>
        <w:tc>
          <w:tcPr>
            <w:tcW w:w="326" w:type="dxa"/>
            <w:tcBorders/>
            <w:vAlign w:val="center"/>
          </w:tcPr>
          <w:p>
            <w:pPr>
              <w:pStyle w:val="TableContents"/>
              <w:bidi w:val="0"/>
              <w:spacing w:before="0" w:after="0"/>
              <w:ind w:left="0" w:right="0" w:hanging="0"/>
              <w:jc w:val="left"/>
              <w:rPr/>
            </w:pPr>
            <w:r>
              <w:rPr/>
              <w:t>​</w:t>
            </w:r>
          </w:p>
        </w:tc>
        <w:tc>
          <w:tcPr>
            <w:tcW w:w="24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1,596</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long-term debt, net of unamortized debt issuance costs - term loans</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31,292</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125,904</w:t>
            </w:r>
          </w:p>
        </w:tc>
      </w:tr>
      <w:tr>
        <w:trPr/>
        <w:tc>
          <w:tcPr>
            <w:tcW w:w="6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Unamortized debt issuance costs - revolving credit facility</w:t>
            </w:r>
          </w:p>
        </w:tc>
        <w:tc>
          <w:tcPr>
            <w:tcW w:w="109"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w:t>
            </w:r>
          </w:p>
        </w:tc>
        <w:tc>
          <w:tcPr>
            <w:tcW w:w="326" w:type="dxa"/>
            <w:tcBorders/>
            <w:vAlign w:val="center"/>
          </w:tcPr>
          <w:p>
            <w:pPr>
              <w:pStyle w:val="TableContents"/>
              <w:bidi w:val="0"/>
              <w:spacing w:before="0" w:after="0"/>
              <w:ind w:left="0" w:right="0" w:hanging="0"/>
              <w:jc w:val="left"/>
              <w:rPr/>
            </w:pPr>
            <w:r>
              <w:rPr/>
              <w:t>​</w:t>
            </w:r>
          </w:p>
        </w:tc>
        <w:tc>
          <w:tcPr>
            <w:tcW w:w="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w:t>
            </w:r>
          </w:p>
        </w:tc>
      </w:tr>
      <w:tr>
        <w:trPr/>
        <w:tc>
          <w:tcPr>
            <w:tcW w:w="60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period interest rate</w:t>
            </w:r>
          </w:p>
        </w:tc>
        <w:tc>
          <w:tcPr>
            <w:tcW w:w="109"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26" w:type="dxa"/>
            <w:tcBorders/>
            <w:shd w:fill="CCEEFF" w:val="clear"/>
            <w:vAlign w:val="center"/>
          </w:tcPr>
          <w:p>
            <w:pPr>
              <w:pStyle w:val="TableContents"/>
              <w:bidi w:val="0"/>
              <w:spacing w:before="0" w:after="0"/>
              <w:ind w:left="0" w:right="0" w:hanging="0"/>
              <w:jc w:val="left"/>
              <w:rPr/>
            </w:pPr>
            <w:r>
              <w:rPr/>
              <w:t>​</w:t>
            </w:r>
          </w:p>
        </w:tc>
        <w:tc>
          <w:tcPr>
            <w:tcW w:w="241" w:type="dxa"/>
            <w:tcBorders/>
            <w:shd w:fill="CCEEFF" w:val="clear"/>
            <w:vAlign w:val="center"/>
          </w:tcPr>
          <w:p>
            <w:pPr>
              <w:pStyle w:val="TableContents"/>
              <w:bidi w:val="0"/>
              <w:spacing w:before="0" w:after="0"/>
              <w:ind w:left="0" w:right="0" w:hanging="0"/>
              <w:jc w:val="left"/>
              <w:rPr/>
            </w:pPr>
            <w:r>
              <w:rPr/>
              <w:t>​</w:t>
            </w:r>
          </w:p>
        </w:tc>
        <w:tc>
          <w:tcPr>
            <w:tcW w:w="944"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7.1%</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Future contractual long-term debt principal payments at January 27, 2024 were as follows:</w:t>
      </w:r>
    </w:p>
    <w:p>
      <w:pPr>
        <w:pStyle w:val="TextBody"/>
        <w:bidi w:val="0"/>
        <w:spacing w:before="0" w:after="0"/>
        <w:ind w:left="0" w:right="0" w:hanging="0"/>
        <w:jc w:val="left"/>
        <w:rPr/>
      </w:pPr>
      <w:r>
        <w:rPr/>
        <w:t>​</w:t>
      </w:r>
    </w:p>
    <w:tbl>
      <w:tblPr>
        <w:tblW w:w="1835" w:type="dxa"/>
        <w:jc w:val="left"/>
        <w:tblInd w:w="0" w:type="dxa"/>
        <w:tblLayout w:type="fixed"/>
        <w:tblCellMar>
          <w:top w:w="0" w:type="dxa"/>
          <w:left w:w="0" w:type="dxa"/>
          <w:bottom w:w="0" w:type="dxa"/>
          <w:right w:w="0" w:type="dxa"/>
        </w:tblCellMar>
      </w:tblPr>
      <w:tblGrid>
        <w:gridCol w:w="541"/>
        <w:gridCol w:w="109"/>
        <w:gridCol w:w="251"/>
        <w:gridCol w:w="934"/>
      </w:tblGrid>
      <w:tr>
        <w:trPr/>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343535" cy="175260"/>
                      <wp:effectExtent l="0" t="0" r="0" b="0"/>
                      <wp:wrapNone/>
                      <wp:docPr id="289" name="Frame28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9215" cy="175260"/>
                      <wp:effectExtent l="0" t="0" r="0" b="0"/>
                      <wp:wrapNone/>
                      <wp:docPr id="290" name="Frame2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59385" cy="175260"/>
                      <wp:effectExtent l="0" t="0" r="0" b="0"/>
                      <wp:wrapNone/>
                      <wp:docPr id="291" name="Frame291"/>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593090" cy="175260"/>
                      <wp:effectExtent l="0" t="0" r="0" b="0"/>
                      <wp:wrapNone/>
                      <wp:docPr id="292" name="Frame292"/>
                      <a:graphic xmlns:a="http://schemas.openxmlformats.org/drawingml/2006/main">
                        <a:graphicData uri="http://schemas.microsoft.com/office/word/2010/wordprocessingShape">
                          <wps:wsp>
                            <wps:cNvSpPr txBox="1"/>
                            <wps:spPr>
                              <a:xfrm>
                                <a:off x="0" y="0"/>
                                <a:ext cx="593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CCEEFF" w:val="clear"/>
            <w:vAlign w:val="center"/>
          </w:tcPr>
          <w:p>
            <w:pPr>
              <w:pStyle w:val="TableContents"/>
              <w:bidi w:val="0"/>
              <w:spacing w:before="0" w:after="0"/>
              <w:ind w:left="0" w:right="0" w:hanging="0"/>
              <w:jc w:val="right"/>
              <w:rPr/>
            </w:pPr>
            <w:r>
              <w:rPr/>
              <w:t>—</w:t>
            </w:r>
          </w:p>
        </w:tc>
      </w:tr>
      <w:tr>
        <w:trPr/>
        <w:tc>
          <w:tcPr>
            <w:tcW w:w="5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51" w:type="dxa"/>
            <w:tcBorders/>
            <w:vAlign w:val="center"/>
          </w:tcPr>
          <w:p>
            <w:pPr>
              <w:pStyle w:val="TableContents"/>
              <w:bidi w:val="0"/>
              <w:spacing w:before="0" w:after="0"/>
              <w:ind w:left="0" w:right="0" w:hanging="0"/>
              <w:jc w:val="left"/>
              <w:rPr/>
            </w:pPr>
            <w:r>
              <w:rPr/>
              <w:t> </w:t>
            </w:r>
          </w:p>
        </w:tc>
        <w:tc>
          <w:tcPr>
            <w:tcW w:w="9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5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5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40,000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629" w:name="Tc_4YvqKnwnLk6h37MyeFtWCw_8_5"/>
      <w:bookmarkStart w:id="1630" w:name="Tc_lnVJM6JnL0WNlR3gZ2O9Lw_8_2"/>
      <w:bookmarkStart w:id="1631" w:name="Tc_LXvsG8w8GUqYmeqcMDzzoA_8_0"/>
      <w:bookmarkStart w:id="1632" w:name="Tc_8Dj2u746xUWKD2vkWdU2Sw_7_6"/>
      <w:bookmarkStart w:id="1633" w:name="Tc_v9q0Hl7GlEyrusV1uEh7VQ_7_3"/>
      <w:bookmarkStart w:id="1634" w:name="Tc_bv58m5ksFUKuLg1xg-c0AQ_7_0"/>
      <w:bookmarkStart w:id="1635" w:name="Tc_-YR-V8ZfqkuK9jhG9ip16A_6_0"/>
      <w:bookmarkStart w:id="1636" w:name="Tc_Z0zC6OOtq0awA5H0DM2A6g_5_0"/>
      <w:bookmarkStart w:id="1637" w:name="Tc_gckkv2NflUihR60drizn4A_4_5"/>
      <w:bookmarkStart w:id="1638" w:name="Tc_eWp7iWEF4km2EMfoZyPeNQ_4_2"/>
      <w:bookmarkStart w:id="1639" w:name="Tc_vXKiDsF-bEWD7fLMXEGx0A_4_0"/>
      <w:bookmarkStart w:id="1640" w:name="Tc_zIJQN5YM6U-3mQliC1aHGw_3_5"/>
      <w:bookmarkStart w:id="1641" w:name="Tc_fQDrZZGx20GfWicLUJzMPg_3_2"/>
      <w:bookmarkStart w:id="1642" w:name="Tc_jqKZwps4RkmF6pmhS9SY9A_2_5"/>
      <w:bookmarkStart w:id="1643" w:name="Tc_G-H6BQCJd0amo_kXUDmJMQ_2_2"/>
      <w:bookmarkStart w:id="1644" w:name="Tc_hdbM8c4QckSloZQ7dLc3Tg_1_5"/>
      <w:bookmarkStart w:id="1645" w:name="Tc_l5SQ42w5jEeJxpHhRTxxHA_1_2"/>
      <w:bookmarkStart w:id="1646" w:name="_43ef91a9_54f0_44e4_a2cf_6caa92d380ab"/>
      <w:bookmarkEnd w:id="1629"/>
      <w:bookmarkEnd w:id="1630"/>
      <w:bookmarkEnd w:id="1631"/>
      <w:bookmarkEnd w:id="1632"/>
      <w:bookmarkEnd w:id="1633"/>
      <w:bookmarkEnd w:id="1634"/>
      <w:bookmarkEnd w:id="1635"/>
      <w:bookmarkEnd w:id="1636"/>
      <w:bookmarkEnd w:id="1637"/>
      <w:bookmarkEnd w:id="1638"/>
      <w:bookmarkEnd w:id="1639"/>
      <w:bookmarkEnd w:id="1640"/>
      <w:bookmarkEnd w:id="1641"/>
      <w:bookmarkEnd w:id="1642"/>
      <w:bookmarkEnd w:id="1643"/>
      <w:bookmarkEnd w:id="1644"/>
      <w:bookmarkEnd w:id="1645"/>
      <w:bookmarkEnd w:id="1646"/>
      <w:r>
        <w:rPr>
          <w:rFonts w:ascii="Times New Roman;Times;serif" w:hAnsi="Times New Roman;Times;serif"/>
          <w:b/>
          <w:sz w:val="20"/>
        </w:rPr>
        <w:t>10. Leases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 on the unaudited condensed consolidated balance sheet.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seven years, some of which may include options to extend the lease for up to nine years, and some of which may include options to terminate the lease after three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does not have any material restrictions or covenants in its lease agreements, sale-leaseback transactions, land easements or residual value guarantees.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lease costs recorded in cost of sales and selling, general and administrative (“SG&amp;A”) expense were as follows (in thousands):</w:t>
      </w:r>
    </w:p>
    <w:p>
      <w:pPr>
        <w:pStyle w:val="TextBody"/>
        <w:bidi w:val="0"/>
        <w:spacing w:before="0" w:after="0"/>
        <w:ind w:left="0" w:right="0" w:hanging="0"/>
        <w:jc w:val="left"/>
        <w:rPr/>
      </w:pPr>
      <w:r>
        <w:rPr/>
        <w:t>​</w:t>
      </w:r>
    </w:p>
    <w:tbl>
      <w:tblPr>
        <w:tblW w:w="5401" w:type="dxa"/>
        <w:jc w:val="left"/>
        <w:tblInd w:w="0" w:type="dxa"/>
        <w:tblLayout w:type="fixed"/>
        <w:tblCellMar>
          <w:top w:w="0" w:type="dxa"/>
          <w:left w:w="0" w:type="dxa"/>
          <w:bottom w:w="0" w:type="dxa"/>
          <w:right w:w="0" w:type="dxa"/>
        </w:tblCellMar>
      </w:tblPr>
      <w:tblGrid>
        <w:gridCol w:w="1801"/>
        <w:gridCol w:w="326"/>
        <w:gridCol w:w="421"/>
        <w:gridCol w:w="1139"/>
        <w:gridCol w:w="109"/>
        <w:gridCol w:w="382"/>
        <w:gridCol w:w="1223"/>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143635" cy="175260"/>
                      <wp:effectExtent l="0" t="0" r="0" b="0"/>
                      <wp:wrapNone/>
                      <wp:docPr id="293" name="Frame293"/>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07010" cy="175260"/>
                      <wp:effectExtent l="0" t="0" r="0" b="0"/>
                      <wp:wrapNone/>
                      <wp:docPr id="294"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67335" cy="175260"/>
                      <wp:effectExtent l="0" t="0" r="0" b="0"/>
                      <wp:wrapNone/>
                      <wp:docPr id="295" name="Frame29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23265" cy="175260"/>
                      <wp:effectExtent l="0" t="0" r="0" b="0"/>
                      <wp:wrapNone/>
                      <wp:docPr id="296" name="Frame296"/>
                      <a:graphic xmlns:a="http://schemas.openxmlformats.org/drawingml/2006/main">
                        <a:graphicData uri="http://schemas.microsoft.com/office/word/2010/wordprocessingShape">
                          <wps:wsp>
                            <wps:cNvSpPr txBox="1"/>
                            <wps:spPr>
                              <a:xfrm>
                                <a:off x="0" y="0"/>
                                <a:ext cx="723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9215" cy="175260"/>
                      <wp:effectExtent l="0" t="0" r="0" b="0"/>
                      <wp:wrapNone/>
                      <wp:docPr id="297" name="Frame2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242570" cy="175260"/>
                      <wp:effectExtent l="0" t="0" r="0" b="0"/>
                      <wp:wrapNone/>
                      <wp:docPr id="298" name="Frame298"/>
                      <a:graphic xmlns:a="http://schemas.openxmlformats.org/drawingml/2006/main">
                        <a:graphicData uri="http://schemas.microsoft.com/office/word/2010/wordprocessingShape">
                          <wps:wsp>
                            <wps:cNvSpPr txBox="1"/>
                            <wps:spPr>
                              <a:xfrm>
                                <a:off x="0" y="0"/>
                                <a:ext cx="242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776605" cy="175260"/>
                      <wp:effectExtent l="0" t="0" r="0" b="0"/>
                      <wp:wrapNone/>
                      <wp:docPr id="299" name="Frame299"/>
                      <a:graphic xmlns:a="http://schemas.openxmlformats.org/drawingml/2006/main">
                        <a:graphicData uri="http://schemas.microsoft.com/office/word/2010/wordprocessingShape">
                          <wps:wsp>
                            <wps:cNvSpPr txBox="1"/>
                            <wps:spPr>
                              <a:xfrm>
                                <a:off x="0" y="0"/>
                                <a:ext cx="776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6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18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6,923</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5,866</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 term lease cost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left"/>
              <w:rPr/>
            </w:pPr>
            <w:r>
              <w:rPr/>
              <w:t>​</w:t>
            </w:r>
          </w:p>
        </w:tc>
        <w:tc>
          <w:tcPr>
            <w:tcW w:w="11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984</w:t>
            </w:r>
          </w:p>
        </w:tc>
        <w:tc>
          <w:tcPr>
            <w:tcW w:w="109" w:type="dxa"/>
            <w:tcBorders/>
            <w:vAlign w:val="center"/>
          </w:tcPr>
          <w:p>
            <w:pPr>
              <w:pStyle w:val="TableContents"/>
              <w:bidi w:val="0"/>
              <w:spacing w:before="0" w:after="0"/>
              <w:ind w:left="0" w:right="0" w:hanging="0"/>
              <w:jc w:val="left"/>
              <w:rPr/>
            </w:pPr>
            <w:r>
              <w:rPr/>
              <w:t>​</w:t>
            </w:r>
          </w:p>
        </w:tc>
        <w:tc>
          <w:tcPr>
            <w:tcW w:w="382" w:type="dxa"/>
            <w:tcBorders/>
            <w:vAlign w:val="center"/>
          </w:tcPr>
          <w:p>
            <w:pPr>
              <w:pStyle w:val="TableContents"/>
              <w:bidi w:val="0"/>
              <w:spacing w:before="0" w:after="0"/>
              <w:ind w:left="0" w:right="0" w:hanging="0"/>
              <w:jc w:val="left"/>
              <w:rPr/>
            </w:pPr>
            <w:r>
              <w:rPr/>
              <w:t>​</w:t>
            </w:r>
          </w:p>
        </w:tc>
        <w:tc>
          <w:tcPr>
            <w:tcW w:w="12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662</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left"/>
              <w:rPr/>
            </w:pPr>
            <w:r>
              <w:rPr/>
              <w:t>​</w:t>
            </w:r>
          </w:p>
        </w:tc>
        <w:tc>
          <w:tcPr>
            <w:tcW w:w="11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12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w:t>
            </w:r>
          </w:p>
        </w:tc>
      </w:tr>
      <w:tr>
        <w:trPr/>
        <w:tc>
          <w:tcPr>
            <w:tcW w:w="18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Sublease income</w:t>
            </w:r>
          </w:p>
        </w:tc>
        <w:tc>
          <w:tcPr>
            <w:tcW w:w="326" w:type="dxa"/>
            <w:tcBorders/>
            <w:vAlign w:val="center"/>
          </w:tcPr>
          <w:p>
            <w:pPr>
              <w:pStyle w:val="TableContents"/>
              <w:bidi w:val="0"/>
              <w:spacing w:before="0" w:after="0"/>
              <w:ind w:left="0" w:right="0" w:hanging="0"/>
              <w:jc w:val="left"/>
              <w:rPr/>
            </w:pPr>
            <w:r>
              <w:rPr/>
              <w:t>​</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3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23"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18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costs, net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9,099</w:t>
            </w:r>
          </w:p>
        </w:tc>
        <w:tc>
          <w:tcPr>
            <w:tcW w:w="109" w:type="dxa"/>
            <w:tcBorders/>
            <w:shd w:fill="CCEE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3"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8,013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647" w:name="Tc_gEceOS5ktEyIOWRjZLL4Tw_9_2"/>
      <w:bookmarkStart w:id="1648" w:name="Tc_S3-PrtHR-UmVOIcafu3Mhw_9_0"/>
      <w:bookmarkStart w:id="1649" w:name="Tc__mAHRtfSIUyL0WIvQNC0Gw_8_0"/>
      <w:bookmarkStart w:id="1650" w:name="Tc_aQV8cp5DME6RBb8nR7bo_g_7_0"/>
      <w:bookmarkStart w:id="1651" w:name="Tc_7LqNvGUrg0ad5X3H3RbOHw_6_0"/>
      <w:bookmarkStart w:id="1652" w:name="Tc_dsH0cwQPUU2kbVpYG5XT2w_5_0"/>
      <w:bookmarkStart w:id="1653" w:name="Tc_eGxc-LKF7k-PK9mzLFZxUg_4_0"/>
      <w:bookmarkStart w:id="1654" w:name="Tc_d-9izOLQkUm24SGfHkqm5w_3_0"/>
      <w:bookmarkStart w:id="1655" w:name="Tc_OYzE4UwteEitO38fb2GngA_2_0"/>
      <w:bookmarkStart w:id="1656" w:name="Tc_QL2zBOjSYEqHxVTCrno0aA_1_2"/>
      <w:bookmarkStart w:id="1657" w:name="Tc_sDY-0Ipb1EaVdVR3ylNXhA_1_0"/>
      <w:bookmarkStart w:id="1658" w:name="_ca1cc16a_7d4a_4727_bb0e_b58eb9d9184d"/>
      <w:bookmarkStart w:id="1659" w:name="Tc_Xwzili8XwE-iZoAQ3YDc8w_9_0"/>
      <w:bookmarkStart w:id="1660" w:name="Tc_8xMrhaLOdUq0lhRUFpJALA_8_0"/>
      <w:bookmarkStart w:id="1661" w:name="Tc_ETacEsc3mUu6mTEXNlCLAw_6_5"/>
      <w:bookmarkStart w:id="1662" w:name="Tc_movoRR1hY0mt-D_SdMBSiw_6_2"/>
      <w:bookmarkStart w:id="1663" w:name="Tc_gmIMQ6ZGvUytOjbdF5jBzQ_6_0"/>
      <w:bookmarkStart w:id="1664" w:name="Tc_XJaVp8l-60-ertNh_ZHYBQ_5_5"/>
      <w:bookmarkStart w:id="1665" w:name="Tc_3zMWB8vEQ02tSqV_yXDjvg_5_2"/>
      <w:bookmarkStart w:id="1666" w:name="Tc_AhUma3IlgEiF7Oz0Xd7Hcw_5_0"/>
      <w:bookmarkStart w:id="1667" w:name="Tc_PMwPU-Iyokm3Keyl0jcIpg_4_5"/>
      <w:bookmarkStart w:id="1668" w:name="Tc_Q5oxLKeO70-SQsYN85D_wA_4_2"/>
      <w:bookmarkStart w:id="1669" w:name="Tc_FVS59Pw1AUuXVei5L-AzwQ_3_5"/>
      <w:bookmarkStart w:id="1670" w:name="Tc_EDGNtyWRs0CDW5Fw-EKaHA_3_2"/>
      <w:bookmarkStart w:id="1671" w:name="Tc_RtHmeufRwkWQjZ4ukuBZCw_2_5"/>
      <w:bookmarkStart w:id="1672" w:name="Tc_X-DfQKV-10yNSHO0Vq1P3g_2_2"/>
      <w:bookmarkStart w:id="1673" w:name="Tc_ej2QKAAl8EqAxwY1_1h_bA_1_5"/>
      <w:bookmarkStart w:id="1674" w:name="Tc_uaLSYjEYDUu6WYd5fyS5og_1_2"/>
      <w:bookmarkStart w:id="1675" w:name="_6b6e2186_b024_4550_8731_4c353310f158"/>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r>
        <w:rPr>
          <w:rFonts w:ascii="Times New Roman;Times;serif" w:hAnsi="Times New Roman;Times;serif"/>
          <w:sz w:val="20"/>
        </w:rPr>
        <w:t>Supplemental lease information was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6608"/>
        <w:gridCol w:w="326"/>
        <w:gridCol w:w="281"/>
        <w:gridCol w:w="1277"/>
        <w:gridCol w:w="109"/>
        <w:gridCol w:w="278"/>
        <w:gridCol w:w="1326"/>
      </w:tblGrid>
      <w:tr>
        <w:trPr/>
        <w:tc>
          <w:tcPr>
            <w:tcW w:w="66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4196080" cy="175260"/>
                      <wp:effectExtent l="0" t="0" r="0" b="0"/>
                      <wp:wrapNone/>
                      <wp:docPr id="300" name="Frame300"/>
                      <a:graphic xmlns:a="http://schemas.openxmlformats.org/drawingml/2006/main">
                        <a:graphicData uri="http://schemas.microsoft.com/office/word/2010/wordprocessingShape">
                          <wps:wsp>
                            <wps:cNvSpPr txBox="1"/>
                            <wps:spPr>
                              <a:xfrm>
                                <a:off x="0" y="0"/>
                                <a:ext cx="4196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207010" cy="175260"/>
                      <wp:effectExtent l="0" t="0" r="0" b="0"/>
                      <wp:wrapNone/>
                      <wp:docPr id="301"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178435" cy="175260"/>
                      <wp:effectExtent l="0" t="0" r="0" b="0"/>
                      <wp:wrapNone/>
                      <wp:docPr id="302" name="Frame302"/>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810895" cy="175260"/>
                      <wp:effectExtent l="0" t="0" r="0" b="0"/>
                      <wp:wrapNone/>
                      <wp:docPr id="303" name="Frame303"/>
                      <a:graphic xmlns:a="http://schemas.openxmlformats.org/drawingml/2006/main">
                        <a:graphicData uri="http://schemas.microsoft.com/office/word/2010/wordprocessingShape">
                          <wps:wsp>
                            <wps:cNvSpPr txBox="1"/>
                            <wps:spPr>
                              <a:xfrm>
                                <a:off x="0" y="0"/>
                                <a:ext cx="810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9215" cy="175260"/>
                      <wp:effectExtent l="0" t="0" r="0" b="0"/>
                      <wp:wrapNone/>
                      <wp:docPr id="304" name="Frame3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76530" cy="175260"/>
                      <wp:effectExtent l="0" t="0" r="0" b="0"/>
                      <wp:wrapNone/>
                      <wp:docPr id="305" name="Frame305"/>
                      <a:graphic xmlns:a="http://schemas.openxmlformats.org/drawingml/2006/main">
                        <a:graphicData uri="http://schemas.microsoft.com/office/word/2010/wordprocessingShape">
                          <wps:wsp>
                            <wps:cNvSpPr txBox="1"/>
                            <wps:spPr>
                              <a:xfrm>
                                <a:off x="0" y="0"/>
                                <a:ext cx="1765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842010" cy="175260"/>
                      <wp:effectExtent l="0" t="0" r="0" b="0"/>
                      <wp:wrapNone/>
                      <wp:docPr id="306" name="Frame306"/>
                      <a:graphic xmlns:a="http://schemas.openxmlformats.org/drawingml/2006/main">
                        <a:graphicData uri="http://schemas.microsoft.com/office/word/2010/wordprocessingShape">
                          <wps:wsp>
                            <wps:cNvSpPr txBox="1"/>
                            <wps:spPr>
                              <a:xfrm>
                                <a:off x="0" y="0"/>
                                <a:ext cx="842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09" w:type="dxa"/>
            <w:tcBorders/>
            <w:vAlign w:val="center"/>
          </w:tcPr>
          <w:p>
            <w:pPr>
              <w:pStyle w:val="TableContents"/>
              <w:bidi w:val="0"/>
              <w:spacing w:before="0" w:after="0"/>
              <w:ind w:left="0" w:right="0" w:hanging="0"/>
              <w:jc w:val="left"/>
              <w:rPr/>
            </w:pPr>
            <w:r>
              <w:rPr/>
              <w:t>​</w:t>
            </w:r>
          </w:p>
        </w:tc>
        <w:tc>
          <w:tcPr>
            <w:tcW w:w="16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6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6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6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60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0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558"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60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6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paid for amounts included in the measurement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6,895</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5,777</w:t>
            </w:r>
          </w:p>
        </w:tc>
      </w:tr>
      <w:tr>
        <w:trPr/>
        <w:tc>
          <w:tcPr>
            <w:tcW w:w="6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new lease liabilities</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7,399</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6,607</w:t>
            </w:r>
          </w:p>
        </w:tc>
      </w:tr>
      <w:tr>
        <w:trPr/>
        <w:tc>
          <w:tcPr>
            <w:tcW w:w="66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26" w:type="dxa"/>
            <w:tcBorders/>
            <w:shd w:fill="CCEEFF" w:val="clear"/>
            <w:vAlign w:val="center"/>
          </w:tcPr>
          <w:p>
            <w:pPr>
              <w:pStyle w:val="TableContents"/>
              <w:bidi w:val="0"/>
              <w:spacing w:before="0" w:after="0"/>
              <w:ind w:left="0" w:right="0" w:hanging="0"/>
              <w:jc w:val="left"/>
              <w:rPr/>
            </w:pPr>
            <w:r>
              <w:rPr/>
              <w:t>​</w:t>
            </w:r>
          </w:p>
        </w:tc>
      </w:tr>
      <w:tr>
        <w:trPr/>
        <w:tc>
          <w:tcPr>
            <w:tcW w:w="66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w:t>
            </w:r>
          </w:p>
        </w:tc>
        <w:tc>
          <w:tcPr>
            <w:tcW w:w="32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w:t>
            </w:r>
          </w:p>
        </w:tc>
        <w:tc>
          <w:tcPr>
            <w:tcW w:w="12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 months</w:t>
            </w:r>
          </w:p>
        </w:tc>
        <w:tc>
          <w:tcPr>
            <w:tcW w:w="109" w:type="dxa"/>
            <w:tcBorders/>
            <w:vAlign w:val="center"/>
          </w:tcPr>
          <w:p>
            <w:pPr>
              <w:pStyle w:val="TableContents"/>
              <w:bidi w:val="0"/>
              <w:spacing w:before="0" w:after="0"/>
              <w:ind w:left="0" w:right="0" w:hanging="0"/>
              <w:jc w:val="left"/>
              <w:rPr/>
            </w:pPr>
            <w:r>
              <w:rPr/>
              <w:t>​</w:t>
            </w:r>
          </w:p>
        </w:tc>
        <w:tc>
          <w:tcPr>
            <w:tcW w:w="278" w:type="dxa"/>
            <w:tcBorders/>
            <w:vAlign w:val="center"/>
          </w:tcPr>
          <w:p>
            <w:pPr>
              <w:pStyle w:val="TableContents"/>
              <w:bidi w:val="0"/>
              <w:spacing w:before="0" w:after="0"/>
              <w:ind w:left="0" w:right="0" w:hanging="0"/>
              <w:jc w:val="left"/>
              <w:rPr/>
            </w:pPr>
            <w:r>
              <w:rPr/>
              <w:t>​</w:t>
            </w:r>
          </w:p>
        </w:tc>
        <w:tc>
          <w:tcPr>
            <w:tcW w:w="13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 months</w:t>
            </w:r>
          </w:p>
        </w:tc>
      </w:tr>
      <w:tr>
        <w:trPr/>
        <w:tc>
          <w:tcPr>
            <w:tcW w:w="66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discount rate</w:t>
            </w:r>
          </w:p>
        </w:tc>
        <w:tc>
          <w:tcPr>
            <w:tcW w:w="32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pPr>
            <w:r>
              <w:rPr/>
              <w:t>​</w:t>
            </w:r>
          </w:p>
        </w:tc>
        <w:tc>
          <w:tcPr>
            <w:tcW w:w="12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109" w:type="dxa"/>
            <w:tcBorders/>
            <w:shd w:fill="CCEEFF" w:val="clear"/>
            <w:vAlign w:val="center"/>
          </w:tcPr>
          <w:p>
            <w:pPr>
              <w:pStyle w:val="TableContents"/>
              <w:bidi w:val="0"/>
              <w:spacing w:before="0" w:after="0"/>
              <w:ind w:left="0" w:right="0" w:hanging="0"/>
              <w:jc w:val="left"/>
              <w:rPr/>
            </w:pPr>
            <w:r>
              <w:rPr/>
              <w:t>​</w:t>
            </w:r>
          </w:p>
        </w:tc>
        <w:tc>
          <w:tcPr>
            <w:tcW w:w="278" w:type="dxa"/>
            <w:tcBorders/>
            <w:shd w:fill="CCEEFF" w:val="clear"/>
            <w:vAlign w:val="center"/>
          </w:tcPr>
          <w:p>
            <w:pPr>
              <w:pStyle w:val="TableContents"/>
              <w:bidi w:val="0"/>
              <w:spacing w:before="0" w:after="0"/>
              <w:ind w:left="0" w:right="0" w:hanging="0"/>
              <w:jc w:val="left"/>
              <w:rPr/>
            </w:pPr>
            <w:r>
              <w:rPr/>
              <w:t>​</w:t>
            </w:r>
          </w:p>
        </w:tc>
        <w:tc>
          <w:tcPr>
            <w:tcW w:w="13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operating lease liabilities as of January 27, 2024 were as follows (in thousands):</w:t>
      </w:r>
    </w:p>
    <w:p>
      <w:pPr>
        <w:pStyle w:val="TextBody"/>
        <w:bidi w:val="0"/>
        <w:spacing w:before="0" w:after="0"/>
        <w:ind w:left="0" w:right="0" w:hanging="0"/>
        <w:jc w:val="left"/>
        <w:rPr/>
      </w:pPr>
      <w:r>
        <w:rPr/>
        <w:t>​</w:t>
      </w:r>
    </w:p>
    <w:tbl>
      <w:tblPr>
        <w:tblW w:w="5092" w:type="dxa"/>
        <w:jc w:val="left"/>
        <w:tblInd w:w="0" w:type="dxa"/>
        <w:tblLayout w:type="fixed"/>
        <w:tblCellMar>
          <w:top w:w="0" w:type="dxa"/>
          <w:left w:w="0" w:type="dxa"/>
          <w:bottom w:w="0" w:type="dxa"/>
          <w:right w:w="0" w:type="dxa"/>
        </w:tblCellMar>
      </w:tblPr>
      <w:tblGrid>
        <w:gridCol w:w="3991"/>
        <w:gridCol w:w="109"/>
        <w:gridCol w:w="211"/>
        <w:gridCol w:w="781"/>
      </w:tblGrid>
      <w:tr>
        <w:trPr/>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534285" cy="175260"/>
                      <wp:effectExtent l="0" t="0" r="0" b="0"/>
                      <wp:wrapNone/>
                      <wp:docPr id="307" name="Frame307"/>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9215" cy="175260"/>
                      <wp:effectExtent l="0" t="0" r="0" b="0"/>
                      <wp:wrapNone/>
                      <wp:docPr id="308" name="Frame30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495935" cy="175260"/>
                      <wp:effectExtent l="0" t="0" r="0" b="0"/>
                      <wp:wrapNone/>
                      <wp:docPr id="310" name="Frame31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9,552</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7,339</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6,562</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4,520</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5,106</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35,521</w:t>
            </w:r>
          </w:p>
        </w:tc>
      </w:tr>
      <w:tr>
        <w:trPr/>
        <w:tc>
          <w:tcPr>
            <w:tcW w:w="39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(4,609)</w:t>
            </w:r>
          </w:p>
        </w:tc>
      </w:tr>
      <w:tr>
        <w:trPr/>
        <w:tc>
          <w:tcPr>
            <w:tcW w:w="39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present value of operating lease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30,912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676" w:name="Tc_DAvY2dsUNEiT0C21RbXG2Q_7_5"/>
      <w:bookmarkStart w:id="1677" w:name="Tc_GEWrKCHCH06kUE_T4YsriA_7_2"/>
      <w:bookmarkStart w:id="1678" w:name="Tc_E2BMRh_g1E-l4-ixQFsrfg_7_0"/>
      <w:bookmarkStart w:id="1679" w:name="Tc_Y9Z8ew5DOEqs3xntxecbyg_6_0"/>
      <w:bookmarkStart w:id="1680" w:name="Tc_0oYLNwmhf0S2VChEmewN8w_5_3"/>
      <w:bookmarkStart w:id="1681" w:name="Tc_sKA-s9X5X0ulyqrdLVfYhw_5_0"/>
      <w:bookmarkStart w:id="1682" w:name="Tc_6O6T_jrxf0u3YqqMgpBegg_4_5"/>
      <w:bookmarkStart w:id="1683" w:name="Tc_3kVzMvejrkWUc5gJNg7BjQ_4_2"/>
      <w:bookmarkStart w:id="1684" w:name="Tc_-kegL5Nd-UmFkXOYGAHeHg_4_0"/>
      <w:bookmarkStart w:id="1685" w:name="Tc_jN2_4FWAaEmMCFs8qA4uYw_3_5"/>
      <w:bookmarkStart w:id="1686" w:name="Tc_t8jRvERVmUq17-XbFRh_Mw_3_2"/>
      <w:bookmarkStart w:id="1687" w:name="Tc_Mervhx3lAUGvanv4JFwU4g_2_5"/>
      <w:bookmarkStart w:id="1688" w:name="Tc_F7OHDazdb0yx7oqcczjpmA_2_2"/>
      <w:bookmarkStart w:id="1689" w:name="Tc_Kk-5sF5-00iu0WhXncKE7w_1_5"/>
      <w:bookmarkStart w:id="1690" w:name="Tc_OsSYi3pufEyJIVQhR2qGpA_1_2"/>
      <w:bookmarkStart w:id="1691" w:name="_d3502e67_1bf0_4e77_9501_ad57dd030cc4"/>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r>
        <w:rPr>
          <w:rFonts w:ascii="Times New Roman;Times;serif" w:hAnsi="Times New Roman;Times;serif"/>
          <w:b/>
          <w:sz w:val="20"/>
        </w:rPr>
        <w:t>11. Accumulated Other Comprehensive Loss and Reclassifications Adjustments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components of accumulated other comprehensive loss and adjustments are as follows (in thousands):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042"/>
        <w:gridCol w:w="326"/>
        <w:gridCol w:w="338"/>
        <w:gridCol w:w="894"/>
        <w:gridCol w:w="326"/>
        <w:gridCol w:w="334"/>
        <w:gridCol w:w="945"/>
      </w:tblGrid>
      <w:tr>
        <w:trPr/>
        <w:tc>
          <w:tcPr>
            <w:tcW w:w="7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4471670" cy="175260"/>
                      <wp:effectExtent l="0" t="0" r="0" b="0"/>
                      <wp:wrapNone/>
                      <wp:docPr id="311" name="Frame311"/>
                      <a:graphic xmlns:a="http://schemas.openxmlformats.org/drawingml/2006/main">
                        <a:graphicData uri="http://schemas.microsoft.com/office/word/2010/wordprocessingShape">
                          <wps:wsp>
                            <wps:cNvSpPr txBox="1"/>
                            <wps:spPr>
                              <a:xfrm>
                                <a:off x="0" y="0"/>
                                <a:ext cx="4471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12" name="Frame3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4630" cy="175260"/>
                      <wp:effectExtent l="0" t="0" r="0" b="0"/>
                      <wp:wrapNone/>
                      <wp:docPr id="313" name="Frame313"/>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567690" cy="175260"/>
                      <wp:effectExtent l="0" t="0" r="0" b="0"/>
                      <wp:wrapNone/>
                      <wp:docPr id="314" name="Frame314"/>
                      <a:graphic xmlns:a="http://schemas.openxmlformats.org/drawingml/2006/main">
                        <a:graphicData uri="http://schemas.microsoft.com/office/word/2010/wordprocessingShape">
                          <wps:wsp>
                            <wps:cNvSpPr txBox="1"/>
                            <wps:spPr>
                              <a:xfrm>
                                <a:off x="0" y="0"/>
                                <a:ext cx="567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5" name="Frame3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2090" cy="175260"/>
                      <wp:effectExtent l="0" t="0" r="0" b="0"/>
                      <wp:wrapNone/>
                      <wp:docPr id="316" name="Frame316"/>
                      <a:graphic xmlns:a="http://schemas.openxmlformats.org/drawingml/2006/main">
                        <a:graphicData uri="http://schemas.microsoft.com/office/word/2010/wordprocessingShape">
                          <wps:wsp>
                            <wps:cNvSpPr txBox="1"/>
                            <wps:spPr>
                              <a:xfrm>
                                <a:off x="0" y="0"/>
                                <a:ext cx="212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00075" cy="175260"/>
                      <wp:effectExtent l="0" t="0" r="0" b="0"/>
                      <wp:wrapNone/>
                      <wp:docPr id="317" name="Frame317"/>
                      <a:graphic xmlns:a="http://schemas.openxmlformats.org/drawingml/2006/main">
                        <a:graphicData uri="http://schemas.microsoft.com/office/word/2010/wordprocessingShape">
                          <wps:wsp>
                            <wps:cNvSpPr txBox="1"/>
                            <wps:spPr>
                              <a:xfrm>
                                <a:off x="0" y="0"/>
                                <a:ext cx="600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326" w:type="dxa"/>
            <w:tcBorders/>
            <w:vAlign w:val="center"/>
          </w:tcPr>
          <w:p>
            <w:pPr>
              <w:pStyle w:val="TableContents"/>
              <w:bidi w:val="0"/>
              <w:spacing w:before="0" w:after="0"/>
              <w:ind w:left="0" w:right="0" w:hanging="0"/>
              <w:jc w:val="center"/>
              <w:rPr/>
            </w:pPr>
            <w:r>
              <w:rPr/>
              <w:t>​</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70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3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127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704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3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27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7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net of $0 and $8 deferred taxes, as of April 30, 2023 and April 30, 2022,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(4,452)</w:t>
            </w:r>
          </w:p>
        </w:tc>
        <w:tc>
          <w:tcPr>
            <w:tcW w:w="326" w:type="dxa"/>
            <w:tcBorders/>
            <w:shd w:fill="CCEEFF" w:val="clear"/>
            <w:vAlign w:val="center"/>
          </w:tcPr>
          <w:p>
            <w:pPr>
              <w:pStyle w:val="TableContents"/>
              <w:bidi w:val="0"/>
              <w:spacing w:before="0" w:after="0"/>
              <w:ind w:left="0" w:right="0" w:hanging="0"/>
              <w:jc w:val="right"/>
              <w:rPr/>
            </w:pPr>
            <w:r>
              <w:rPr/>
              <w:t>​</w:t>
            </w:r>
          </w:p>
        </w:tc>
        <w:tc>
          <w:tcPr>
            <w:tcW w:w="3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(6,514)</w:t>
            </w:r>
          </w:p>
        </w:tc>
      </w:tr>
      <w:tr>
        <w:trPr/>
        <w:tc>
          <w:tcPr>
            <w:tcW w:w="7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gain on available-for-sale investments, net of deferred tax expense of $0 for the </w:t>
            </w:r>
            <w:r>
              <w:rPr>
                <w:rFonts w:ascii="Times New Roman;Times;serif" w:hAnsi="Times New Roman;Times;serif"/>
                <w:b w:val="false"/>
                <w:i w:val="false"/>
                <w:caps w:val="false"/>
                <w:smallCaps w:val="false"/>
                <w:sz w:val="20"/>
              </w:rPr>
              <w:t>nine months</w:t>
            </w:r>
            <w:r>
              <w:rPr>
                <w:rFonts w:ascii="Times New Roman;Times;serif" w:hAnsi="Times New Roman;Times;serif"/>
                <w:sz w:val="20"/>
              </w:rPr>
              <w:t xml:space="preserve"> ended January 27, 2024 and January 28, 2023, respectively</w:t>
            </w:r>
          </w:p>
        </w:tc>
        <w:tc>
          <w:tcPr>
            <w:tcW w:w="326"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right"/>
              <w:rPr/>
            </w:pPr>
            <w:r>
              <w:rPr/>
              <w:t>​</w:t>
            </w:r>
          </w:p>
        </w:tc>
        <w:tc>
          <w:tcPr>
            <w:tcW w:w="89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334" w:type="dxa"/>
            <w:tcBorders/>
            <w:vAlign w:val="center"/>
          </w:tcPr>
          <w:p>
            <w:pPr>
              <w:pStyle w:val="TableContents"/>
              <w:bidi w:val="0"/>
              <w:spacing w:before="0" w:after="0"/>
              <w:ind w:left="0" w:right="0" w:hanging="0"/>
              <w:jc w:val="right"/>
              <w:rPr/>
            </w:pPr>
            <w:r>
              <w:rPr/>
              <w:t>​</w:t>
            </w:r>
          </w:p>
        </w:tc>
        <w:tc>
          <w:tcPr>
            <w:tcW w:w="9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704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 in foreign currency translation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(436)</w:t>
            </w:r>
          </w:p>
        </w:tc>
        <w:tc>
          <w:tcPr>
            <w:tcW w:w="326" w:type="dxa"/>
            <w:tcBorders/>
            <w:shd w:fill="CCEEFF" w:val="clear"/>
            <w:vAlign w:val="center"/>
          </w:tcPr>
          <w:p>
            <w:pPr>
              <w:pStyle w:val="TableContents"/>
              <w:bidi w:val="0"/>
              <w:spacing w:before="0" w:after="0"/>
              <w:ind w:left="0" w:right="0" w:hanging="0"/>
              <w:jc w:val="right"/>
              <w:rPr/>
            </w:pPr>
            <w:r>
              <w:rPr/>
              <w:t>​</w:t>
            </w:r>
          </w:p>
        </w:tc>
        <w:tc>
          <w:tcPr>
            <w:tcW w:w="3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w:t>
            </w:r>
          </w:p>
        </w:tc>
      </w:tr>
      <w:tr>
        <w:trPr/>
        <w:tc>
          <w:tcPr>
            <w:tcW w:w="70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Balance, net of $0 deferred taxes, as of </w:t>
            </w:r>
            <w:r>
              <w:rPr>
                <w:rFonts w:ascii="Times New Roman;Times;serif" w:hAnsi="Times New Roman;Times;serif"/>
                <w:b w:val="false"/>
                <w:i w:val="false"/>
                <w:caps w:val="false"/>
                <w:smallCaps w:val="false"/>
                <w:sz w:val="20"/>
              </w:rPr>
              <w:t>January 27, 2024</w:t>
            </w:r>
            <w:r>
              <w:rPr>
                <w:rFonts w:ascii="Times New Roman;Times;serif" w:hAnsi="Times New Roman;Times;serif"/>
                <w:sz w:val="20"/>
              </w:rPr>
              <w:t xml:space="preserve"> and January 28, 2023, respectively</w:t>
            </w:r>
          </w:p>
        </w:tc>
        <w:tc>
          <w:tcPr>
            <w:tcW w:w="326" w:type="dxa"/>
            <w:tcBorders/>
            <w:vAlign w:val="center"/>
          </w:tcPr>
          <w:p>
            <w:pPr>
              <w:pStyle w:val="TableContents"/>
              <w:bidi w:val="0"/>
              <w:spacing w:before="0" w:after="0"/>
              <w:ind w:left="0" w:right="0" w:hanging="0"/>
              <w:jc w:val="left"/>
              <w:rPr/>
            </w:pPr>
            <w:r>
              <w:rPr/>
              <w:t> </w:t>
            </w:r>
          </w:p>
        </w:tc>
        <w:tc>
          <w:tcPr>
            <w:tcW w:w="33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(4,888)</w:t>
            </w:r>
          </w:p>
        </w:tc>
        <w:tc>
          <w:tcPr>
            <w:tcW w:w="326" w:type="dxa"/>
            <w:tcBorders/>
            <w:vAlign w:val="center"/>
          </w:tcPr>
          <w:p>
            <w:pPr>
              <w:pStyle w:val="TableContents"/>
              <w:bidi w:val="0"/>
              <w:spacing w:before="0" w:after="0"/>
              <w:ind w:left="0" w:right="0" w:hanging="0"/>
              <w:jc w:val="right"/>
              <w:rPr/>
            </w:pPr>
            <w:r>
              <w:rPr/>
              <w:t>​</w:t>
            </w:r>
          </w:p>
        </w:tc>
        <w:tc>
          <w:tcPr>
            <w:tcW w:w="3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 Customer-Funded Research &amp; Development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ASC 606 over time as costs are incurred. Revenue from customer-funded R&amp;D was approximately $17,617,000 and $61,078,000 for the three and nine months ended January 27, 2024. Revenue from customer-funded R&amp;D was approximately $23,193,000 and $71,129,000 for the three and nine months ended January 28, 2023,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 Long-Term Incentive Awards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July 29, 2023, the Company granted awards under its 2021 Equity Incentive Plan (the “2021 Plan”) to key employees (“Fiscal 2024 LTIP”). Awards under the Fiscal 2024 LTIP consist of: (i) time-based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stock awards and time-based restricted stock units, which vest in equal tranches in July 2024, July 2025 and July 2026, and (ii) performance-based restricted stock units (“PRSUs”), which vest based on the Company’s achievement of revenue and non-GAAP adjusted earnings before interest, taxes, depreciation and amortization (“adjusted EBITDA”) targets for the three-year period ending April 30, 2026.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27, 2024, the Company recorded $965,000 and $2,798,000 of compensation expense related to the Fiscal 2024 LTIP, respectively. The Company recorded no compensation expense related to the Fiscal 2024 LTIP for the three and nine months ended January 28, 2023. At January 27, 2024, the maximum compensation expense that may be recorded for the performance-based portion of the Fiscal 2024 LTIP is $15,836,000.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July 30, 2022, the Company granted awards under the 2021 Plan to key employees (“Fiscal 2023 LTIP”). Awards under the Fiscal 2023 LTIP consist of: (i) time-based restricted stock awards and time-based restricted stock units, which vest in equal tranches in July 2023, July 2024 and July 2025, and (ii) PRSUs, which vest based on the Company’s achievement of revenue and non-GAAP adjusted EBITDA targets for the three-year period ending April 30, 2025.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adjusted EBITDA targets for the performance period. Settlement of the PRSUs will be made in fully-vested shares of the Company’s common stock. For the three and nine months ended January 27, 2024, the Company recorded $702,000 and $2,554,000 of compensation expense related to the Fiscal 2023 LTIP, respectively. For the three and nine months ended January 28, 2023, the Company recorded $642,000 and $1,703,000 of compensation expense related to the Fiscal 2023 LTIP. At January 27, 2024, the maximum compensation expense that may be recorded for the performance-based portion of the Fiscal 2023 LTIP is $11,611,000.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PRSUs, which vest based on the Company’s achievement of revenue and non-GAAP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non-GAAP operating income targets for the performance period. Settlement of the PRSUs will be made in fully-vested shares of the Company’s common stock. For the three and nine months ended January 27, 2024, the Company recorded $125,000 and $613,000 of compensation expense related to the Fiscal 2022 LTIP, respectively. For the three months ended January 28, 2023, the Company recorded $84,000 of compensation expense. For the nine months ended January 28, 2023, the Company recorded a reversal of $(31,000) of compensation expense related to the Fiscal 2022 LTIP. At January 27, 2024, the maximum compensation expense that may be recorded for the performance-based portion of the Fiscal 2022 LTIP is $9,214,000.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During the three months ended August 1, 2020, the Company also granted awards under the Restated 2006 Plan to key employees (“Fiscal 2021 LTIP”). Awards under the Fiscal 2021 LTIP consist of: (i) time-based restricted stock awards, which vest in equal tranches in July 2021, July 2022 and July 2023, and (ii) PRSUs, which vest based on the Company’s achievement of revenue and operating income targets for the three-year period ending April 30, 2023. During the three months ended July 29, 2023, the Company issued a total of 5,772 fully-vested shares of the Company’s common stock to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 the PRSUs in the Fiscal 2021 LTIP. For the three and nine months ended January 28, 2023, the Company recorded $36,000 and $228,000 of compensation expense related to the Fiscal 2021 LTIP, respectively.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692" w:name="_Hlk158907547"/>
      <w:bookmarkEnd w:id="1692"/>
      <w:r>
        <w:rPr>
          <w:rFonts w:ascii="Times New Roman;Times;serif" w:hAnsi="Times New Roman;Times;serif"/>
          <w:b/>
          <w:sz w:val="20"/>
        </w:rPr>
        <w:t>14. Income Taxes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and nine months ended January 27, 2024, the Company recorded a provision for income taxes of $1,259,000 and $3,710,000, yielding an effective tax rate of 8.3% and 6.3%, respectively. For the three and nine months ended January 28, 2023, the Company recorded a benefit from income taxes of $(531,000) and $(8,382,000) yielding an effective tax rate of 67.2% and 38.3%, respectively. The variance from statutory rates for the three and nine months ended January 27, 2024 was primarily due to foreign-derived intangible income (“FDII”) deductions and to federal R&amp;D credits. Historically, the Company calculated the provision for income taxes during interim reporting periods by applying an estimate of the annual effective tax rate (“AETR”) for the full fiscal year to the pretax income or loss for the interim reporting period. For the three and nine months ended January 28, 2023, the Company calculated the provision for income taxes using a discrete effective tax rate (“ETR”) method. The Company determined that due to the fact that small changes in the Company’s estimated pretax income or loss would result in significant changes in the estimated AETR, the historical method would not provide a reliable estimate for the three and nine months ended January 28, 2023. The variance from statutory rates for the three and nine months ended January 28, 2023 was primarily due to a combination of federal R&amp;D credits, the FDII deduction and discrete excess tax benefits resulting from the vesting of restricted stock awards and exercises of stock options.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15. Share Repurchase Plan and Issuances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Company’s share repurchase program announced September 2015 was terminated by the Company’s Board of Directors in September 2022. There were no repurchases of the Company’s common stock during the nine months ended January 28, 2023.</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On September 8, 2022, the Company filed an S-3 shelf registration statement to offer and sell shares of the Company’s common stock, including a prospectus supplement in relation to an Open Market Sale Agreement</w:t>
      </w:r>
      <w:r>
        <w:rPr>
          <w:rFonts w:ascii="Times New Roman;Times;serif" w:hAnsi="Times New Roman;Times;serif"/>
          <w:sz w:val="15"/>
        </w:rPr>
        <w:t>SM</w:t>
      </w:r>
      <w:r>
        <w:rPr>
          <w:rFonts w:ascii="Times New Roman;Times;serif" w:hAnsi="Times New Roman;Times;serif"/>
          <w:sz w:val="20"/>
        </w:rPr>
        <w:t>, also dated September 8, 2022, with Jefferies LLC relating to the proposed offer and sale of shares of our common stock having an aggregate offering price of up to $200,000,000 from time to time through Jefferies LLC as the sales agent. During the six months ended October 28, 2023, the Company completed the Open Market Sale Agreement</w:t>
      </w:r>
      <w:r>
        <w:rPr>
          <w:rFonts w:ascii="Times New Roman;Times;serif" w:hAnsi="Times New Roman;Times;serif"/>
          <w:sz w:val="15"/>
        </w:rPr>
        <w:t>SM</w:t>
      </w:r>
      <w:r>
        <w:rPr>
          <w:rFonts w:ascii="Times New Roman;Times;serif" w:hAnsi="Times New Roman;Times;serif"/>
          <w:sz w:val="20"/>
        </w:rPr>
        <w:t>. During the six months ended October 28, 2023 the Company sold 807,370 shares, for total gross proceeds of $91,313,000, total proceeds received of $88,574,000, net of commission expense, and $88,437,000 net of equity issuance costs. During the three and nine months ended January 28, 2023, the Company sold 96,530 and 221,971 of its shares, respectively, for total gross proceeds of $8,710,000 and $21,439,000, respectively, total proceeds received of $8,449,000 and $20,796,000, net of commission expense, respectively, and $8,325,000 and $20,104,000 net of equity issuance costs, respectively. As of January 27, 2024, the Company has completed the Open Market Sale Agreement</w:t>
      </w:r>
      <w:r>
        <w:rPr>
          <w:rFonts w:ascii="Times New Roman;Times;serif" w:hAnsi="Times New Roman;Times;serif"/>
          <w:sz w:val="15"/>
        </w:rPr>
        <w:t>SM</w:t>
      </w:r>
      <w:r>
        <w:rPr>
          <w:rFonts w:ascii="Times New Roman;Times;serif" w:hAnsi="Times New Roman;Times;serif"/>
          <w:sz w:val="20"/>
        </w:rPr>
        <w:t xml:space="preserve"> and sold 1,917,100 of its shares for total gross proceeds of $200,000,000, total proceeds received of $193,999,000, net of commission expense and $193,086,000 net of equity issuance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16. Business Acquisitions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Tomahawk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On September 15, 2023, the Company closed its acquisition of Tomahawk Robotics, Inc., a leader in AI-enabled robotic control systems. Pursuant to the merger agreement, the Company acquired 100% of Tomahawk equity for an aggregate purchase price of $134,467,000 consisting of 985,999 shares of restricted common stock of the Company valued at $109,820,000 and $27,205,000 cash-on-hand, net of $3,048,000 cash acquired, plus a $490,000 holdback. During the three months ended January 27, 2024, the holdback was decreased $100,000 as part of the working capital adjustment,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693" w:name="Tc_db4yMPGlc0K-fdadlGf9PA_34_2"/>
      <w:bookmarkStart w:id="1694" w:name="Tc_G6_MIhm1aUWtLRltN-16AQ_34_0"/>
      <w:bookmarkStart w:id="1695" w:name="Tc_A654rUqzKkCJ6in1VqM0vQ_33_0"/>
      <w:bookmarkStart w:id="1696" w:name="Tc_gs_BwQlsQUS-dCYjyvMRCw_32_0"/>
      <w:bookmarkStart w:id="1697" w:name="Tc_9hWkgiOTqEyETY-0pt8PUQ_31_2"/>
      <w:bookmarkStart w:id="1698" w:name="Tc_MtP1ih-yKEGwUgxtNwZiRg_31_0"/>
      <w:bookmarkStart w:id="1699" w:name="Tc_bhIFWNMMVEGoq1SwtotxVA_30_0"/>
      <w:bookmarkStart w:id="1700" w:name="Tc_5SoX41Rv1kOhP9WR0YWDtw_28_2"/>
      <w:bookmarkStart w:id="1701" w:name="Tc_Lzaa37dQh0SqmjlY6ZnY2A_28_0"/>
      <w:bookmarkStart w:id="1702" w:name="Tc_k-v4dEDeOEyp3ivS0ABLHA_27_0"/>
      <w:bookmarkStart w:id="1703" w:name="Tc_aBJcCj4uvUCREOPJkJ-mIg_26_0"/>
      <w:bookmarkStart w:id="1704" w:name="Tc_kS_6jmUxy0OKmps4IqVcLA_25_0"/>
      <w:bookmarkStart w:id="1705" w:name="Tc_2A8id6GJwkOUgL5ASDkdWA_24_0"/>
      <w:bookmarkStart w:id="1706" w:name="Tc_pJS_3RiZnEK0EtR4j_BpFg_23_0"/>
      <w:bookmarkStart w:id="1707" w:name="Tc_R18wFKjVLEqAX7E-KcyFrA_22_0"/>
      <w:bookmarkStart w:id="1708" w:name="Tc_z87p0OkNhUaWGig2sGksnw_21_0"/>
      <w:bookmarkStart w:id="1709" w:name="Tc_-g7P9uZJbUiYJrw8NbCDPQ_20_0"/>
      <w:bookmarkStart w:id="1710" w:name="Tc_0ElL5CAg8Umzi6ZB157NGw_19_0"/>
      <w:bookmarkStart w:id="1711" w:name="Tc_tYgYBM5XhU-SzQ_h5GScoA_18_0"/>
      <w:bookmarkStart w:id="1712" w:name="Tc_lxs3q52f3k-Ya-bSHSts_Q_16_2"/>
      <w:bookmarkStart w:id="1713" w:name="Tc_yCEIJtKyFkWknzSrSk0Z9g_16_0"/>
      <w:bookmarkStart w:id="1714" w:name="Tc_rcq5iyaCbE6QjOsCekrIBQ_15_0"/>
      <w:bookmarkStart w:id="1715" w:name="Tc_gTFiI5eDsk2Rs4czgljcPA_14_0"/>
      <w:bookmarkStart w:id="1716" w:name="Tc_RFCXefkFKEWXUU6GrZfMGQ_13_0"/>
      <w:bookmarkStart w:id="1717" w:name="Tc_chRelDhhsEefVaVxVMujVA_12_0"/>
      <w:bookmarkStart w:id="1718" w:name="Tc_HzMz444E706F-GjUAqNlig_11_0"/>
      <w:bookmarkStart w:id="1719" w:name="Tc_BARGuZDPQESgo8tR20jsGQ_10_0"/>
      <w:bookmarkStart w:id="1720" w:name="Tc_A4eQcvOxhkuI_544KTNqLw_9_0"/>
      <w:bookmarkStart w:id="1721" w:name="Tc_cuRcCq78ZEuVLh0GC5Gkyw_8_0"/>
      <w:bookmarkStart w:id="1722" w:name="Tc_kW6hO1j5fEGqyg-fSCCDhw_7_0"/>
      <w:bookmarkStart w:id="1723" w:name="Tc_EEw8mIyfikOw8mi4lcEPOQ_6_0"/>
      <w:bookmarkStart w:id="1724" w:name="Tc_QnuTD1q2eUCV-kJdun4uvw_5_0"/>
      <w:bookmarkStart w:id="1725" w:name="Tc_tG3GeBEmAk6otMvypiklgw_4_2"/>
      <w:bookmarkStart w:id="1726" w:name="Tc_IY8hMDCwAUyedQrKUBiogQ_4_0"/>
      <w:bookmarkStart w:id="1727" w:name="Tc_PiS7HyuBDESdjszh1ZjV7Q_3_0"/>
      <w:bookmarkStart w:id="1728" w:name="Tc_ddg_Vj71R0ajY58Xz4szsQ_2_2"/>
      <w:bookmarkStart w:id="1729" w:name="Tc_SCdEZ0mrzUyCoCZyywV6BA_1_2"/>
      <w:bookmarkStart w:id="1730" w:name="_ce01ca2e_5e6c_4e34_a483_b37d663cff8a"/>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r>
        <w:rPr>
          <w:rFonts w:ascii="Times New Roman;Times;serif" w:hAnsi="Times New Roman;Times;serif"/>
          <w:sz w:val="20"/>
        </w:rPr>
        <w:t>and the total purchase price and goodwill, therefore, decreased by $100,000 as well. The fair value of the shares issued was the closing price on September 15, 2023, the close of the Tomahawk purchase agreement. Tomahawk is incorporated into AeroVironment’s UMS segment. The acquisition will enable deeper integration of both companies’ technology, leading to enhanced interoperability and interconnectivity of unmanned systems through a singular platform with similar control features. The Company accounted for the acquisition under the acquisition method of accounting for business combinations.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summarizes the provisional allocation of the purchase price over the estimated fair value of the assets and liabilities assumed in the acquisition of Tomahawk. The purchase price allocation is expected to be finalized as soon as practicable within the measurement period, but not later than one year following the acquisition date (in thousands):</w:t>
      </w:r>
    </w:p>
    <w:p>
      <w:pPr>
        <w:pStyle w:val="TextBody"/>
        <w:bidi w:val="0"/>
        <w:spacing w:before="0" w:after="0"/>
        <w:ind w:left="0" w:right="0" w:hanging="0"/>
        <w:jc w:val="left"/>
        <w:rPr/>
      </w:pPr>
      <w:r>
        <w:rPr/>
        <w:t>​</w:t>
      </w:r>
    </w:p>
    <w:tbl>
      <w:tblPr>
        <w:tblW w:w="4902" w:type="dxa"/>
        <w:jc w:val="left"/>
        <w:tblInd w:w="0" w:type="dxa"/>
        <w:tblLayout w:type="fixed"/>
        <w:tblCellMar>
          <w:top w:w="0" w:type="dxa"/>
          <w:left w:w="0" w:type="dxa"/>
          <w:bottom w:w="0" w:type="dxa"/>
          <w:right w:w="0" w:type="dxa"/>
        </w:tblCellMar>
      </w:tblPr>
      <w:tblGrid>
        <w:gridCol w:w="3391"/>
        <w:gridCol w:w="326"/>
        <w:gridCol w:w="228"/>
        <w:gridCol w:w="957"/>
      </w:tblGrid>
      <w:tr>
        <w:trPr/>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53285" cy="175260"/>
                      <wp:effectExtent l="0" t="0" r="0" b="0"/>
                      <wp:wrapNone/>
                      <wp:docPr id="318" name="Frame318"/>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7010" cy="175260"/>
                      <wp:effectExtent l="0" t="0" r="0" b="0"/>
                      <wp:wrapNone/>
                      <wp:docPr id="319"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4780" cy="175260"/>
                      <wp:effectExtent l="0" t="0" r="0" b="0"/>
                      <wp:wrapNone/>
                      <wp:docPr id="320" name="Frame320"/>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07695" cy="175260"/>
                      <wp:effectExtent l="0" t="0" r="0" b="0"/>
                      <wp:wrapNone/>
                      <wp:docPr id="321" name="Frame321"/>
                      <a:graphic xmlns:a="http://schemas.openxmlformats.org/drawingml/2006/main">
                        <a:graphicData uri="http://schemas.microsoft.com/office/word/2010/wordprocessingShape">
                          <wps:wsp>
                            <wps:cNvSpPr txBox="1"/>
                            <wps:spPr>
                              <a:xfrm>
                                <a:off x="0" y="0"/>
                                <a:ext cx="6076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September 15,</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assets acquired:</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center"/>
              <w:rPr/>
            </w:pPr>
            <w:r>
              <w:rPr/>
              <w:t>​</w:t>
            </w:r>
          </w:p>
        </w:tc>
        <w:tc>
          <w:tcPr>
            <w:tcW w:w="957" w:type="dxa"/>
            <w:tcBorders/>
            <w:vAlign w:val="center"/>
          </w:tcPr>
          <w:p>
            <w:pPr>
              <w:pStyle w:val="TableContents"/>
              <w:bidi w:val="0"/>
              <w:spacing w:before="0" w:after="0"/>
              <w:ind w:left="0" w:right="0" w:hanging="0"/>
              <w:jc w:val="center"/>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2,314</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Unbilled receivable</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993</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 net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2,882</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1,337</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39,000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relationship</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4,800</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Trademarks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3,603</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94,676</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153,213</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liabilities assumed:</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3,788</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Wages and related accruals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advances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liabilities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411</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11,035</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18,846</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134,367</w:t>
            </w:r>
          </w:p>
        </w:tc>
      </w:tr>
      <w:tr>
        <w:trPr/>
        <w:tc>
          <w:tcPr>
            <w:tcW w:w="33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w:t>
            </w:r>
          </w:p>
        </w:tc>
        <w:tc>
          <w:tcPr>
            <w:tcW w:w="957" w:type="dxa"/>
            <w:tcBorders/>
            <w:vAlign w:val="center"/>
          </w:tcPr>
          <w:p>
            <w:pPr>
              <w:pStyle w:val="TableContents"/>
              <w:bidi w:val="0"/>
              <w:spacing w:before="0" w:after="0"/>
              <w:ind w:left="0" w:right="0" w:hanging="0"/>
              <w:jc w:val="left"/>
              <w:rPr/>
            </w:pPr>
            <w:r>
              <w:rPr/>
              <w:t>​</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consideration transferred:</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left"/>
              <w:rPr/>
            </w:pPr>
            <w:r>
              <w:rPr/>
              <w:t>​</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consideration</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109,820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consideration, net of cash acquired</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95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24,157</w:t>
            </w:r>
          </w:p>
        </w:tc>
      </w:tr>
      <w:tr>
        <w:trPr/>
        <w:tc>
          <w:tcPr>
            <w:tcW w:w="33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Holdback</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5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r>
      <w:tr>
        <w:trPr/>
        <w:tc>
          <w:tcPr>
            <w:tcW w:w="33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134,367</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bookmarkStart w:id="1731" w:name="Tc_xvmE3iACCkmF2tkAttIIaw_5_11"/>
      <w:bookmarkStart w:id="1732" w:name="Tc_V7UQx_NtuEmTiDAkxjJ5pQ_5_8"/>
      <w:bookmarkStart w:id="1733" w:name="Tc_XWe2GwT5L0GrsjuY2zG-Wg_5_5"/>
      <w:bookmarkStart w:id="1734" w:name="Tc_k0pyAYMvMEWPhGco9Zgh4w_5_2"/>
      <w:bookmarkStart w:id="1735" w:name="Tc_-ic3-F5BB0OugVzv0cyScA_5_0"/>
      <w:bookmarkStart w:id="1736" w:name="Tc_v3c3JYGNKE-ktTh8XCwDSw_4_11"/>
      <w:bookmarkStart w:id="1737" w:name="Tc_9PnXnjgyLkyzgQTdQIx9Ow_4_8"/>
      <w:bookmarkStart w:id="1738" w:name="Tc_kVPCcJ6o7kCIz982vBGwiA_4_5"/>
      <w:bookmarkStart w:id="1739" w:name="Tc_w_zRvjGVT0CVBM-Dsxvu2A_4_2"/>
      <w:bookmarkStart w:id="1740" w:name="Tc_hQhi0IcWAUa4W7wQG-l3XA_4_0"/>
      <w:bookmarkStart w:id="1741" w:name="Tc_XqZGnPlIBk2_Sdwd-t-O3w_3_11"/>
      <w:bookmarkStart w:id="1742" w:name="Tc_yqcHk2jO90aPUmw_tKPJNw_3_8"/>
      <w:bookmarkStart w:id="1743" w:name="Tc_X8ijntviokGasZD75_2gHQ_3_5"/>
      <w:bookmarkStart w:id="1744" w:name="Tc_7z5Iljcth0mM_5yOLh9Iyg_3_2"/>
      <w:bookmarkStart w:id="1745" w:name="Tc_ZNY6d9XGmEGbFfvQTUC4Zw_2_11"/>
      <w:bookmarkStart w:id="1746" w:name="Tc_BCeHITTTOEerRjlx1FcyDA_2_8"/>
      <w:bookmarkStart w:id="1747" w:name="Tc_wsjSp4J86Ue7JIJtaL7hwg_2_5"/>
      <w:bookmarkStart w:id="1748" w:name="Tc_tsQH4C-X0EmMwAoQImFj_Q_2_2"/>
      <w:bookmarkStart w:id="1749" w:name="Tc_0hcJfs2t9UuPdWWOquPKOQ_1_8"/>
      <w:bookmarkStart w:id="1750" w:name="Tc_sOX9gZwnxEOYyZUQm6qf1Q_1_2"/>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goodwill is attributable to the synergies the Company expects to achieve through leveraging the acquired technology to its existing customers, the workforce of Tomahawk and expected future customers in the UMS market. For income tax purposes the acquisition is treated as a stock acquisition, and none of the goodwill is expected to be deductible.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Tomahawk Supplemental Pro Forma Information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Tomahawk revenue and loss from operations since acquisition on September 15, 2023 was $13,319,000 and $(1,169,000) as of January 27, 2024, respectively. The following unaudited pro forma summary presents condensed consolidated information of the Company as if the business acquisition had occurred on May 1, 2022 (in thousands):</w:t>
      </w:r>
    </w:p>
    <w:p>
      <w:pPr>
        <w:pStyle w:val="TextBody"/>
        <w:bidi w:val="0"/>
        <w:spacing w:before="0" w:after="0"/>
        <w:ind w:left="0" w:right="0" w:hanging="0"/>
        <w:jc w:val="left"/>
        <w:rPr/>
      </w:pPr>
      <w:r>
        <w:rPr/>
        <w:t>​</w:t>
      </w:r>
    </w:p>
    <w:tbl>
      <w:tblPr>
        <w:tblW w:w="8890" w:type="dxa"/>
        <w:jc w:val="left"/>
        <w:tblInd w:w="0" w:type="dxa"/>
        <w:tblLayout w:type="fixed"/>
        <w:tblCellMar>
          <w:top w:w="0" w:type="dxa"/>
          <w:left w:w="0" w:type="dxa"/>
          <w:bottom w:w="0" w:type="dxa"/>
          <w:right w:w="0" w:type="dxa"/>
        </w:tblCellMar>
      </w:tblPr>
      <w:tblGrid>
        <w:gridCol w:w="4426"/>
        <w:gridCol w:w="109"/>
        <w:gridCol w:w="211"/>
        <w:gridCol w:w="781"/>
        <w:gridCol w:w="109"/>
        <w:gridCol w:w="211"/>
        <w:gridCol w:w="781"/>
        <w:gridCol w:w="109"/>
        <w:gridCol w:w="211"/>
        <w:gridCol w:w="781"/>
        <w:gridCol w:w="109"/>
        <w:gridCol w:w="211"/>
        <w:gridCol w:w="841"/>
      </w:tblGrid>
      <w:tr>
        <w:trPr/>
        <w:tc>
          <w:tcPr>
            <w:tcW w:w="4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810510" cy="175260"/>
                      <wp:effectExtent l="0" t="0" r="0" b="0"/>
                      <wp:wrapNone/>
                      <wp:docPr id="322" name="Frame322"/>
                      <a:graphic xmlns:a="http://schemas.openxmlformats.org/drawingml/2006/main">
                        <a:graphicData uri="http://schemas.microsoft.com/office/word/2010/wordprocessingShape">
                          <wps:wsp>
                            <wps:cNvSpPr txBox="1"/>
                            <wps:spPr>
                              <a:xfrm>
                                <a:off x="0" y="0"/>
                                <a:ext cx="2810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9215" cy="175260"/>
                      <wp:effectExtent l="0" t="0" r="0" b="0"/>
                      <wp:wrapNone/>
                      <wp:docPr id="323" name="Frame32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33985" cy="175260"/>
                      <wp:effectExtent l="0" t="0" r="0" b="0"/>
                      <wp:wrapNone/>
                      <wp:docPr id="324" name="Frame3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95935" cy="175260"/>
                      <wp:effectExtent l="0" t="0" r="0" b="0"/>
                      <wp:wrapNone/>
                      <wp:docPr id="325" name="Frame32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9215" cy="175260"/>
                      <wp:effectExtent l="0" t="0" r="0" b="0"/>
                      <wp:wrapNone/>
                      <wp:docPr id="326" name="Frame3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495935" cy="175260"/>
                      <wp:effectExtent l="0" t="0" r="0" b="0"/>
                      <wp:wrapNone/>
                      <wp:docPr id="328" name="Frame32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9215" cy="175260"/>
                      <wp:effectExtent l="0" t="0" r="0" b="0"/>
                      <wp:wrapNone/>
                      <wp:docPr id="329" name="Frame3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133985" cy="175260"/>
                      <wp:effectExtent l="0" t="0" r="0" b="0"/>
                      <wp:wrapNone/>
                      <wp:docPr id="330" name="Frame3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495935" cy="175260"/>
                      <wp:effectExtent l="0" t="0" r="0" b="0"/>
                      <wp:wrapNone/>
                      <wp:docPr id="331" name="Frame3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9215" cy="175260"/>
                      <wp:effectExtent l="0" t="0" r="0" b="0"/>
                      <wp:wrapNone/>
                      <wp:docPr id="332" name="Frame3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133985" cy="175260"/>
                      <wp:effectExtent l="0" t="0" r="0" b="0"/>
                      <wp:wrapNone/>
                      <wp:docPr id="333" name="Frame3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534035" cy="175260"/>
                      <wp:effectExtent l="0" t="0" r="0" b="0"/>
                      <wp:wrapNone/>
                      <wp:docPr id="334" name="Frame334"/>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09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15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442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530,262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362,977</w:t>
            </w:r>
          </w:p>
        </w:tc>
      </w:tr>
      <w:tr>
        <w:trPr/>
        <w:tc>
          <w:tcPr>
            <w:tcW w:w="44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 attributable to AeroVironment, Inc.</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50,849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(26,664)</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Company did not have any material, nonrecurring pro forma adjustments directly attributable to the business acquisition included in the reported pro forma revenue and earnings.</w:t>
      </w:r>
    </w:p>
    <w:p>
      <w:pPr>
        <w:pStyle w:val="TextBody"/>
        <w:pBdr/>
        <w:bidi w:val="0"/>
        <w:spacing w:before="0" w:after="0"/>
        <w:ind w:left="0" w:right="0" w:hanging="965"/>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pro forma amounts have been calculated by applying the Company’s accounting policies, assuming transaction costs had been incurred during the three months ended July 30, 2022, reflecting the additional amortization that would have been charged and including the results of Tomahawk prior to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2022, nor are they indicative of results of operations that may occur in the future.</w:t>
        <w:b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Planck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17, 2022, the Company closed its acquisition of Planck, a leading provider of advanced unmanned aircraft navigation solutions based in San Diego, California. Pursuant to the purchase agreement, the Company paid a total purchase price of $5,105,000 from cash-on-hand plus a $500,000 holdback for certain assets of Planck, which was paid during the three months ended October 28, 2023. Planck is a small technology company incorporated into AeroVironment’s UMS segment for the MUAS product line to focus on integrating its flight autonomy solutions, such as ACE™, or Autonomous Control Engine, into the Company’s offerings to enable safe, autonomous takeoff and landing from moving platforms on land or at sea in GPS-denied environments. Other solutions include AVEM™, a fully integrated mobile tethered sensor platform designed for persistent autonomous operation from moving vehicles and vessels in any environment, and a suite of machine-learning object detection and tracking systems that are customized for specific end-user needs. The Company accounted for the acquisition under the acquisition method of accounting for business combinations.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751" w:name="Tc_UFTecOH0Pkmw3dJUwDxmWg_5_5"/>
      <w:bookmarkStart w:id="1752" w:name="Tc_xj-_RVSGFEChhENcQV9Rbg_5_2"/>
      <w:bookmarkStart w:id="1753" w:name="Tc_uw_CpUUoJUacppVJ8pWUvw_5_0"/>
      <w:bookmarkStart w:id="1754" w:name="Tc_7ceXx4c1c0e-W0l7HI_Gmw_4_5"/>
      <w:bookmarkStart w:id="1755" w:name="Tc_ziAUbKXQEEG484U1nNmj7g_4_2"/>
      <w:bookmarkStart w:id="1756" w:name="Tc_RalY_hyjZEyndx_PWF0F2g_4_0"/>
      <w:bookmarkStart w:id="1757" w:name="Tc_aHKO1uY1UUWD2vWJFzcl9Q_3_5"/>
      <w:bookmarkStart w:id="1758" w:name="Tc_Au5b7XR_Xkm7MntwYwaASg_3_2"/>
      <w:bookmarkStart w:id="1759" w:name="Tc_f1wDtWI0DEye9IRQS-RQvg_2_5"/>
      <w:bookmarkStart w:id="1760" w:name="Tc_RSVN1ZZoaUidF1phhoys2w_2_2"/>
      <w:bookmarkStart w:id="1761" w:name="Tc_tBu4Am0J9UGvFYsqiIJyPA_1_5"/>
      <w:bookmarkStart w:id="1762" w:name="Tc_EN1pFggOKkWLCHiPTDMG9w_1_2"/>
      <w:bookmarkStart w:id="1763" w:name="_7120761e_25f1_475f_9d7f_abf8e5e6c876"/>
      <w:bookmarkStart w:id="1764" w:name="Tc_TG76M-QJZkGJgmdunbkCSQ_20_2"/>
      <w:bookmarkStart w:id="1765" w:name="Tc_0K_3RDM5dkqA2OL_Uo__nA_20_0"/>
      <w:bookmarkStart w:id="1766" w:name="Tc_J_BM_C_4okOaZrmEr-XnEg_19_0"/>
      <w:bookmarkStart w:id="1767" w:name="Tc_lqyP23iJvUeE42onJS3B1g_18_2"/>
      <w:bookmarkStart w:id="1768" w:name="Tc_AFBVFaeJOEuK9HY-W_54fA_18_0"/>
      <w:bookmarkStart w:id="1769" w:name="Tc_g6HMDqqgQ0exMEeQ7tzATw_17_0"/>
      <w:bookmarkStart w:id="1770" w:name="Tc_hf5WV_bqWUqqAj_PwfuGcg_15_2"/>
      <w:bookmarkStart w:id="1771" w:name="Tc_3VfMF1tbhEubToqFX344Rw_15_0"/>
      <w:bookmarkStart w:id="1772" w:name="Tc_OMIbYmTIQUa9KsmtIy7PEw_14_0"/>
      <w:bookmarkStart w:id="1773" w:name="Tc_p6XycmiOI0y9dHv1R33XJw_13_0"/>
      <w:bookmarkStart w:id="1774" w:name="Tc_1tH6T96dt0-Fk6TKjyxGcA_12_0"/>
      <w:bookmarkStart w:id="1775" w:name="Tc_Ng58iQdF-UKkY1BfvHMUcQ_10_2"/>
      <w:bookmarkStart w:id="1776" w:name="Tc_LMcDIdBpt0KcEqMaQufCEA_10_0"/>
      <w:bookmarkStart w:id="1777" w:name="Tc_XaW1sbxGjEelXyeOjfp2QQ_9_0"/>
      <w:bookmarkStart w:id="1778" w:name="Tc_rnC6MJMmHUGNpTY1WVecXQ_8_0"/>
      <w:bookmarkStart w:id="1779" w:name="Tc_bRepTU5CVk-rgJP0NCmCSw_7_0"/>
      <w:bookmarkStart w:id="1780" w:name="Tc_1GNrs2oqJkihujeSJ4rWzA_6_0"/>
      <w:bookmarkStart w:id="1781" w:name="Tc_JUKA4-0uXkianlCovpxGcQ_5_0"/>
      <w:bookmarkStart w:id="1782" w:name="Tc_dJrLs1hdekaGq-AdmBDBxQ_4_2"/>
      <w:bookmarkStart w:id="1783" w:name="Tc_sQMmKgjzH0-lyT0EaT53_A_4_0"/>
      <w:bookmarkStart w:id="1784" w:name="Tc_oqzQnSera0-TuO-xGdVKVg_3_0"/>
      <w:bookmarkStart w:id="1785" w:name="Tc_dD6BaJ__W0ugZvWqOU-wZg_2_2"/>
      <w:bookmarkStart w:id="1786" w:name="Tc_H1PEYOKSzk6lpZdRgFAGcA_1_2"/>
      <w:bookmarkStart w:id="1787" w:name="_ce19491c_bf83_47d2_80d2_25268314b1c7"/>
      <w:bookmarkEnd w:id="1751"/>
      <w:bookmarkEnd w:id="1752"/>
      <w:bookmarkEnd w:id="1753"/>
      <w:bookmarkEnd w:id="1754"/>
      <w:bookmarkEnd w:id="1755"/>
      <w:bookmarkEnd w:id="1756"/>
      <w:bookmarkEnd w:id="1757"/>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r>
        <w:rPr>
          <w:rFonts w:ascii="Times New Roman;Times;serif" w:hAnsi="Times New Roman;Times;serif"/>
          <w:sz w:val="20"/>
        </w:rPr>
        <w:t>The following table summarizes the final allocation of the purchase price over the estimated fair value of the assets and liabilities assumed in the acquisition of Planck. During the three months ended July 29, 2023, the Company finalized its determination of the fair value of the assets and liabilities assumed in the acquisition of Planck and no significant changes were recorded from the original estimation (in thousands):</w:t>
      </w:r>
    </w:p>
    <w:tbl>
      <w:tblPr>
        <w:tblW w:w="4512" w:type="dxa"/>
        <w:jc w:val="left"/>
        <w:tblInd w:w="0" w:type="dxa"/>
        <w:tblLayout w:type="fixed"/>
        <w:tblCellMar>
          <w:top w:w="0" w:type="dxa"/>
          <w:left w:w="0" w:type="dxa"/>
          <w:bottom w:w="0" w:type="dxa"/>
          <w:right w:w="0" w:type="dxa"/>
        </w:tblCellMar>
      </w:tblPr>
      <w:tblGrid>
        <w:gridCol w:w="3256"/>
        <w:gridCol w:w="326"/>
        <w:gridCol w:w="221"/>
        <w:gridCol w:w="709"/>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67560" cy="175260"/>
                      <wp:effectExtent l="0" t="0" r="0" b="0"/>
                      <wp:wrapNone/>
                      <wp:docPr id="335" name="Frame335"/>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07010" cy="175260"/>
                      <wp:effectExtent l="0" t="0" r="0" b="0"/>
                      <wp:wrapNone/>
                      <wp:docPr id="336"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40335" cy="175260"/>
                      <wp:effectExtent l="0" t="0" r="0" b="0"/>
                      <wp:wrapNone/>
                      <wp:docPr id="337" name="Frame33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50215" cy="175260"/>
                      <wp:effectExtent l="0" t="0" r="0" b="0"/>
                      <wp:wrapNone/>
                      <wp:docPr id="338" name="Frame338"/>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August 17,</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assets acquired:</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center"/>
              <w:rPr/>
            </w:pPr>
            <w:r>
              <w:rPr/>
              <w:t>​</w:t>
            </w:r>
          </w:p>
        </w:tc>
        <w:tc>
          <w:tcPr>
            <w:tcW w:w="709" w:type="dxa"/>
            <w:tcBorders/>
            <w:shd w:fill="CCEEFF" w:val="clear"/>
            <w:vAlign w:val="center"/>
          </w:tcPr>
          <w:p>
            <w:pPr>
              <w:pStyle w:val="TableContents"/>
              <w:bidi w:val="0"/>
              <w:spacing w:before="0" w:after="0"/>
              <w:ind w:left="0" w:right="0" w:hanging="0"/>
              <w:jc w:val="center"/>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Technology</w:t>
            </w:r>
          </w:p>
        </w:tc>
        <w:tc>
          <w:tcPr>
            <w:tcW w:w="32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3,200</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Backlog</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700</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1,633</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5,674</w:t>
            </w:r>
          </w:p>
        </w:tc>
      </w:tr>
      <w:tr>
        <w:trPr/>
        <w:tc>
          <w:tcPr>
            <w:tcW w:w="325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liabilities assumed:</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Customer advances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assumed</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identifiable net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5,605</w:t>
            </w:r>
          </w:p>
        </w:tc>
      </w:tr>
      <w:tr>
        <w:trPr/>
        <w:tc>
          <w:tcPr>
            <w:tcW w:w="32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pPr>
            <w:r>
              <w:rPr/>
              <w:t>​</w:t>
            </w:r>
          </w:p>
        </w:tc>
        <w:tc>
          <w:tcPr>
            <w:tcW w:w="709" w:type="dxa"/>
            <w:tcBorders/>
            <w:vAlign w:val="center"/>
          </w:tcPr>
          <w:p>
            <w:pPr>
              <w:pStyle w:val="TableContents"/>
              <w:bidi w:val="0"/>
              <w:spacing w:before="0" w:after="0"/>
              <w:ind w:left="0" w:right="0" w:hanging="0"/>
              <w:jc w:val="left"/>
              <w:rPr/>
            </w:pPr>
            <w:r>
              <w:rPr/>
              <w:t>​</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consideration transferred:</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pPr>
            <w:r>
              <w:rPr/>
              <w:t>​</w:t>
            </w:r>
          </w:p>
        </w:tc>
        <w:tc>
          <w:tcPr>
            <w:tcW w:w="709" w:type="dxa"/>
            <w:tcBorders/>
            <w:shd w:fill="CCEEFF" w:val="clear"/>
            <w:vAlign w:val="center"/>
          </w:tcPr>
          <w:p>
            <w:pPr>
              <w:pStyle w:val="TableContents"/>
              <w:bidi w:val="0"/>
              <w:spacing w:before="0" w:after="0"/>
              <w:ind w:left="0" w:right="0" w:hanging="0"/>
              <w:jc w:val="left"/>
              <w:rPr/>
            </w:pPr>
            <w:r>
              <w:rPr/>
              <w:t>​</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w:t>
            </w:r>
          </w:p>
        </w:tc>
        <w:tc>
          <w:tcPr>
            <w:tcW w:w="326" w:type="dxa"/>
            <w:tcBorders/>
            <w:vAlign w:val="center"/>
          </w:tcPr>
          <w:p>
            <w:pPr>
              <w:pStyle w:val="TableContents"/>
              <w:bidi w:val="0"/>
              <w:spacing w:before="0" w:after="0"/>
              <w:ind w:left="0" w:right="0" w:hanging="0"/>
              <w:jc w:val="left"/>
              <w:rPr/>
            </w:pPr>
            <w:r>
              <w:rPr/>
              <w:t>​</w:t>
            </w:r>
          </w:p>
        </w:tc>
        <w:tc>
          <w:tcPr>
            <w:tcW w:w="2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5,105</w:t>
            </w:r>
          </w:p>
        </w:tc>
      </w:tr>
      <w:tr>
        <w:trPr/>
        <w:tc>
          <w:tcPr>
            <w:tcW w:w="32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Holdback</w:t>
            </w:r>
          </w:p>
        </w:tc>
        <w:tc>
          <w:tcPr>
            <w:tcW w:w="326" w:type="dxa"/>
            <w:tcBorders/>
            <w:shd w:fill="CCEEFF" w:val="clear"/>
            <w:vAlign w:val="center"/>
          </w:tcPr>
          <w:p>
            <w:pPr>
              <w:pStyle w:val="TableContents"/>
              <w:bidi w:val="0"/>
              <w:spacing w:before="0" w:after="0"/>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w:t>
            </w:r>
          </w:p>
        </w:tc>
      </w:tr>
      <w:tr>
        <w:trPr/>
        <w:tc>
          <w:tcPr>
            <w:tcW w:w="32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consideration</w:t>
            </w:r>
          </w:p>
        </w:tc>
        <w:tc>
          <w:tcPr>
            <w:tcW w:w="326" w:type="dxa"/>
            <w:tcBorders/>
            <w:vAlign w:val="center"/>
          </w:tcPr>
          <w:p>
            <w:pPr>
              <w:pStyle w:val="TableContents"/>
              <w:bidi w:val="0"/>
              <w:spacing w:before="0" w:after="0"/>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5,605</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Determining the fair value of the intangible assets acquired requires significant judgment, including the amount and timing of expected future cash flows, long-term growth rates and discount rates. The fair value of the intangible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goodwill is attributable to the synergies the Company expects to achieve through leveraging the acquired technology to its existing customers, the workforce of Planck and expected future customers in the MUAS market. For tax purposes the acquisition was treated as an asset acquisition and the goodwill is deductible.</w:t>
      </w:r>
    </w:p>
    <w:p>
      <w:pPr>
        <w:pStyle w:val="TextBody"/>
        <w:bidi w:val="0"/>
        <w:spacing w:before="0" w:after="0"/>
        <w:ind w:left="0" w:right="0" w:hanging="0"/>
        <w:jc w:val="left"/>
        <w:rPr/>
      </w:pPr>
      <w:r>
        <w:rPr/>
        <w:t>​</w:t>
      </w:r>
    </w:p>
    <w:p>
      <w:pPr>
        <w:pStyle w:val="TextBody"/>
        <w:bidi w:val="0"/>
        <w:spacing w:before="0" w:after="0"/>
        <w:ind w:left="720" w:right="0" w:hanging="0"/>
        <w:jc w:val="left"/>
        <w:rPr>
          <w:rFonts w:ascii="Times New Roman;Times;serif" w:hAnsi="Times New Roman;Times;serif"/>
          <w:b/>
          <w:sz w:val="20"/>
        </w:rPr>
      </w:pPr>
      <w:r>
        <w:rPr>
          <w:rFonts w:ascii="Times New Roman;Times;serif" w:hAnsi="Times New Roman;Times;serif"/>
          <w:b/>
          <w:sz w:val="20"/>
        </w:rPr>
        <w:t>Planck Supplemental Pro Forma Information (unaudited)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unaudited pro forma summary presents condensed consolidated information of the Company as if the business acquisition had occurred on May 1, 2021 (in thousands):</w:t>
      </w:r>
    </w:p>
    <w:p>
      <w:pPr>
        <w:pStyle w:val="TextBody"/>
        <w:bidi w:val="0"/>
        <w:spacing w:before="0" w:after="0"/>
        <w:ind w:left="0" w:right="0" w:hanging="0"/>
        <w:jc w:val="left"/>
        <w:rPr/>
      </w:pPr>
      <w:r>
        <w:rPr/>
        <w:t>​</w:t>
      </w:r>
    </w:p>
    <w:tbl>
      <w:tblPr>
        <w:tblW w:w="7134" w:type="dxa"/>
        <w:jc w:val="left"/>
        <w:tblInd w:w="0" w:type="dxa"/>
        <w:tblLayout w:type="fixed"/>
        <w:tblCellMar>
          <w:top w:w="0" w:type="dxa"/>
          <w:left w:w="0" w:type="dxa"/>
          <w:bottom w:w="0" w:type="dxa"/>
          <w:right w:w="0" w:type="dxa"/>
        </w:tblCellMar>
      </w:tblPr>
      <w:tblGrid>
        <w:gridCol w:w="3661"/>
        <w:gridCol w:w="109"/>
        <w:gridCol w:w="351"/>
        <w:gridCol w:w="1299"/>
        <w:gridCol w:w="109"/>
        <w:gridCol w:w="322"/>
        <w:gridCol w:w="1283"/>
      </w:tblGrid>
      <w:tr>
        <w:trPr/>
        <w:tc>
          <w:tcPr>
            <w:tcW w:w="3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324735" cy="175260"/>
                      <wp:effectExtent l="0" t="0" r="0" b="0"/>
                      <wp:wrapNone/>
                      <wp:docPr id="339" name="Frame339"/>
                      <a:graphic xmlns:a="http://schemas.openxmlformats.org/drawingml/2006/main">
                        <a:graphicData uri="http://schemas.microsoft.com/office/word/2010/wordprocessingShape">
                          <wps:wsp>
                            <wps:cNvSpPr txBox="1"/>
                            <wps:spPr>
                              <a:xfrm>
                                <a:off x="0" y="0"/>
                                <a:ext cx="2324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9215" cy="175260"/>
                      <wp:effectExtent l="0" t="0" r="0" b="0"/>
                      <wp:wrapNone/>
                      <wp:docPr id="340" name="Frame34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222885" cy="175260"/>
                      <wp:effectExtent l="0" t="0" r="0" b="0"/>
                      <wp:wrapNone/>
                      <wp:docPr id="341" name="Frame341"/>
                      <a:graphic xmlns:a="http://schemas.openxmlformats.org/drawingml/2006/main">
                        <a:graphicData uri="http://schemas.microsoft.com/office/word/2010/wordprocessingShape">
                          <wps:wsp>
                            <wps:cNvSpPr txBox="1"/>
                            <wps:spPr>
                              <a:xfrm>
                                <a:off x="0" y="0"/>
                                <a:ext cx="22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824865" cy="175260"/>
                      <wp:effectExtent l="0" t="0" r="0" b="0"/>
                      <wp:wrapNone/>
                      <wp:docPr id="342" name="Frame342"/>
                      <a:graphic xmlns:a="http://schemas.openxmlformats.org/drawingml/2006/main">
                        <a:graphicData uri="http://schemas.microsoft.com/office/word/2010/wordprocessingShape">
                          <wps:wsp>
                            <wps:cNvSpPr txBox="1"/>
                            <wps:spPr>
                              <a:xfrm>
                                <a:off x="0" y="0"/>
                                <a:ext cx="824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9215" cy="175260"/>
                      <wp:effectExtent l="0" t="0" r="0" b="0"/>
                      <wp:wrapNone/>
                      <wp:docPr id="343" name="Frame3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04470" cy="175260"/>
                      <wp:effectExtent l="0" t="0" r="0" b="0"/>
                      <wp:wrapNone/>
                      <wp:docPr id="344" name="Frame344"/>
                      <a:graphic xmlns:a="http://schemas.openxmlformats.org/drawingml/2006/main">
                        <a:graphicData uri="http://schemas.microsoft.com/office/word/2010/wordprocessingShape">
                          <wps:wsp>
                            <wps:cNvSpPr txBox="1"/>
                            <wps:spPr>
                              <a:xfrm>
                                <a:off x="0" y="0"/>
                                <a:ext cx="204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814705" cy="175260"/>
                      <wp:effectExtent l="0" t="0" r="0" b="0"/>
                      <wp:wrapNone/>
                      <wp:docPr id="345" name="Frame345"/>
                      <a:graphic xmlns:a="http://schemas.openxmlformats.org/drawingml/2006/main">
                        <a:graphicData uri="http://schemas.microsoft.com/office/word/2010/wordprocessingShape">
                          <wps:wsp>
                            <wps:cNvSpPr txBox="1"/>
                            <wps:spPr>
                              <a:xfrm>
                                <a:off x="0" y="0"/>
                                <a:ext cx="8147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366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109" w:type="dxa"/>
            <w:tcBorders/>
            <w:shd w:fill="CCEEFF" w:val="clear"/>
            <w:vAlign w:val="center"/>
          </w:tcPr>
          <w:p>
            <w:pPr>
              <w:pStyle w:val="TableContents"/>
              <w:bidi w:val="0"/>
              <w:spacing w:before="0" w:after="0"/>
              <w:ind w:left="0" w:right="0" w:hanging="0"/>
              <w:jc w:val="left"/>
              <w:rPr/>
            </w:pPr>
            <w:r>
              <w:rPr/>
              <w:t>​</w:t>
            </w:r>
          </w:p>
        </w:tc>
        <w:tc>
          <w:tcPr>
            <w:tcW w:w="35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134,395</w:t>
            </w:r>
          </w:p>
        </w:tc>
        <w:tc>
          <w:tcPr>
            <w:tcW w:w="109" w:type="dxa"/>
            <w:tcBorders/>
            <w:shd w:fill="CCEEFF" w:val="clear"/>
            <w:vAlign w:val="center"/>
          </w:tcPr>
          <w:p>
            <w:pPr>
              <w:pStyle w:val="TableContents"/>
              <w:bidi w:val="0"/>
              <w:spacing w:before="0" w:after="0"/>
              <w:ind w:left="0" w:right="0" w:hanging="0"/>
              <w:jc w:val="left"/>
              <w:rPr/>
            </w:pPr>
            <w:r>
              <w:rPr/>
              <w:t>​</w:t>
            </w:r>
          </w:p>
        </w:tc>
        <w:tc>
          <w:tcPr>
            <w:tcW w:w="3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357,411</w:t>
            </w:r>
          </w:p>
        </w:tc>
      </w:tr>
      <w:tr>
        <w:trPr/>
        <w:tc>
          <w:tcPr>
            <w:tcW w:w="36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AeroVironment, Inc.</w:t>
            </w:r>
          </w:p>
        </w:tc>
        <w:tc>
          <w:tcPr>
            <w:tcW w:w="109" w:type="dxa"/>
            <w:tcBorders/>
            <w:vAlign w:val="center"/>
          </w:tcPr>
          <w:p>
            <w:pPr>
              <w:pStyle w:val="TableContents"/>
              <w:bidi w:val="0"/>
              <w:spacing w:before="0" w:after="0"/>
              <w:ind w:left="0" w:right="0" w:hanging="0"/>
              <w:jc w:val="left"/>
              <w:rPr/>
            </w:pPr>
            <w:r>
              <w:rPr/>
              <w:t>​</w:t>
            </w:r>
          </w:p>
        </w:tc>
        <w:tc>
          <w:tcPr>
            <w:tcW w:w="3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w:t>
            </w:r>
          </w:p>
        </w:tc>
        <w:tc>
          <w:tcPr>
            <w:tcW w:w="109" w:type="dxa"/>
            <w:tcBorders/>
            <w:vAlign w:val="center"/>
          </w:tcPr>
          <w:p>
            <w:pPr>
              <w:pStyle w:val="TableContents"/>
              <w:bidi w:val="0"/>
              <w:spacing w:before="0" w:after="0"/>
              <w:ind w:left="0" w:right="0" w:hanging="0"/>
              <w:jc w:val="left"/>
              <w:rPr/>
            </w:pPr>
            <w:r>
              <w:rPr/>
              <w:t>​</w:t>
            </w:r>
          </w:p>
        </w:tc>
        <w:tc>
          <w:tcPr>
            <w:tcW w:w="32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8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(13,840)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Planck revenue since acquisition on August 17, 2022 was $76,000. The Company did not have any material, nonrecurring pro forma adjustments directly attributable to the business acquisition included in the reported pro forma revenue and earnings.</w:t>
      </w:r>
    </w:p>
    <w:p>
      <w:pPr>
        <w:pStyle w:val="TextBody"/>
        <w:pBdr/>
        <w:bidi w:val="0"/>
        <w:spacing w:before="0" w:after="0"/>
        <w:ind w:left="0" w:right="0" w:hanging="96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These pro forma amounts have been calculated by applying the Company’s accounting policies, assuming transaction costs had been incurred during the three months ended July 31, 2021, reflecting the additional amortization that would have been charged and including the results of Planck prior to acquisition.</w:t>
      </w:r>
    </w:p>
    <w:p>
      <w:pPr>
        <w:pStyle w:val="TextBody"/>
        <w:pBdr/>
        <w:bidi w:val="0"/>
        <w:spacing w:before="0" w:after="0"/>
        <w:ind w:left="0" w:right="0" w:hanging="965"/>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2021, nor are they indicative of results of operations that may occur in the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788" w:name="Tc_kRp4ULuDU0WVLHZu2Wx7kA_7_2"/>
      <w:bookmarkStart w:id="1789" w:name="Tc_qlZ0NaTxDkWoCMygJamYRQ_7_0"/>
      <w:bookmarkStart w:id="1790" w:name="Tc_ETnmnYUCuEmqm-t5nJNjTA_6_0"/>
      <w:bookmarkStart w:id="1791" w:name="Tc_7pJVxTxApEK_lfXbdkllHg_5_0"/>
      <w:bookmarkStart w:id="1792" w:name="Tc_Zl390f5DdEWI2--rWRLZwA_4_0"/>
      <w:bookmarkStart w:id="1793" w:name="Tc_WKeBgnNHO0G144iHIw1K4w_3_0"/>
      <w:bookmarkStart w:id="1794" w:name="Tc_BJ_ytijeyES96nix6XcFkQ_2_0"/>
      <w:bookmarkStart w:id="1795" w:name="Tc_gKp4xDzHE0aYrsK2-QhOVQ_1_2"/>
      <w:bookmarkStart w:id="1796" w:name="Tc_ZnzJAYeftkeaxh-M7W2TRw_1_0"/>
      <w:bookmarkStart w:id="1797" w:name="_81d6b39d_2fd3_4ba3_bb49_546cf3cabfe1"/>
      <w:bookmarkStart w:id="1798" w:name="Tc_b7qPdE3DyE22p9r3WPPF9g_6_2"/>
      <w:bookmarkStart w:id="1799" w:name="Tc_9WK4iMT9lkSIPAXYQGeTzw_6_0"/>
      <w:bookmarkStart w:id="1800" w:name="Tc_Qe3zdHJ1cEybDAm3RvtM6Q_5_0"/>
      <w:bookmarkStart w:id="1801" w:name="Tc_Ej2by2QNTECUN0OyFWJUkA_4_2"/>
      <w:bookmarkStart w:id="1802" w:name="Tc_-QJnyLAEHkagRACswAY29A_3_2"/>
      <w:bookmarkStart w:id="1803" w:name="Tc_iFu81qWHl0OHjK-SN1-B1Q_2_2"/>
      <w:bookmarkStart w:id="1804" w:name="Tc_7c1QaNeQNkitzCLLXYWFhg_1_2"/>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bookmarkEnd w:id="1804"/>
      <w:r>
        <w:rPr>
          <w:rFonts w:ascii="Times New Roman;Times;serif" w:hAnsi="Times New Roman;Times;serif"/>
          <w:b/>
          <w:sz w:val="20"/>
        </w:rPr>
        <w:t>17. Pension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part of the Telerob acquisition, the Company acquired a small foreign-based defined benefit pension plan. The Rheinmetall-Zusatzversorgung service plan covers three former employees based on individual contracts issued to the employees. No other employees are eligible to participate. The Company has reinsurance policies that were taken out for participating former employees, which were pledged to the employees. The measurement date for the Company’s pension plan was April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table below includes the projected benefit obligation and fair value of plan assets as of April 30, 2023. The net fair value of plan assets (in thousands) is recorded in other assets on the unaudited condensed consolidated balance sheet.</w:t>
      </w:r>
    </w:p>
    <w:p>
      <w:pPr>
        <w:pStyle w:val="TextBody"/>
        <w:bidi w:val="0"/>
        <w:spacing w:before="0" w:after="0"/>
        <w:ind w:left="0" w:right="0" w:hanging="0"/>
        <w:jc w:val="left"/>
        <w:rPr/>
      </w:pPr>
      <w:r>
        <w:rPr/>
        <w:t>​</w:t>
      </w:r>
    </w:p>
    <w:tbl>
      <w:tblPr>
        <w:tblW w:w="3695" w:type="dxa"/>
        <w:jc w:val="left"/>
        <w:tblInd w:w="0" w:type="dxa"/>
        <w:tblLayout w:type="fixed"/>
        <w:tblCellMar>
          <w:top w:w="0" w:type="dxa"/>
          <w:left w:w="0" w:type="dxa"/>
          <w:bottom w:w="0" w:type="dxa"/>
          <w:right w:w="0" w:type="dxa"/>
        </w:tblCellMar>
      </w:tblPr>
      <w:tblGrid>
        <w:gridCol w:w="2401"/>
        <w:gridCol w:w="109"/>
        <w:gridCol w:w="281"/>
        <w:gridCol w:w="904"/>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524635" cy="175260"/>
                      <wp:effectExtent l="0" t="0" r="0" b="0"/>
                      <wp:wrapNone/>
                      <wp:docPr id="346" name="Frame346"/>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9215" cy="175260"/>
                      <wp:effectExtent l="0" t="0" r="0" b="0"/>
                      <wp:wrapNone/>
                      <wp:docPr id="347" name="Frame34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78435" cy="175260"/>
                      <wp:effectExtent l="0" t="0" r="0" b="0"/>
                      <wp:wrapNone/>
                      <wp:docPr id="348" name="Frame348"/>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574040" cy="175260"/>
                      <wp:effectExtent l="0" t="0" r="0" b="0"/>
                      <wp:wrapNone/>
                      <wp:docPr id="349" name="Frame349"/>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w: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Projected benefit obligation</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(3,192)</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plan assets</w:t>
            </w:r>
          </w:p>
        </w:tc>
        <w:tc>
          <w:tcPr>
            <w:tcW w:w="109" w:type="dxa"/>
            <w:tcBorders/>
            <w:vAlign w:val="center"/>
          </w:tcPr>
          <w:p>
            <w:pPr>
              <w:pStyle w:val="TableContents"/>
              <w:bidi w:val="0"/>
              <w:spacing w:before="0" w:after="0"/>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3,870</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Funded status of the plan</w:t>
            </w:r>
          </w:p>
        </w:tc>
        <w:tc>
          <w:tcPr>
            <w:tcW w:w="109" w:type="dxa"/>
            <w:tcBorders/>
            <w:shd w:fill="CCEEFF" w:val="clear"/>
            <w:vAlign w:val="center"/>
          </w:tcPr>
          <w:p>
            <w:pPr>
              <w:pStyle w:val="TableContents"/>
              <w:bidi w:val="0"/>
              <w:spacing w:before="0" w:after="0"/>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678</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projected benefit obligation includes assumptions of a discount rate of 2.4% and pension increase for in-payment benefits of 1.5% for January 27, 2024 and April 30, 2023. The accumulated benefit obligation is approximately equal to the Company’s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2024. The Company assumed expected return on plan assets of 2.9% for January 27, 2024 and April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benefit payments as of April 30, 2023 (in thousands):</w:t>
      </w:r>
    </w:p>
    <w:p>
      <w:pPr>
        <w:pStyle w:val="TextBody"/>
        <w:bidi w:val="0"/>
        <w:spacing w:before="0" w:after="0"/>
        <w:ind w:left="0" w:right="0" w:hanging="0"/>
        <w:jc w:val="left"/>
        <w:rPr/>
      </w:pPr>
      <w:r>
        <w:rPr/>
        <w:t>​</w:t>
      </w:r>
    </w:p>
    <w:tbl>
      <w:tblPr>
        <w:tblW w:w="3772" w:type="dxa"/>
        <w:jc w:val="left"/>
        <w:tblInd w:w="0" w:type="dxa"/>
        <w:tblLayout w:type="fixed"/>
        <w:tblCellMar>
          <w:top w:w="0" w:type="dxa"/>
          <w:left w:w="0" w:type="dxa"/>
          <w:bottom w:w="0" w:type="dxa"/>
          <w:right w:w="0" w:type="dxa"/>
        </w:tblCellMar>
      </w:tblPr>
      <w:tblGrid>
        <w:gridCol w:w="2776"/>
        <w:gridCol w:w="109"/>
        <w:gridCol w:w="211"/>
        <w:gridCol w:w="676"/>
      </w:tblGrid>
      <w:tr>
        <w:trPr/>
        <w:tc>
          <w:tcPr>
            <w:tcW w:w="2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1762760" cy="175260"/>
                      <wp:effectExtent l="0" t="0" r="0" b="0"/>
                      <wp:wrapNone/>
                      <wp:docPr id="350" name="Frame350"/>
                      <a:graphic xmlns:a="http://schemas.openxmlformats.org/drawingml/2006/main">
                        <a:graphicData uri="http://schemas.microsoft.com/office/word/2010/wordprocessingShape">
                          <wps:wsp>
                            <wps:cNvSpPr txBox="1"/>
                            <wps:spPr>
                              <a:xfrm>
                                <a:off x="0" y="0"/>
                                <a:ext cx="1762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9215" cy="175260"/>
                      <wp:effectExtent l="0" t="0" r="0" b="0"/>
                      <wp:wrapNone/>
                      <wp:docPr id="351" name="Frame3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429260" cy="175260"/>
                      <wp:effectExtent l="0" t="0" r="0" b="0"/>
                      <wp:wrapNone/>
                      <wp:docPr id="353" name="Frame3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27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2029-2033</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1,008</w:t>
            </w:r>
          </w:p>
        </w:tc>
      </w:tr>
      <w:tr>
        <w:trPr/>
        <w:tc>
          <w:tcPr>
            <w:tcW w:w="27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expected benefit payments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1,959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805" w:name="Tc_OKpvvbaP10q-GQPItWmPzQ_8_11"/>
      <w:bookmarkStart w:id="1806" w:name="Tc_IrpQrlCKZEG1Wzlt1asWBw_8_8"/>
      <w:bookmarkStart w:id="1807" w:name="Tc_zHrRqpvSVE6kryjk2zbP6A_8_5"/>
      <w:bookmarkStart w:id="1808" w:name="Tc__ywSLg3dVk6vtpEi35_KAQ_8_2"/>
      <w:bookmarkStart w:id="1809" w:name="Tc_wBmj6t-3XkamjTtkSM4UXw_8_0"/>
      <w:bookmarkStart w:id="1810" w:name="Tc_LSFvQ2DDcEKuEMFYI8R1-w_7_9"/>
      <w:bookmarkStart w:id="1811" w:name="Tc_XdEwhoSdU0yXnEiLEJ6g_g_7_6"/>
      <w:bookmarkStart w:id="1812" w:name="Tc_euDCC0bREEWnYoqzPBZP0g_7_3"/>
      <w:bookmarkStart w:id="1813" w:name="Tc_gDE8YtvtP0und-H7oSexww_7_0"/>
      <w:bookmarkStart w:id="1814" w:name="Tc_O8Xc9QrMPUudTVDlmxuA1Q_6_0"/>
      <w:bookmarkStart w:id="1815" w:name="Tc_vlOyindRKUi5U1Uv-sL0Mg_5_12"/>
      <w:bookmarkStart w:id="1816" w:name="Tc_8b1gp79YOUWHiaS1Dk080w_5_11"/>
      <w:bookmarkStart w:id="1817" w:name="Tc_K6zVHjy4cUWh2jmK1YRoFA_5_9"/>
      <w:bookmarkStart w:id="1818" w:name="Tc_-jSUQbfvdkmXI77TQbVhVg_5_8"/>
      <w:bookmarkStart w:id="1819" w:name="Tc_1m3HBvj-Jk6UBpw0jMVtvg_5_6"/>
      <w:bookmarkStart w:id="1820" w:name="Tc_NExmh8F9OU-KoXZAbS7jgQ_5_5"/>
      <w:bookmarkStart w:id="1821" w:name="Tc__7RJi0mED0yMe7wyC2aVcQ_5_3"/>
      <w:bookmarkStart w:id="1822" w:name="Tc_uALmNEBmv0imO5BByH1vdA_5_2"/>
      <w:bookmarkStart w:id="1823" w:name="Tc_8eKJA7cgX0e_RfUBJIqGkA_5_0"/>
      <w:bookmarkStart w:id="1824" w:name="Tc_8a25UDOJ4kiqtaLDa9j9Wg_4_11"/>
      <w:bookmarkStart w:id="1825" w:name="Tc_w9JM7uEqu0GAPWXTx4gCtA_4_8"/>
      <w:bookmarkStart w:id="1826" w:name="Tc_KcB_7a25jEeWUru1haLErQ_4_5"/>
      <w:bookmarkStart w:id="1827" w:name="Tc_JX2zdCEStkiC7U6bwnwSKw_4_2"/>
      <w:bookmarkStart w:id="1828" w:name="Tc_AWh6IRDS6k-BCO6atfbDqA_3_11"/>
      <w:bookmarkStart w:id="1829" w:name="Tc_yqjYT1WsBU-_M-0pVkU9jQ_3_8"/>
      <w:bookmarkStart w:id="1830" w:name="Tc_2xu3P4oxvUCDqPdkM7ix5g_3_5"/>
      <w:bookmarkStart w:id="1831" w:name="Tc_3a26zQvIGk6IXqUNwyDSBg_3_2"/>
      <w:bookmarkStart w:id="1832" w:name="Tc_G66w9Ddx40eUnwuuesObVg_2_11"/>
      <w:bookmarkStart w:id="1833" w:name="Tc_dVFYoqEgZU2uFVMbKrO1jg_2_8"/>
      <w:bookmarkStart w:id="1834" w:name="Tc_2RFEmCaDa0qCPrkZoyPPsw_2_5"/>
      <w:bookmarkStart w:id="1835" w:name="Tc_SJNyx6nZwka94-nOAhd5rA_2_2"/>
      <w:bookmarkStart w:id="1836" w:name="Tc_ZvFwImea30W_NFyqM3-nQw_1_8"/>
      <w:bookmarkStart w:id="1837" w:name="Tc_nyLo8wWFSEqFdigtJi6azg_1_2"/>
      <w:bookmarkStart w:id="1838" w:name="_874ceb22_be57_4aeb_86b3_3a90ec056265"/>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r>
        <w:rPr>
          <w:rFonts w:ascii="Times New Roman;Times;serif" w:hAnsi="Times New Roman;Times;serif"/>
          <w:sz w:val="20"/>
        </w:rPr>
        <w:t>Net periodic benefit cost (in thousands) is recorded in interest expense, net.</w:t>
      </w:r>
    </w:p>
    <w:p>
      <w:pPr>
        <w:pStyle w:val="TextBody"/>
        <w:bidi w:val="0"/>
        <w:spacing w:before="0" w:after="0"/>
        <w:ind w:left="0" w:right="0" w:hanging="0"/>
        <w:jc w:val="left"/>
        <w:rPr/>
      </w:pPr>
      <w:r>
        <w:rPr/>
        <w:t>​</w:t>
      </w:r>
    </w:p>
    <w:tbl>
      <w:tblPr>
        <w:tblW w:w="7665" w:type="dxa"/>
        <w:jc w:val="left"/>
        <w:tblInd w:w="0" w:type="dxa"/>
        <w:tblLayout w:type="fixed"/>
        <w:tblCellMar>
          <w:top w:w="0" w:type="dxa"/>
          <w:left w:w="0" w:type="dxa"/>
          <w:bottom w:w="0" w:type="dxa"/>
          <w:right w:w="0" w:type="dxa"/>
        </w:tblCellMar>
      </w:tblPr>
      <w:tblGrid>
        <w:gridCol w:w="2581"/>
        <w:gridCol w:w="109"/>
        <w:gridCol w:w="431"/>
        <w:gridCol w:w="709"/>
        <w:gridCol w:w="137"/>
        <w:gridCol w:w="409"/>
        <w:gridCol w:w="731"/>
        <w:gridCol w:w="109"/>
        <w:gridCol w:w="431"/>
        <w:gridCol w:w="709"/>
        <w:gridCol w:w="124"/>
        <w:gridCol w:w="338"/>
        <w:gridCol w:w="847"/>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1638935" cy="175260"/>
                      <wp:effectExtent l="0" t="0" r="0" b="0"/>
                      <wp:wrapNone/>
                      <wp:docPr id="354" name="Frame35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9215" cy="175260"/>
                      <wp:effectExtent l="0" t="0" r="0" b="0"/>
                      <wp:wrapNone/>
                      <wp:docPr id="355" name="Frame3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273685" cy="175260"/>
                      <wp:effectExtent l="0" t="0" r="0" b="0"/>
                      <wp:wrapNone/>
                      <wp:docPr id="356" name="Frame356"/>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450215" cy="175260"/>
                      <wp:effectExtent l="0" t="0" r="0" b="0"/>
                      <wp:wrapNone/>
                      <wp:docPr id="357" name="Frame357"/>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86995" cy="175260"/>
                      <wp:effectExtent l="0" t="0" r="0" b="0"/>
                      <wp:wrapNone/>
                      <wp:docPr id="358" name="Frame358"/>
                      <a:graphic xmlns:a="http://schemas.openxmlformats.org/drawingml/2006/main">
                        <a:graphicData uri="http://schemas.microsoft.com/office/word/2010/wordprocessingShape">
                          <wps:wsp>
                            <wps:cNvSpPr txBox="1"/>
                            <wps:spPr>
                              <a:xfrm>
                                <a:off x="0" y="0"/>
                                <a:ext cx="869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59715" cy="175260"/>
                      <wp:effectExtent l="0" t="0" r="0" b="0"/>
                      <wp:wrapNone/>
                      <wp:docPr id="359" name="Frame359"/>
                      <a:graphic xmlns:a="http://schemas.openxmlformats.org/drawingml/2006/main">
                        <a:graphicData uri="http://schemas.microsoft.com/office/word/2010/wordprocessingShape">
                          <wps:wsp>
                            <wps:cNvSpPr txBox="1"/>
                            <wps:spPr>
                              <a:xfrm>
                                <a:off x="0" y="0"/>
                                <a:ext cx="259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464185" cy="175260"/>
                      <wp:effectExtent l="0" t="0" r="0" b="0"/>
                      <wp:wrapNone/>
                      <wp:docPr id="360" name="Frame360"/>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9215" cy="175260"/>
                      <wp:effectExtent l="0" t="0" r="0" b="0"/>
                      <wp:wrapNone/>
                      <wp:docPr id="361" name="Frame3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73685" cy="175260"/>
                      <wp:effectExtent l="0" t="0" r="0" b="0"/>
                      <wp:wrapNone/>
                      <wp:docPr id="362" name="Frame362"/>
                      <a:graphic xmlns:a="http://schemas.openxmlformats.org/drawingml/2006/main">
                        <a:graphicData uri="http://schemas.microsoft.com/office/word/2010/wordprocessingShape">
                          <wps:wsp>
                            <wps:cNvSpPr txBox="1"/>
                            <wps:spPr>
                              <a:xfrm>
                                <a:off x="0" y="0"/>
                                <a:ext cx="273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450215" cy="175260"/>
                      <wp:effectExtent l="0" t="0" r="0" b="0"/>
                      <wp:wrapNone/>
                      <wp:docPr id="363" name="Frame363"/>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78740" cy="175260"/>
                      <wp:effectExtent l="0" t="0" r="0" b="0"/>
                      <wp:wrapNone/>
                      <wp:docPr id="364" name="Frame36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4630" cy="175260"/>
                      <wp:effectExtent l="0" t="0" r="0" b="0"/>
                      <wp:wrapNone/>
                      <wp:docPr id="365" name="Frame365"/>
                      <a:graphic xmlns:a="http://schemas.openxmlformats.org/drawingml/2006/main">
                        <a:graphicData uri="http://schemas.microsoft.com/office/word/2010/wordprocessingShape">
                          <wps:wsp>
                            <wps:cNvSpPr txBox="1"/>
                            <wps:spPr>
                              <a:xfrm>
                                <a:off x="0" y="0"/>
                                <a:ext cx="214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37845" cy="175260"/>
                      <wp:effectExtent l="0" t="0" r="0" b="0"/>
                      <wp:wrapNone/>
                      <wp:docPr id="366" name="Frame366"/>
                      <a:graphic xmlns:a="http://schemas.openxmlformats.org/drawingml/2006/main">
                        <a:graphicData uri="http://schemas.microsoft.com/office/word/2010/wordprocessingShape">
                          <wps:wsp>
                            <wps:cNvSpPr txBox="1"/>
                            <wps:spPr>
                              <a:xfrm>
                                <a:off x="0" y="0"/>
                                <a:ext cx="537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244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37"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24"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37"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4" w:type="dxa"/>
            <w:tcBorders/>
            <w:vAlign w:val="center"/>
          </w:tcPr>
          <w:p>
            <w:pPr>
              <w:pStyle w:val="TableContents"/>
              <w:bidi w:val="0"/>
              <w:spacing w:before="0" w:after="0"/>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37"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0"/>
              <w:ind w:left="0" w:right="0" w:hanging="0"/>
              <w:jc w:val="left"/>
              <w:rPr/>
            </w:pPr>
            <w:r>
              <w:rPr/>
              <w:t>​</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24" w:type="dxa"/>
            <w:tcBorders/>
            <w:vAlign w:val="center"/>
          </w:tcPr>
          <w:p>
            <w:pPr>
              <w:pStyle w:val="TableContents"/>
              <w:bidi w:val="0"/>
              <w:spacing w:before="0" w:after="0"/>
              <w:ind w:left="0" w:right="0" w:hanging="0"/>
              <w:jc w:val="left"/>
              <w:rPr/>
            </w:pPr>
            <w:r>
              <w:rPr/>
              <w:t>​</w:t>
            </w:r>
          </w:p>
        </w:tc>
        <w:tc>
          <w:tcPr>
            <w:tcW w:w="11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137" w:type="dxa"/>
            <w:tcBorders/>
            <w:shd w:fill="CCEEFF" w:val="clear"/>
            <w:vAlign w:val="center"/>
          </w:tcPr>
          <w:p>
            <w:pPr>
              <w:pStyle w:val="TableContents"/>
              <w:bidi w:val="0"/>
              <w:spacing w:before="0" w:after="0"/>
              <w:ind w:left="0" w:right="0" w:hanging="0"/>
              <w:jc w:val="left"/>
              <w:rPr/>
            </w:pPr>
            <w:r>
              <w:rPr/>
              <w:t>​</w:t>
            </w:r>
          </w:p>
        </w:tc>
        <w:tc>
          <w:tcPr>
            <w:tcW w:w="4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pPr>
            <w:r>
              <w:rPr/>
              <w:t>—</w:t>
            </w:r>
          </w:p>
        </w:tc>
        <w:tc>
          <w:tcPr>
            <w:tcW w:w="124" w:type="dxa"/>
            <w:tcBorders/>
            <w:shd w:fill="CCEEFF" w:val="clear"/>
            <w:vAlign w:val="center"/>
          </w:tcPr>
          <w:p>
            <w:pPr>
              <w:pStyle w:val="TableContents"/>
              <w:bidi w:val="0"/>
              <w:spacing w:before="0" w:after="0"/>
              <w:ind w:left="0" w:right="0" w:hanging="0"/>
              <w:jc w:val="left"/>
              <w:rPr/>
            </w:pPr>
            <w:r>
              <w:rPr/>
              <w:t>​</w:t>
            </w:r>
          </w:p>
        </w:tc>
        <w:tc>
          <w:tcPr>
            <w:tcW w:w="33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CCEEFF" w:val="clear"/>
            <w:vAlign w:val="center"/>
          </w:tcPr>
          <w:p>
            <w:pPr>
              <w:pStyle w:val="TableContents"/>
              <w:bidi w:val="0"/>
              <w:spacing w:before="0" w:after="0"/>
              <w:ind w:left="0" w:right="0" w:hanging="0"/>
              <w:jc w:val="right"/>
              <w:rPr/>
            </w:pPr>
            <w:r>
              <w:rPr/>
              <w:t>—</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37"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pPr>
            <w:r>
              <w:rPr/>
              <w:t> </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pPr>
            <w:r>
              <w:rPr/>
              <w:t> </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24"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pPr>
            <w:r>
              <w:rPr/>
              <w:t> </w:t>
            </w:r>
          </w:p>
        </w:tc>
        <w:tc>
          <w:tcPr>
            <w:tcW w:w="8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Actuarial gain</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37" w:type="dxa"/>
            <w:tcBorders/>
            <w:shd w:fill="CCEEFF" w:val="clear"/>
            <w:vAlign w:val="center"/>
          </w:tcPr>
          <w:p>
            <w:pPr>
              <w:pStyle w:val="TableContents"/>
              <w:bidi w:val="0"/>
              <w:spacing w:before="0" w:after="0"/>
              <w:ind w:left="0" w:right="0" w:hanging="0"/>
              <w:jc w:val="left"/>
              <w:rPr/>
            </w:pPr>
            <w:r>
              <w:rPr/>
              <w:t>​</w:t>
            </w:r>
          </w:p>
        </w:tc>
        <w:tc>
          <w:tcPr>
            <w:tcW w:w="40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4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4" w:type="dxa"/>
            <w:tcBorders/>
            <w:shd w:fill="CCEEFF" w:val="clear"/>
            <w:vAlign w:val="center"/>
          </w:tcPr>
          <w:p>
            <w:pPr>
              <w:pStyle w:val="TableContents"/>
              <w:bidi w:val="0"/>
              <w:spacing w:before="0" w:after="0"/>
              <w:ind w:left="0" w:right="0" w:hanging="0"/>
              <w:jc w:val="left"/>
              <w:rPr/>
            </w:pPr>
            <w:r>
              <w:rPr/>
              <w:t>​</w:t>
            </w:r>
          </w:p>
        </w:tc>
        <w:tc>
          <w:tcPr>
            <w:tcW w:w="3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241</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benefit cost</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137" w:type="dxa"/>
            <w:tcBorders/>
            <w:vAlign w:val="center"/>
          </w:tcPr>
          <w:p>
            <w:pPr>
              <w:pStyle w:val="TableContents"/>
              <w:bidi w:val="0"/>
              <w:spacing w:before="0" w:after="0"/>
              <w:ind w:left="0" w:right="0" w:hanging="0"/>
              <w:jc w:val="left"/>
              <w:rPr/>
            </w:pPr>
            <w:r>
              <w:rPr/>
              <w:t>​</w:t>
            </w:r>
          </w:p>
        </w:tc>
        <w:tc>
          <w:tcPr>
            <w:tcW w:w="4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109" w:type="dxa"/>
            <w:tcBorders/>
            <w:vAlign w:val="center"/>
          </w:tcPr>
          <w:p>
            <w:pPr>
              <w:pStyle w:val="TableContents"/>
              <w:bidi w:val="0"/>
              <w:spacing w:before="0" w:after="0"/>
              <w:ind w:left="0" w:right="0" w:hanging="0"/>
              <w:jc w:val="left"/>
              <w:rPr/>
            </w:pPr>
            <w:r>
              <w:rPr/>
              <w:t>​</w:t>
            </w:r>
          </w:p>
        </w:tc>
        <w:tc>
          <w:tcPr>
            <w:tcW w:w="4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124" w:type="dxa"/>
            <w:tcBorders/>
            <w:vAlign w:val="center"/>
          </w:tcPr>
          <w:p>
            <w:pPr>
              <w:pStyle w:val="TableContents"/>
              <w:bidi w:val="0"/>
              <w:spacing w:before="0" w:after="0"/>
              <w:ind w:left="0" w:right="0" w:hanging="0"/>
              <w:jc w:val="left"/>
              <w:rPr/>
            </w:pPr>
            <w:r>
              <w:rPr/>
              <w:t>​</w:t>
            </w:r>
          </w:p>
        </w:tc>
        <w:tc>
          <w:tcPr>
            <w:tcW w:w="3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18. Segments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May 1, 2023, the Company reorganized its segments. Due to the Company’s growth as an organization, the reorganization was implemented to drive additional operational improvements, foster synergies and provide leaders with greater autonomy over their product lines. The Company’s reportable segments are as follows: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Unmanned Systems</w:t>
      </w:r>
      <w:r>
        <w:rPr>
          <w:rFonts w:ascii="Times New Roman;Times;serif" w:hAnsi="Times New Roman;Times;serif"/>
          <w:sz w:val="20"/>
        </w:rPr>
        <w:t>—The UMS segment, which consists of the former SUAS, MUAS and UGV segments and the recently acquired Tomahawk, focuses primarily on small UAS products designed to operate reliably at lower altitudes in a wide range of environmental conditions, providing a vantage point from which to collect and deliver valuable information as well as related support including training, spare and accessory parts, product repair, product replacement, maintenance and upgrades; medium UAS products designed to operate reliably at medium altitudes with longer range while carrying larger payloads including airborne platforms, payloads and payload integration, and ground support equipment and other items and services related generally to unmanned aircraft systems historically including ISR services; UGV products designed to help responders remove, contain or neutralize these hazards in situations where improvised explosive devices, caustic chemicals, nuclear, radiological or biological hazards or violent individuals represent significant danger to humans; and AI-enabled common control and communication solutions that allow any unmanned system to be controlled from a common user interface while aggregating data from multiple platforms to provide real time intelligence.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Loitering Munitions Systems</w:t>
      </w:r>
      <w:r>
        <w:rPr>
          <w:rFonts w:ascii="Times New Roman;Times;serif" w:hAnsi="Times New Roman;Times;serif"/>
          <w:sz w:val="20"/>
        </w:rPr>
        <w:t>—The LMS segment, which consists of the former Tactical Missile Systems segment, focuses primarily on tube-launched aircraft that deploy with the push of a button, fly at higher speeds than small UAS products, and perform either effects delivery or reconnaissance missions, and related support services including training, spare parts, product repair, and product replacement. The LMS segment also includes customer-funded research and development programs.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MacCready Works</w:t>
      </w:r>
      <w:r>
        <w:rPr>
          <w:rFonts w:ascii="Times New Roman;Times;serif" w:hAnsi="Times New Roman;Times;serif"/>
          <w:sz w:val="20"/>
        </w:rPr>
        <w:t>—The MW segment, which consists of the former MacCready Works and High Altitude Pseudo-Satellite systems (“HAPS”) segments, focuses on customer-funded research and development in the areas of HAPS, robotics, sensors, software analytics, data intelligence and connectivity. This segment contains the Company’s center of excellence for the development of machine learning, object identification and autonomy solutions and also seeks to identify new products, services and businesses for the Company.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839" w:name="Tc_JiXUK4LLQk6EyeOLNkbjuQ_1_8"/>
      <w:bookmarkStart w:id="1840" w:name="Tc_2NJKiV_dWkKp31F6Gp7HFg_1_2"/>
      <w:bookmarkStart w:id="1841" w:name="_fe31b086_706b_4660_8bf4_42fd493ce1ef"/>
      <w:bookmarkStart w:id="1842" w:name="Tc_yRnk53CQ30uuWAocW3W6HA_10_11"/>
      <w:bookmarkStart w:id="1843" w:name="Tc_953aiJhvJ0aUyFrbt-_G4A_10_8"/>
      <w:bookmarkStart w:id="1844" w:name="Tc_Nz84IuDviUqNawXJa98jrQ_10_5"/>
      <w:bookmarkStart w:id="1845" w:name="Tc_3y1IocBJrkGvSeoyftOOhg_10_2"/>
      <w:bookmarkStart w:id="1846" w:name="Tc_ty7wHeQlyUyr1-E1AfRSCg_10_0"/>
      <w:bookmarkStart w:id="1847" w:name="Tc_bUCtYXQBgE-EHkK-GsBGgQ_8_11"/>
      <w:bookmarkStart w:id="1848" w:name="Tc_rkzi2RFQ702A6vGPBZ-KFA_8_8"/>
      <w:bookmarkStart w:id="1849" w:name="Tc_TTzCqJdmeEit_sHOr1ZKPg_8_5"/>
      <w:bookmarkStart w:id="1850" w:name="Tc_gLm4XjNmmUeZ2FRtGo5UsA_8_2"/>
      <w:bookmarkStart w:id="1851" w:name="Tc_gW6uuIu9UEy5qyOutp2NSw_8_0"/>
      <w:bookmarkStart w:id="1852" w:name="Tc_EacuKDXkGUWKjPSq_RjxiQ_6_11"/>
      <w:bookmarkStart w:id="1853" w:name="Tc_O_ZB0Nl_hEi2XGFl8RxW7A_6_8"/>
      <w:bookmarkStart w:id="1854" w:name="Tc_jRPJjmpXJ02s6-XEv_7oXQ_6_5"/>
      <w:bookmarkStart w:id="1855" w:name="Tc_83N8inEts0-oPmWZD-q2SQ_6_2"/>
      <w:bookmarkStart w:id="1856" w:name="Tc_2MsuNlBNpkWD4LZbZ-Zv9g_5_0"/>
      <w:bookmarkStart w:id="1857" w:name="Tc_RFtqB8nN8U-K85LBYBLLmA_4_11"/>
      <w:bookmarkStart w:id="1858" w:name="Tc_k-AGjtQdfk2c7d6MlgtorQ_4_8"/>
      <w:bookmarkStart w:id="1859" w:name="Tc_Z7hBDnniFEC3QK5nj4GdCA_4_5"/>
      <w:bookmarkStart w:id="1860" w:name="Tc_6xUMYqB2Q0WhMeA75dX_wA_4_2"/>
      <w:bookmarkStart w:id="1861" w:name="Tc_n-f9HEpqtkKTkNju2hEi7Q_4_0"/>
      <w:bookmarkStart w:id="1862" w:name="Tc_Hz1ykK3IDkecEyuRaOZo2g_3_0"/>
      <w:bookmarkStart w:id="1863" w:name="Tc_QHYN4sdTB0OeYaisWtXWcw_2_11"/>
      <w:bookmarkStart w:id="1864" w:name="Tc_p7NH14kUYkupLurPz3lsSQ_2_8"/>
      <w:bookmarkStart w:id="1865" w:name="Tc_A3HuEY5aEkOq_6tjzkAj3A_2_5"/>
      <w:bookmarkStart w:id="1866" w:name="Tc_kithyKzLmk2XrUNh9-KDXg_2_2"/>
      <w:bookmarkStart w:id="1867" w:name="Tc_nXCnt2eTtU62YpG3EvColA_1_2"/>
      <w:bookmarkStart w:id="1868" w:name="_819225e0_180e_432b_b01b_c309a3ab9fa2"/>
      <w:bookmarkStart w:id="1869" w:name="Tc_nelyi33QNU26ApaTIySvZQ_10_11"/>
      <w:bookmarkStart w:id="1870" w:name="Tc_-EePcgn5WUeodJ01i0FGrA_10_8"/>
      <w:bookmarkStart w:id="1871" w:name="Tc_i4lvR48sCkWD7eMD0Dd8qQ_10_5"/>
      <w:bookmarkStart w:id="1872" w:name="Tc_62dkmkGC9UWMN5Zr4RJQJw_10_2"/>
      <w:bookmarkStart w:id="1873" w:name="Tc_n5QBbJl2E06o-4JviAHm-w_10_0"/>
      <w:bookmarkStart w:id="1874" w:name="Tc_hFxJWKjFJEehPQYZ_ZnZqQ_8_11"/>
      <w:bookmarkStart w:id="1875" w:name="Tc_F2EIXrpv4UarxBXFJHLdfw_8_8"/>
      <w:bookmarkStart w:id="1876" w:name="Tc_oi0NUsG97UK7o5brBChboQ_8_5"/>
      <w:bookmarkStart w:id="1877" w:name="Tc_cNV0OPurokil8AVfiK5vjw_8_2"/>
      <w:bookmarkStart w:id="1878" w:name="Tc_16Im_WhqiUqLrZfH3Szocg_8_0"/>
      <w:bookmarkStart w:id="1879" w:name="Tc_h_uibBORAkmfiV0u274RCA_6_11"/>
      <w:bookmarkStart w:id="1880" w:name="Tc_Mc98TMGR8EePVkfrfZPpeg_6_8"/>
      <w:bookmarkStart w:id="1881" w:name="Tc_TNHtNHZ0Wkq7hPNaybo83w_6_5"/>
      <w:bookmarkStart w:id="1882" w:name="Tc_BlxXmX_Y6Ei28ejePruP5g_6_2"/>
      <w:bookmarkStart w:id="1883" w:name="Tc_qrroOJMXpUaEXhYq2MCcPQ_5_0"/>
      <w:bookmarkStart w:id="1884" w:name="Tc_3Eo30SO08UO0M_F759P-uw_4_11"/>
      <w:bookmarkStart w:id="1885" w:name="Tc_t_gZsGXGFEqW8aEbUsBelQ_4_8"/>
      <w:bookmarkStart w:id="1886" w:name="Tc_Y8Oz4UsU6E-q7kQFfvGu_A_4_5"/>
      <w:bookmarkStart w:id="1887" w:name="Tc_e381PN9htUWul9BCttKxmg_4_2"/>
      <w:bookmarkStart w:id="1888" w:name="Tc_FqRWR7nMjkyS9DDH38G5pg_4_0"/>
      <w:bookmarkStart w:id="1889" w:name="Tc_8aZpYvoei0yaY4UITUNlVQ_3_0"/>
      <w:bookmarkStart w:id="1890" w:name="Tc_QvPoFfLI2kiAkOo0byAO5w_2_11"/>
      <w:bookmarkStart w:id="1891" w:name="Tc_WtCxnGH7_EuQYeMtwbjihg_2_8"/>
      <w:bookmarkStart w:id="1892" w:name="Tc_gKAYO5WmuEybZwYS0Dr1WQ_2_5"/>
      <w:bookmarkStart w:id="1893" w:name="Tc_sbpPhI8kpkOf-mqJTbDowA_2_2"/>
      <w:bookmarkStart w:id="1894" w:name="Tc_RdC89S1DCU6ooBPvZ28d0A_1_2"/>
      <w:bookmarkStart w:id="1895" w:name="_beaaf148_0a8a_4b16_ab97_59376402fd21"/>
      <w:bookmarkStart w:id="1896" w:name="Tc_AvB_ObYj1kKb_GpLhhKGnQ_10_11"/>
      <w:bookmarkStart w:id="1897" w:name="Tc_KvBlGzSer0SYTr39rBCnMQ_10_8"/>
      <w:bookmarkStart w:id="1898" w:name="Tc_nVBfUuBtDk-9oPUum531jw_10_5"/>
      <w:bookmarkStart w:id="1899" w:name="Tc_6h0RRdkaoECk9DsVniBqJw_10_2"/>
      <w:bookmarkStart w:id="1900" w:name="Tc_uRRSY_Wte0-BuPATyi7GZQ_10_0"/>
      <w:bookmarkStart w:id="1901" w:name="Tc_X7tt8blnTUux1KO9lzEiqw_8_11"/>
      <w:bookmarkStart w:id="1902" w:name="Tc_8g5nEVcOz0qjUp_pLhClgA_8_8"/>
      <w:bookmarkStart w:id="1903" w:name="Tc_9BIvXWw7VUGNKZYO02hHuQ_8_5"/>
      <w:bookmarkStart w:id="1904" w:name="Tc_5rZr7UKtVUy-aAf72YR2mA_8_2"/>
      <w:bookmarkStart w:id="1905" w:name="Tc_j3JUUg_rYUyoLrTSJHK3LQ_8_0"/>
      <w:bookmarkStart w:id="1906" w:name="Tc_6ed4v0sY-UWUxA6q384Rng_6_11"/>
      <w:bookmarkStart w:id="1907" w:name="Tc_nMAfzukcfE6DyMICOd8ivg_6_8"/>
      <w:bookmarkStart w:id="1908" w:name="Tc_XSNy5K6GgEmtJONGu5FAaw_6_5"/>
      <w:bookmarkStart w:id="1909" w:name="Tc_cB16JkFpI0y0OimfDoMSlg_6_2"/>
      <w:bookmarkStart w:id="1910" w:name="Tc_qKr7croVEkOYjKQ1bNSzlQ_5_0"/>
      <w:bookmarkStart w:id="1911" w:name="Tc_Vv_vBb25eEyEv-QS4LrfoQ_4_11"/>
      <w:bookmarkStart w:id="1912" w:name="Tc_KshvGCmknkOQwYRXK1M9yw_4_8"/>
      <w:bookmarkStart w:id="1913" w:name="Tc_roIj018YFE2KhYDWhJWTmw_4_5"/>
      <w:bookmarkStart w:id="1914" w:name="Tc_XYTNMfIG3Uuloif0qGRsZQ_4_2"/>
      <w:bookmarkStart w:id="1915" w:name="Tc_LPH9x4W84Euf3cH9rxiYtA_4_0"/>
      <w:bookmarkStart w:id="1916" w:name="Tc_LHnHi917AEmYkkrgVOyHxA_3_0"/>
      <w:bookmarkStart w:id="1917" w:name="Tc_ZgXrFBHWJEinsw7-QraHTw_2_11"/>
      <w:bookmarkStart w:id="1918" w:name="Tc_Sr3ai_BZjEeCSMvvw0CSag_2_8"/>
      <w:bookmarkStart w:id="1919" w:name="Tc__bClq5AjG0G6ixCbFPhqRA_2_5"/>
      <w:bookmarkStart w:id="1920" w:name="Tc_ihlVvSChEkuxfdIvKnd2zw_2_2"/>
      <w:bookmarkStart w:id="1921" w:name="Tc_51gzRdR3_0KSZRqJVbpMtw_1_2"/>
      <w:bookmarkStart w:id="1922" w:name="_f46d710b_c708_4d6e_b96d_26bc85b11c50"/>
      <w:bookmarkStart w:id="1923" w:name="Tc_8YzjE_GvwUWQR8ESjWlN4w_10_11"/>
      <w:bookmarkStart w:id="1924" w:name="Tc_4NmN3_bnM0ScfPKfjgGdTA_10_8"/>
      <w:bookmarkStart w:id="1925" w:name="Tc_XFd202zUck2QdwxjOJNNMw_10_5"/>
      <w:bookmarkStart w:id="1926" w:name="Tc_9eeccRIMIUKR457-QB_HJQ_10_2"/>
      <w:bookmarkStart w:id="1927" w:name="Tc_fTLYER2hWECHIJe0fnnJXw_10_0"/>
      <w:bookmarkStart w:id="1928" w:name="Tc__VfoD2aasUygBkQt6GtxSw_8_11"/>
      <w:bookmarkStart w:id="1929" w:name="Tc_Pn6kB4hM1ECmiZs2zhSAYg_8_8"/>
      <w:bookmarkStart w:id="1930" w:name="Tc_9-O-MdDowUqA6IhXVWSjsw_8_5"/>
      <w:bookmarkStart w:id="1931" w:name="Tc_Greb_lITn0qRfvIcNVQQUA_8_2"/>
      <w:bookmarkStart w:id="1932" w:name="Tc_eZGBzNKixkmu6Ntn5Yb5-w_8_0"/>
      <w:bookmarkStart w:id="1933" w:name="Tc_5n8KD1eiuE6S-0CvexR6gA_6_11"/>
      <w:bookmarkStart w:id="1934" w:name="Tc_Vjzxhd5hGEy-wSlNTvmDRQ_6_8"/>
      <w:bookmarkStart w:id="1935" w:name="Tc_dDfL2qq_fkKxbM6uKgsFBg_6_5"/>
      <w:bookmarkStart w:id="1936" w:name="Tc_qUK0mjxOCEm5fMpRaAEzjw_6_2"/>
      <w:bookmarkStart w:id="1937" w:name="Tc_O0Lxx8L290SoDxqfFsL0RA_5_0"/>
      <w:bookmarkStart w:id="1938" w:name="Tc_1vPRbQbc_k6N1YL3W8rdSA_4_11"/>
      <w:bookmarkStart w:id="1939" w:name="Tc_S5bn9-SsA0aE2BGpJiUUtw_4_8"/>
      <w:bookmarkStart w:id="1940" w:name="Tc_VWNUK-XcgUKeJIGsfpdPdQ_4_5"/>
      <w:bookmarkStart w:id="1941" w:name="Tc_-XCzJ2Ch3UKexgoLh53vjw_4_2"/>
      <w:bookmarkStart w:id="1942" w:name="Tc_vgdiM5v4N0-hYsu6Jfws2Q_4_0"/>
      <w:bookmarkStart w:id="1943" w:name="Tc__1nSoTfD-0Sm9KJ7_Jy9Sw_3_0"/>
      <w:bookmarkStart w:id="1944" w:name="Tc_p5CO9AZyxEeQDpKXlQtrWA_2_11"/>
      <w:bookmarkStart w:id="1945" w:name="Tc_vjrj9cprmUWH8FAK-PNFxA_2_8"/>
      <w:bookmarkStart w:id="1946" w:name="Tc_LCb90P2vZk-eupNTxHRDZw_2_5"/>
      <w:bookmarkStart w:id="1947" w:name="Tc_EBdc_yN3k0m9nreze6oKCw_2_2"/>
      <w:bookmarkStart w:id="1948" w:name="Tc_6nawyIAim0aN78QSqEy-6Q_1_2"/>
      <w:bookmarkStart w:id="1949" w:name="_09235c15_b7a1_47b2_b22e_dd1a243f9f3d"/>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r>
        <w:rPr>
          <w:rFonts w:ascii="Times New Roman;Times;serif" w:hAnsi="Times New Roman;Times;serif"/>
          <w:sz w:val="20"/>
        </w:rPr>
        <w:t>The accounting policies of the segments are the same as those described in Note 1, “Organization and Significant Accounting Policies.” The operating segments do not make sales to each other. Segment adjusted income (loss) from operations is the measure of profitability used by the CODM for purposes of making decisions about allocating resources to the segments and assessing performance.</w:t>
      </w:r>
    </w:p>
    <w:p>
      <w:pPr>
        <w:pStyle w:val="TextBody"/>
        <w:bidi w:val="0"/>
        <w:spacing w:before="0" w:after="0"/>
        <w:ind w:left="0" w:right="0" w:hanging="0"/>
        <w:jc w:val="left"/>
        <w:rPr/>
      </w:pPr>
      <w:r>
        <w:rPr/>
        <w:t>​</w:t>
      </w:r>
    </w:p>
    <w:tbl>
      <w:tblPr>
        <w:tblW w:w="8911" w:type="dxa"/>
        <w:jc w:val="left"/>
        <w:tblInd w:w="0" w:type="dxa"/>
        <w:tblLayout w:type="fixed"/>
        <w:tblCellMar>
          <w:top w:w="0" w:type="dxa"/>
          <w:left w:w="0" w:type="dxa"/>
          <w:bottom w:w="0" w:type="dxa"/>
          <w:right w:w="0" w:type="dxa"/>
        </w:tblCellMar>
      </w:tblPr>
      <w:tblGrid>
        <w:gridCol w:w="4006"/>
        <w:gridCol w:w="326"/>
        <w:gridCol w:w="211"/>
        <w:gridCol w:w="781"/>
        <w:gridCol w:w="326"/>
        <w:gridCol w:w="211"/>
        <w:gridCol w:w="676"/>
        <w:gridCol w:w="326"/>
        <w:gridCol w:w="211"/>
        <w:gridCol w:w="691"/>
        <w:gridCol w:w="109"/>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543810" cy="175260"/>
                      <wp:effectExtent l="0" t="0" r="0" b="0"/>
                      <wp:wrapNone/>
                      <wp:docPr id="367" name="Frame36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07010" cy="175260"/>
                      <wp:effectExtent l="0" t="0" r="0" b="0"/>
                      <wp:wrapNone/>
                      <wp:docPr id="368"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95935" cy="175260"/>
                      <wp:effectExtent l="0" t="0" r="0" b="0"/>
                      <wp:wrapNone/>
                      <wp:docPr id="370" name="Frame3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07010" cy="175260"/>
                      <wp:effectExtent l="0" t="0" r="0" b="0"/>
                      <wp:wrapNone/>
                      <wp:docPr id="371" name="Frame3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9260" cy="175260"/>
                      <wp:effectExtent l="0" t="0" r="0" b="0"/>
                      <wp:wrapNone/>
                      <wp:docPr id="373" name="Frame3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4" name="Frame3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133985" cy="175260"/>
                      <wp:effectExtent l="0" t="0" r="0" b="0"/>
                      <wp:wrapNone/>
                      <wp:docPr id="375" name="Frame3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438785" cy="175260"/>
                      <wp:effectExtent l="0" t="0" r="0" b="0"/>
                      <wp:wrapNone/>
                      <wp:docPr id="376" name="Frame376"/>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9215" cy="175260"/>
                      <wp:effectExtent l="0" t="0" r="0" b="0"/>
                      <wp:wrapNone/>
                      <wp:docPr id="377" name="Frame3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524510" cy="175260"/>
                      <wp:effectExtent l="0" t="0" r="0" b="0"/>
                      <wp:wrapNone/>
                      <wp:docPr id="379" name="Frame37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27, 2024</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30,655</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186,578</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19,876</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9,582</w:t>
            </w:r>
          </w:p>
        </w:tc>
      </w:tr>
    </w:tbl>
    <w:p>
      <w:pPr>
        <w:pStyle w:val="TextBody"/>
        <w:bidi w:val="0"/>
        <w:spacing w:before="0" w:after="0"/>
        <w:ind w:left="0" w:right="0" w:hanging="0"/>
        <w:jc w:val="left"/>
        <w:rPr/>
      </w:pPr>
      <w:r>
        <w:rPr/>
        <w:t>​</w:t>
      </w:r>
    </w:p>
    <w:tbl>
      <w:tblPr>
        <w:tblW w:w="8791" w:type="dxa"/>
        <w:jc w:val="left"/>
        <w:tblInd w:w="0" w:type="dxa"/>
        <w:tblLayout w:type="fixed"/>
        <w:tblCellMar>
          <w:top w:w="0" w:type="dxa"/>
          <w:left w:w="0" w:type="dxa"/>
          <w:bottom w:w="0" w:type="dxa"/>
          <w:right w:w="0" w:type="dxa"/>
        </w:tblCellMar>
      </w:tblPr>
      <w:tblGrid>
        <w:gridCol w:w="4006"/>
        <w:gridCol w:w="326"/>
        <w:gridCol w:w="211"/>
        <w:gridCol w:w="676"/>
        <w:gridCol w:w="326"/>
        <w:gridCol w:w="211"/>
        <w:gridCol w:w="676"/>
        <w:gridCol w:w="326"/>
        <w:gridCol w:w="211"/>
        <w:gridCol w:w="676"/>
        <w:gridCol w:w="109"/>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543810" cy="175260"/>
                      <wp:effectExtent l="0" t="0" r="0" b="0"/>
                      <wp:wrapNone/>
                      <wp:docPr id="380" name="Frame380"/>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07010" cy="175260"/>
                      <wp:effectExtent l="0" t="0" r="0" b="0"/>
                      <wp:wrapNone/>
                      <wp:docPr id="381" name="Frame3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133985" cy="175260"/>
                      <wp:effectExtent l="0" t="0" r="0" b="0"/>
                      <wp:wrapNone/>
                      <wp:docPr id="382" name="Frame3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429260" cy="175260"/>
                      <wp:effectExtent l="0" t="0" r="0" b="0"/>
                      <wp:wrapNone/>
                      <wp:docPr id="383" name="Frame38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207010" cy="175260"/>
                      <wp:effectExtent l="0" t="0" r="0" b="0"/>
                      <wp:wrapNone/>
                      <wp:docPr id="384"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133985" cy="175260"/>
                      <wp:effectExtent l="0" t="0" r="0" b="0"/>
                      <wp:wrapNone/>
                      <wp:docPr id="385" name="Frame3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429260" cy="175260"/>
                      <wp:effectExtent l="0" t="0" r="0" b="0"/>
                      <wp:wrapNone/>
                      <wp:docPr id="386" name="Frame3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07010" cy="175260"/>
                      <wp:effectExtent l="0" t="0" r="0" b="0"/>
                      <wp:wrapNone/>
                      <wp:docPr id="387" name="Frame3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33985" cy="175260"/>
                      <wp:effectExtent l="0" t="0" r="0" b="0"/>
                      <wp:wrapNone/>
                      <wp:docPr id="388" name="Frame3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429260" cy="175260"/>
                      <wp:effectExtent l="0" t="0" r="0" b="0"/>
                      <wp:wrapNone/>
                      <wp:docPr id="389" name="Frame3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9215" cy="175260"/>
                      <wp:effectExtent l="0" t="0" r="0" b="0"/>
                      <wp:wrapNone/>
                      <wp:docPr id="390" name="Frame3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33985" cy="175260"/>
                      <wp:effectExtent l="0" t="0" r="0" b="0"/>
                      <wp:wrapNone/>
                      <wp:docPr id="391" name="Frame39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524510" cy="175260"/>
                      <wp:effectExtent l="0" t="0" r="0" b="0"/>
                      <wp:wrapNone/>
                      <wp:docPr id="392" name="Frame39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28, 2023</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91,216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43,179</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134,395</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15,834</w:t>
            </w:r>
          </w:p>
        </w:tc>
      </w:tr>
    </w:tbl>
    <w:p>
      <w:pPr>
        <w:pStyle w:val="TextBody"/>
        <w:bidi w:val="0"/>
        <w:spacing w:before="0" w:after="0"/>
        <w:ind w:left="0" w:right="0" w:hanging="0"/>
        <w:jc w:val="left"/>
        <w:rPr/>
      </w:pPr>
      <w:r>
        <w:rPr/>
        <w:t>​</w:t>
      </w:r>
    </w:p>
    <w:tbl>
      <w:tblPr>
        <w:tblW w:w="9338" w:type="dxa"/>
        <w:jc w:val="left"/>
        <w:tblInd w:w="0" w:type="dxa"/>
        <w:tblLayout w:type="fixed"/>
        <w:tblCellMar>
          <w:top w:w="0" w:type="dxa"/>
          <w:left w:w="0" w:type="dxa"/>
          <w:bottom w:w="0" w:type="dxa"/>
          <w:right w:w="0" w:type="dxa"/>
        </w:tblCellMar>
      </w:tblPr>
      <w:tblGrid>
        <w:gridCol w:w="4006"/>
        <w:gridCol w:w="326"/>
        <w:gridCol w:w="211"/>
        <w:gridCol w:w="781"/>
        <w:gridCol w:w="326"/>
        <w:gridCol w:w="211"/>
        <w:gridCol w:w="781"/>
        <w:gridCol w:w="326"/>
        <w:gridCol w:w="211"/>
        <w:gridCol w:w="796"/>
        <w:gridCol w:w="326"/>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543810" cy="175260"/>
                      <wp:effectExtent l="0" t="0" r="0" b="0"/>
                      <wp:wrapNone/>
                      <wp:docPr id="393" name="Frame393"/>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4" name="Frame3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133985" cy="175260"/>
                      <wp:effectExtent l="0" t="0" r="0" b="0"/>
                      <wp:wrapNone/>
                      <wp:docPr id="395" name="Frame3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495935" cy="175260"/>
                      <wp:effectExtent l="0" t="0" r="0" b="0"/>
                      <wp:wrapNone/>
                      <wp:docPr id="396" name="Frame39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07010" cy="175260"/>
                      <wp:effectExtent l="0" t="0" r="0" b="0"/>
                      <wp:wrapNone/>
                      <wp:docPr id="397"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133985" cy="175260"/>
                      <wp:effectExtent l="0" t="0" r="0" b="0"/>
                      <wp:wrapNone/>
                      <wp:docPr id="398" name="Frame3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495935" cy="175260"/>
                      <wp:effectExtent l="0" t="0" r="0" b="0"/>
                      <wp:wrapNone/>
                      <wp:docPr id="399" name="Frame3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207010" cy="175260"/>
                      <wp:effectExtent l="0" t="0" r="0" b="0"/>
                      <wp:wrapNone/>
                      <wp:docPr id="400"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33985" cy="175260"/>
                      <wp:effectExtent l="0" t="0" r="0" b="0"/>
                      <wp:wrapNone/>
                      <wp:docPr id="401" name="Frame4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05460" cy="175260"/>
                      <wp:effectExtent l="0" t="0" r="0" b="0"/>
                      <wp:wrapNone/>
                      <wp:docPr id="402" name="Frame4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3" name="Frame4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33985" cy="175260"/>
                      <wp:effectExtent l="0" t="0" r="0" b="0"/>
                      <wp:wrapNone/>
                      <wp:docPr id="404" name="Frame40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524510" cy="175260"/>
                      <wp:effectExtent l="0" t="0" r="0" b="0"/>
                      <wp:wrapNone/>
                      <wp:docPr id="405" name="Frame405"/>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06"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January 27, 2024</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421,173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98,568</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56,647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519,741</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80,766</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24,969</w:t>
            </w:r>
          </w:p>
        </w:tc>
      </w:tr>
    </w:tbl>
    <w:p>
      <w:pPr>
        <w:pStyle w:val="TextBody"/>
        <w:bidi w:val="0"/>
        <w:spacing w:before="0" w:after="0"/>
        <w:ind w:left="0" w:right="0" w:hanging="0"/>
        <w:jc w:val="left"/>
        <w:rPr/>
      </w:pPr>
      <w:r>
        <w:rPr/>
        <w:t>​</w:t>
      </w:r>
    </w:p>
    <w:tbl>
      <w:tblPr>
        <w:tblW w:w="8633" w:type="dxa"/>
        <w:jc w:val="left"/>
        <w:tblInd w:w="0" w:type="dxa"/>
        <w:tblLayout w:type="fixed"/>
        <w:tblCellMar>
          <w:top w:w="0" w:type="dxa"/>
          <w:left w:w="0" w:type="dxa"/>
          <w:bottom w:w="0" w:type="dxa"/>
          <w:right w:w="0" w:type="dxa"/>
        </w:tblCellMar>
      </w:tblPr>
      <w:tblGrid>
        <w:gridCol w:w="3526"/>
        <w:gridCol w:w="326"/>
        <w:gridCol w:w="211"/>
        <w:gridCol w:w="781"/>
        <w:gridCol w:w="326"/>
        <w:gridCol w:w="211"/>
        <w:gridCol w:w="676"/>
        <w:gridCol w:w="326"/>
        <w:gridCol w:w="211"/>
        <w:gridCol w:w="676"/>
        <w:gridCol w:w="326"/>
        <w:gridCol w:w="211"/>
        <w:gridCol w:w="82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239010" cy="175260"/>
                      <wp:effectExtent l="0" t="0" r="0" b="0"/>
                      <wp:wrapNone/>
                      <wp:docPr id="406" name="Frame406"/>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207010" cy="175260"/>
                      <wp:effectExtent l="0" t="0" r="0" b="0"/>
                      <wp:wrapNone/>
                      <wp:docPr id="407"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133985" cy="175260"/>
                      <wp:effectExtent l="0" t="0" r="0" b="0"/>
                      <wp:wrapNone/>
                      <wp:docPr id="408" name="Frame4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95935" cy="175260"/>
                      <wp:effectExtent l="0" t="0" r="0" b="0"/>
                      <wp:wrapNone/>
                      <wp:docPr id="409" name="Frame40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10" name="Frame4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133985" cy="175260"/>
                      <wp:effectExtent l="0" t="0" r="0" b="0"/>
                      <wp:wrapNone/>
                      <wp:docPr id="411" name="Frame4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429260" cy="175260"/>
                      <wp:effectExtent l="0" t="0" r="0" b="0"/>
                      <wp:wrapNone/>
                      <wp:docPr id="412" name="Frame41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3" name="Frame4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33985" cy="175260"/>
                      <wp:effectExtent l="0" t="0" r="0" b="0"/>
                      <wp:wrapNone/>
                      <wp:docPr id="414" name="Frame4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429260" cy="175260"/>
                      <wp:effectExtent l="0" t="0" r="0" b="0"/>
                      <wp:wrapNone/>
                      <wp:docPr id="415" name="Frame41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07010" cy="175260"/>
                      <wp:effectExtent l="0" t="0" r="0" b="0"/>
                      <wp:wrapNone/>
                      <wp:docPr id="416"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524510" cy="175260"/>
                      <wp:effectExtent l="0" t="0" r="0" b="0"/>
                      <wp:wrapNone/>
                      <wp:docPr id="418" name="Frame418"/>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81"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January 28, 2023</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326" w:type="dxa"/>
            <w:tcBorders/>
            <w:vAlign w:val="center"/>
          </w:tcPr>
          <w:p>
            <w:pPr>
              <w:pStyle w:val="TableContents"/>
              <w:bidi w:val="0"/>
              <w:spacing w:before="0" w:after="0"/>
              <w:ind w:left="0" w:right="0" w:hanging="0"/>
              <w:jc w:val="center"/>
              <w:rPr/>
            </w:pPr>
            <w:r>
              <w:rPr/>
              <w:t>    </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211,533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54,322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142,962</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354,495</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10,158</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44,835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48,109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(in thousands) provides a reconciliation from segment adjusted income from operations to income (loss) before taxes:</w:t>
      </w:r>
    </w:p>
    <w:p>
      <w:pPr>
        <w:pStyle w:val="TextBody"/>
        <w:bidi w:val="0"/>
        <w:spacing w:before="0" w:after="0"/>
        <w:ind w:left="0" w:right="0" w:hanging="0"/>
        <w:jc w:val="left"/>
        <w:rPr/>
      </w:pPr>
      <w:r>
        <w:rPr/>
        <w:t>​</w:t>
      </w:r>
    </w:p>
    <w:tbl>
      <w:tblPr>
        <w:tblW w:w="3595" w:type="dxa"/>
        <w:jc w:val="left"/>
        <w:tblInd w:w="0" w:type="dxa"/>
        <w:tblLayout w:type="fixed"/>
        <w:tblCellMar>
          <w:top w:w="0" w:type="dxa"/>
          <w:left w:w="0" w:type="dxa"/>
          <w:bottom w:w="0" w:type="dxa"/>
          <w:right w:w="0" w:type="dxa"/>
        </w:tblCellMar>
      </w:tblPr>
      <w:tblGrid>
        <w:gridCol w:w="124"/>
        <w:gridCol w:w="109"/>
        <w:gridCol w:w="329"/>
        <w:gridCol w:w="329"/>
        <w:gridCol w:w="329"/>
        <w:gridCol w:w="329"/>
        <w:gridCol w:w="332"/>
        <w:gridCol w:w="109"/>
        <w:gridCol w:w="295"/>
        <w:gridCol w:w="295"/>
        <w:gridCol w:w="295"/>
        <w:gridCol w:w="295"/>
        <w:gridCol w:w="425"/>
      </w:tblGrid>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78740" cy="175260"/>
                      <wp:effectExtent l="0" t="0" r="0" b="0"/>
                      <wp:wrapNone/>
                      <wp:docPr id="419" name="Frame419"/>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69215" cy="175260"/>
                      <wp:effectExtent l="0" t="0" r="0" b="0"/>
                      <wp:wrapNone/>
                      <wp:docPr id="420" name="Frame42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08915" cy="175260"/>
                      <wp:effectExtent l="0" t="0" r="0" b="0"/>
                      <wp:wrapNone/>
                      <wp:docPr id="421" name="Frame421"/>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8915" cy="175260"/>
                      <wp:effectExtent l="0" t="0" r="0" b="0"/>
                      <wp:wrapNone/>
                      <wp:docPr id="422" name="Frame422"/>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208915" cy="175260"/>
                      <wp:effectExtent l="0" t="0" r="0" b="0"/>
                      <wp:wrapNone/>
                      <wp:docPr id="423" name="Frame423"/>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8915" cy="175260"/>
                      <wp:effectExtent l="0" t="0" r="0" b="0"/>
                      <wp:wrapNone/>
                      <wp:docPr id="424" name="Frame424"/>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0820" cy="175260"/>
                      <wp:effectExtent l="0" t="0" r="0" b="0"/>
                      <wp:wrapNone/>
                      <wp:docPr id="425" name="Frame425"/>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69215" cy="175260"/>
                      <wp:effectExtent l="0" t="0" r="0" b="0"/>
                      <wp:wrapNone/>
                      <wp:docPr id="426" name="Frame4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87325" cy="175260"/>
                      <wp:effectExtent l="0" t="0" r="0" b="0"/>
                      <wp:wrapNone/>
                      <wp:docPr id="427" name="Frame427"/>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87325" cy="175260"/>
                      <wp:effectExtent l="0" t="0" r="0" b="0"/>
                      <wp:wrapNone/>
                      <wp:docPr id="428" name="Frame428"/>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187325" cy="175260"/>
                      <wp:effectExtent l="0" t="0" r="0" b="0"/>
                      <wp:wrapNone/>
                      <wp:docPr id="429" name="Frame429"/>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87325" cy="175260"/>
                      <wp:effectExtent l="0" t="0" r="0" b="0"/>
                      <wp:wrapNone/>
                      <wp:docPr id="430" name="Frame430"/>
                      <a:graphic xmlns:a="http://schemas.openxmlformats.org/drawingml/2006/main">
                        <a:graphicData uri="http://schemas.microsoft.com/office/word/2010/wordprocessingShape">
                          <wps:wsp>
                            <wps:cNvSpPr txBox="1"/>
                            <wps:spPr>
                              <a:xfrm>
                                <a:off x="0" y="0"/>
                                <a:ext cx="1873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69875" cy="175260"/>
                      <wp:effectExtent l="0" t="0" r="0" b="0"/>
                      <wp:wrapNone/>
                      <wp:docPr id="431" name="Frame431"/>
                      <a:graphic xmlns:a="http://schemas.openxmlformats.org/drawingml/2006/main">
                        <a:graphicData uri="http://schemas.microsoft.com/office/word/2010/wordprocessingShape">
                          <wps:wsp>
                            <wps:cNvSpPr txBox="1"/>
                            <wps:spPr>
                              <a:xfrm>
                                <a:off x="0" y="0"/>
                                <a:ext cx="269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64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left"/>
              <w:rPr/>
            </w:pPr>
            <w:r>
              <w:rPr/>
              <w:t>​</w:t>
            </w:r>
          </w:p>
        </w:tc>
        <w:tc>
          <w:tcPr>
            <w:tcW w:w="16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950" w:name="Tc_RlOdjOfva0mxynDyxqehPg_3_14"/>
      <w:bookmarkStart w:id="1951" w:name="Tc_F3Gu0aLarkuqeYhWtTYgXA_3_11"/>
      <w:bookmarkStart w:id="1952" w:name="Tc_OMkHcy3GUEuVzIR_jXMFAg_3_8"/>
      <w:bookmarkStart w:id="1953" w:name="Tc_s2Mo9bfVoE-kF-Gb1T2x_g_3_5"/>
      <w:bookmarkStart w:id="1954" w:name="Tc_7mWHK9TCQ0-1nwVoDfddEA_3_2"/>
      <w:bookmarkStart w:id="1955" w:name="Tc_az2iJg5nwEul0dxPHsRzSg_3_0"/>
      <w:bookmarkStart w:id="1956" w:name="Tc_tSiIjbTn1ke6KPMhUYLevA_2_14"/>
      <w:bookmarkStart w:id="1957" w:name="Tc_GYYzCH3bX0OWrMK6w8RlTA_2_11"/>
      <w:bookmarkStart w:id="1958" w:name="Tc_s73WolTTkkOHr20eJ7aZbA_2_8"/>
      <w:bookmarkStart w:id="1959" w:name="Tc_2PwxS7ZLIU2-EKbUbE1igg_2_5"/>
      <w:bookmarkStart w:id="1960" w:name="Tc_fFz9g609J0Kwo49-T4XJ6Q_2_2"/>
      <w:bookmarkStart w:id="1961" w:name="Tc_vBm18SzvD0OCFkhmDBtF5g_1_2"/>
      <w:bookmarkStart w:id="1962" w:name="_f2063903_9ab1_46d3_8a16_a66f564d3ba8"/>
      <w:bookmarkStart w:id="1963" w:name="Tc_knmC6WhJ-kmtwc5UHTJJ7g_3_14"/>
      <w:bookmarkStart w:id="1964" w:name="Tc_FAXa_p0i7Ua2vpnlClyQzw_3_11"/>
      <w:bookmarkStart w:id="1965" w:name="Tc_o3GKrO4CukmFswUdqy42Rg_3_8"/>
      <w:bookmarkStart w:id="1966" w:name="Tc_us6BecNZ8UmEQTiemVPRgg_3_5"/>
      <w:bookmarkStart w:id="1967" w:name="Tc_HeYmeGP2FECmfHqBb7pzqg_3_2"/>
      <w:bookmarkStart w:id="1968" w:name="Tc_PbLSo5jLA0KrL2CRqj3fTw_3_0"/>
      <w:bookmarkStart w:id="1969" w:name="Tc_nbz2SM-iOUmDvd0MHP-rmA_2_14"/>
      <w:bookmarkStart w:id="1970" w:name="Tc_zlFmnjl58kOB_CufFCOqxw_2_11"/>
      <w:bookmarkStart w:id="1971" w:name="Tc_HnwpF6HNzkqtmIoGYBtZ_A_2_8"/>
      <w:bookmarkStart w:id="1972" w:name="Tc_xN5tKx3l2EeYrVCruoMddQ_2_5"/>
      <w:bookmarkStart w:id="1973" w:name="Tc_kewCX2alUEeaIeB7vkt8Fw_2_2"/>
      <w:bookmarkStart w:id="1974" w:name="Tc_tXujpYrIjEy94C-uwF2rSA_1_2"/>
      <w:bookmarkStart w:id="1975" w:name="_45e4b7f8_5511_4e42_b064_9bcea91216fb"/>
      <w:bookmarkStart w:id="1976" w:name="Tc_TiGglP5_2UqRPSZvcJn0ww_9_11"/>
      <w:bookmarkStart w:id="1977" w:name="Tc_z6H5Oc645kmMk4NvQy1pug_9_8"/>
      <w:bookmarkStart w:id="1978" w:name="Tc__X5liasfkkm4XNIMIkoBXw_9_5"/>
      <w:bookmarkStart w:id="1979" w:name="Tc_ayZMhRXguU-lWUK1y0fXBA_9_2"/>
      <w:bookmarkStart w:id="1980" w:name="Tc_suDHpAbQt0m1u35uItcFmg_9_0"/>
      <w:bookmarkStart w:id="1981" w:name="Tc_rk1PVjX2OUmZ5aoBkiGlcg_8_0"/>
      <w:bookmarkStart w:id="1982" w:name="Tc_sXDnuGOFEUaPjrIjRKdFWg_7_0"/>
      <w:bookmarkStart w:id="1983" w:name="Tc_wJB5hPBuYE2GJOSeKF4R2w_6_0"/>
      <w:bookmarkStart w:id="1984" w:name="Tc_ko6gVkHWwkOn1ZxbW8pebQ_5_0"/>
      <w:bookmarkStart w:id="1985" w:name="Tc_nEaRxywfhUa9zj7fQVbD9w_4_11"/>
      <w:bookmarkStart w:id="1986" w:name="Tc_-XTk3Mkhu0ygks4ghzWI9g_4_8"/>
      <w:bookmarkStart w:id="1987" w:name="Tc_T0MK604JuEaK7Yw0xyka7Q_4_5"/>
      <w:bookmarkStart w:id="1988" w:name="Tc_vyZeTratEkyAYTVqnisN7g_4_2"/>
      <w:bookmarkStart w:id="1989" w:name="Tc_xydZWFwOfkOY5uzLGafvJA_4_0"/>
      <w:bookmarkStart w:id="1990" w:name="Tc__lHGCmMThUONvbmob1Fy6A_3_11"/>
      <w:bookmarkStart w:id="1991" w:name="Tc_d4pCh8MzQUe_y2Rd-k6JPg_3_8"/>
      <w:bookmarkStart w:id="1992" w:name="Tc_yLhpzYNsR0-g9GaRze9ObQ_3_5"/>
      <w:bookmarkStart w:id="1993" w:name="Tc_ESvVD24IIkqqc1mK2s0mQg_3_2"/>
      <w:bookmarkStart w:id="1994" w:name="Tc_OkyuUm8vhEyRdHQsqFOtgg_2_11"/>
      <w:bookmarkStart w:id="1995" w:name="Tc_Z59W9hFxOkyKZ12zdGzn8w_2_8"/>
      <w:bookmarkStart w:id="1996" w:name="Tc_F5vlG00wTkuta6pcO2ouNw_2_5"/>
      <w:bookmarkStart w:id="1997" w:name="Tc__xTuMZV-YkeoNM2wSBCYkw_2_2"/>
      <w:bookmarkStart w:id="1998" w:name="Tc_RlOdjOfva0mxynDyxqehPg_3_14"/>
      <w:bookmarkStart w:id="1999" w:name="Tc_F3Gu0aLarkuqeYhWtTYgXA_3_11"/>
      <w:bookmarkStart w:id="2000" w:name="Tc_OMkHcy3GUEuVzIR_jXMFAg_3_8"/>
      <w:bookmarkStart w:id="2001" w:name="Tc_s2Mo9bfVoE-kF-Gb1T2x_g_3_5"/>
      <w:bookmarkStart w:id="2002" w:name="Tc_7mWHK9TCQ0-1nwVoDfddEA_3_2"/>
      <w:bookmarkStart w:id="2003" w:name="Tc_az2iJg5nwEul0dxPHsRzSg_3_0"/>
      <w:bookmarkStart w:id="2004" w:name="Tc_tSiIjbTn1ke6KPMhUYLevA_2_14"/>
      <w:bookmarkStart w:id="2005" w:name="Tc_GYYzCH3bX0OWrMK6w8RlTA_2_11"/>
      <w:bookmarkStart w:id="2006" w:name="Tc_s73WolTTkkOHr20eJ7aZbA_2_8"/>
      <w:bookmarkStart w:id="2007" w:name="Tc_2PwxS7ZLIU2-EKbUbE1igg_2_5"/>
      <w:bookmarkStart w:id="2008" w:name="Tc_fFz9g609J0Kwo49-T4XJ6Q_2_2"/>
      <w:bookmarkStart w:id="2009" w:name="Tc_vBm18SzvD0OCFkhmDBtF5g_1_2"/>
      <w:bookmarkStart w:id="2010" w:name="_f2063903_9ab1_46d3_8a16_a66f564d3ba8"/>
      <w:bookmarkStart w:id="2011" w:name="Tc_knmC6WhJ-kmtwc5UHTJJ7g_3_14"/>
      <w:bookmarkStart w:id="2012" w:name="Tc_FAXa_p0i7Ua2vpnlClyQzw_3_11"/>
      <w:bookmarkStart w:id="2013" w:name="Tc_o3GKrO4CukmFswUdqy42Rg_3_8"/>
      <w:bookmarkStart w:id="2014" w:name="Tc_us6BecNZ8UmEQTiemVPRgg_3_5"/>
      <w:bookmarkStart w:id="2015" w:name="Tc_HeYmeGP2FECmfHqBb7pzqg_3_2"/>
      <w:bookmarkStart w:id="2016" w:name="Tc_PbLSo5jLA0KrL2CRqj3fTw_3_0"/>
      <w:bookmarkStart w:id="2017" w:name="Tc_nbz2SM-iOUmDvd0MHP-rmA_2_14"/>
      <w:bookmarkStart w:id="2018" w:name="Tc_zlFmnjl58kOB_CufFCOqxw_2_11"/>
      <w:bookmarkStart w:id="2019" w:name="Tc_HnwpF6HNzkqtmIoGYBtZ_A_2_8"/>
      <w:bookmarkStart w:id="2020" w:name="Tc_xN5tKx3l2EeYrVCruoMddQ_2_5"/>
      <w:bookmarkStart w:id="2021" w:name="Tc_kewCX2alUEeaIeB7vkt8Fw_2_2"/>
      <w:bookmarkStart w:id="2022" w:name="Tc_tXujpYrIjEy94C-uwF2rSA_1_2"/>
      <w:bookmarkStart w:id="2023" w:name="_45e4b7f8_5511_4e42_b064_9bcea91216fb"/>
      <w:bookmarkStart w:id="2024" w:name="Tc_TiGglP5_2UqRPSZvcJn0ww_9_11"/>
      <w:bookmarkStart w:id="2025" w:name="Tc_z6H5Oc645kmMk4NvQy1pug_9_8"/>
      <w:bookmarkStart w:id="2026" w:name="Tc__X5liasfkkm4XNIMIkoBXw_9_5"/>
      <w:bookmarkStart w:id="2027" w:name="Tc_ayZMhRXguU-lWUK1y0fXBA_9_2"/>
      <w:bookmarkStart w:id="2028" w:name="Tc_suDHpAbQt0m1u35uItcFmg_9_0"/>
      <w:bookmarkStart w:id="2029" w:name="Tc_rk1PVjX2OUmZ5aoBkiGlcg_8_0"/>
      <w:bookmarkStart w:id="2030" w:name="Tc_sXDnuGOFEUaPjrIjRKdFWg_7_0"/>
      <w:bookmarkStart w:id="2031" w:name="Tc_wJB5hPBuYE2GJOSeKF4R2w_6_0"/>
      <w:bookmarkStart w:id="2032" w:name="Tc_ko6gVkHWwkOn1ZxbW8pebQ_5_0"/>
      <w:bookmarkStart w:id="2033" w:name="Tc_nEaRxywfhUa9zj7fQVbD9w_4_11"/>
      <w:bookmarkStart w:id="2034" w:name="Tc_-XTk3Mkhu0ygks4ghzWI9g_4_8"/>
      <w:bookmarkStart w:id="2035" w:name="Tc_T0MK604JuEaK7Yw0xyka7Q_4_5"/>
      <w:bookmarkStart w:id="2036" w:name="Tc_vyZeTratEkyAYTVqnisN7g_4_2"/>
      <w:bookmarkStart w:id="2037" w:name="Tc_xydZWFwOfkOY5uzLGafvJA_4_0"/>
      <w:bookmarkStart w:id="2038" w:name="Tc__lHGCmMThUONvbmob1Fy6A_3_11"/>
      <w:bookmarkStart w:id="2039" w:name="Tc_d4pCh8MzQUe_y2Rd-k6JPg_3_8"/>
      <w:bookmarkStart w:id="2040" w:name="Tc_yLhpzYNsR0-g9GaRze9ObQ_3_5"/>
      <w:bookmarkStart w:id="2041" w:name="Tc_ESvVD24IIkqqc1mK2s0mQg_3_2"/>
      <w:bookmarkStart w:id="2042" w:name="Tc_OkyuUm8vhEyRdHQsqFOtgg_2_11"/>
      <w:bookmarkStart w:id="2043" w:name="Tc_Z59W9hFxOkyKZ12zdGzn8w_2_8"/>
      <w:bookmarkStart w:id="2044" w:name="Tc_F5vlG00wTkuta6pcO2ouNw_2_5"/>
      <w:bookmarkStart w:id="2045" w:name="Tc__xTuMZV-YkeoNM2wSBCYkw_2_2"/>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bookmarkEnd w:id="2039"/>
      <w:bookmarkEnd w:id="2040"/>
      <w:bookmarkEnd w:id="2041"/>
      <w:bookmarkEnd w:id="2042"/>
      <w:bookmarkEnd w:id="2043"/>
      <w:bookmarkEnd w:id="2044"/>
      <w:bookmarkEnd w:id="2045"/>
    </w:p>
    <w:tbl>
      <w:tblPr>
        <w:tblW w:w="10205" w:type="dxa"/>
        <w:jc w:val="left"/>
        <w:tblInd w:w="0" w:type="dxa"/>
        <w:tblLayout w:type="fixed"/>
        <w:tblCellMar>
          <w:top w:w="0" w:type="dxa"/>
          <w:left w:w="0" w:type="dxa"/>
          <w:bottom w:w="0" w:type="dxa"/>
          <w:right w:w="0" w:type="dxa"/>
        </w:tblCellMar>
      </w:tblPr>
      <w:tblGrid>
        <w:gridCol w:w="5808"/>
        <w:gridCol w:w="109"/>
        <w:gridCol w:w="226"/>
        <w:gridCol w:w="739"/>
        <w:gridCol w:w="109"/>
        <w:gridCol w:w="226"/>
        <w:gridCol w:w="739"/>
        <w:gridCol w:w="109"/>
        <w:gridCol w:w="211"/>
        <w:gridCol w:w="781"/>
        <w:gridCol w:w="109"/>
        <w:gridCol w:w="211"/>
        <w:gridCol w:w="828"/>
      </w:tblGrid>
      <w:tr>
        <w:trPr/>
        <w:tc>
          <w:tcPr>
            <w:tcW w:w="5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96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5808"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from operations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19,876</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80,766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10,158</w:t>
            </w:r>
          </w:p>
        </w:tc>
      </w:tr>
      <w:tr>
        <w:trPr/>
        <w:tc>
          <w:tcPr>
            <w:tcW w:w="5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and other purchase accounting adjustments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(13,175)</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(21,949)</w:t>
            </w:r>
          </w:p>
        </w:tc>
      </w:tr>
      <w:tr>
        <w:trPr/>
        <w:tc>
          <w:tcPr>
            <w:tcW w:w="5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Acquisition-related expenses</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3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w:t>
            </w:r>
          </w:p>
        </w:tc>
      </w:tr>
      <w:tr>
        <w:trPr/>
        <w:tc>
          <w:tcPr>
            <w:tcW w:w="5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r>
      <w:tr>
        <w:trPr/>
        <w:tc>
          <w:tcPr>
            <w:tcW w:w="58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109"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(6,722)</w:t>
            </w:r>
          </w:p>
        </w:tc>
      </w:tr>
      <w:tr>
        <w:trPr/>
        <w:tc>
          <w:tcPr>
            <w:tcW w:w="58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15,224</w:t>
            </w:r>
          </w:p>
        </w:tc>
        <w:tc>
          <w:tcPr>
            <w:tcW w:w="109"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3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58,824</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assets are summarized in the table below. Corporate assets primarily consist of cash and cash equivalents, prepaid expenses and other current assets, long-term investments, property and equipment, net, operating lease right-of-use assets, deferred income taxes and other assets managed centrally on behalf of the business segments.</w:t>
      </w:r>
    </w:p>
    <w:p>
      <w:pPr>
        <w:pStyle w:val="TextBody"/>
        <w:bidi w:val="0"/>
        <w:spacing w:before="0" w:after="0"/>
        <w:ind w:left="0" w:right="0" w:hanging="0"/>
        <w:jc w:val="left"/>
        <w:rPr/>
      </w:pPr>
      <w:r>
        <w:rPr/>
        <w:t>​</w:t>
      </w:r>
    </w:p>
    <w:tbl>
      <w:tblPr>
        <w:tblW w:w="7949" w:type="dxa"/>
        <w:jc w:val="left"/>
        <w:tblInd w:w="0" w:type="dxa"/>
        <w:tblLayout w:type="fixed"/>
        <w:tblCellMar>
          <w:top w:w="0" w:type="dxa"/>
          <w:left w:w="0" w:type="dxa"/>
          <w:bottom w:w="0" w:type="dxa"/>
          <w:right w:w="0" w:type="dxa"/>
        </w:tblCellMar>
      </w:tblPr>
      <w:tblGrid>
        <w:gridCol w:w="1576"/>
        <w:gridCol w:w="326"/>
        <w:gridCol w:w="211"/>
        <w:gridCol w:w="781"/>
        <w:gridCol w:w="326"/>
        <w:gridCol w:w="211"/>
        <w:gridCol w:w="781"/>
        <w:gridCol w:w="326"/>
        <w:gridCol w:w="211"/>
        <w:gridCol w:w="676"/>
        <w:gridCol w:w="326"/>
        <w:gridCol w:w="211"/>
        <w:gridCol w:w="781"/>
        <w:gridCol w:w="109"/>
        <w:gridCol w:w="211"/>
        <w:gridCol w:w="88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1000760" cy="175260"/>
                      <wp:effectExtent l="0" t="0" r="0" b="0"/>
                      <wp:wrapNone/>
                      <wp:docPr id="432" name="Frame432"/>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07010" cy="175260"/>
                      <wp:effectExtent l="0" t="0" r="0" b="0"/>
                      <wp:wrapNone/>
                      <wp:docPr id="433" name="Frame4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133985" cy="175260"/>
                      <wp:effectExtent l="0" t="0" r="0" b="0"/>
                      <wp:wrapNone/>
                      <wp:docPr id="434" name="Frame4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495935" cy="175260"/>
                      <wp:effectExtent l="0" t="0" r="0" b="0"/>
                      <wp:wrapNone/>
                      <wp:docPr id="435" name="Frame4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6" name="Frame4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133985" cy="175260"/>
                      <wp:effectExtent l="0" t="0" r="0" b="0"/>
                      <wp:wrapNone/>
                      <wp:docPr id="437" name="Frame4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495935" cy="175260"/>
                      <wp:effectExtent l="0" t="0" r="0" b="0"/>
                      <wp:wrapNone/>
                      <wp:docPr id="438" name="Frame438"/>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07010" cy="175260"/>
                      <wp:effectExtent l="0" t="0" r="0" b="0"/>
                      <wp:wrapNone/>
                      <wp:docPr id="439" name="Frame4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33985" cy="175260"/>
                      <wp:effectExtent l="0" t="0" r="0" b="0"/>
                      <wp:wrapNone/>
                      <wp:docPr id="440" name="Frame4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429260" cy="175260"/>
                      <wp:effectExtent l="0" t="0" r="0" b="0"/>
                      <wp:wrapNone/>
                      <wp:docPr id="441" name="Frame44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07010" cy="175260"/>
                      <wp:effectExtent l="0" t="0" r="0" b="0"/>
                      <wp:wrapNone/>
                      <wp:docPr id="442" name="Frame4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133985" cy="175260"/>
                      <wp:effectExtent l="0" t="0" r="0" b="0"/>
                      <wp:wrapNone/>
                      <wp:docPr id="443" name="Frame44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495935" cy="175260"/>
                      <wp:effectExtent l="0" t="0" r="0" b="0"/>
                      <wp:wrapNone/>
                      <wp:docPr id="444" name="Frame44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69215" cy="175260"/>
                      <wp:effectExtent l="0" t="0" r="0" b="0"/>
                      <wp:wrapNone/>
                      <wp:docPr id="445" name="Frame44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33985" cy="175260"/>
                      <wp:effectExtent l="0" t="0" r="0" b="0"/>
                      <wp:wrapNone/>
                      <wp:docPr id="446" name="Frame44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62610" cy="175260"/>
                      <wp:effectExtent l="0" t="0" r="0" b="0"/>
                      <wp:wrapNone/>
                      <wp:docPr id="447" name="Frame44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47"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 2024</w: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Identifiable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525,817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148,598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260,683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980,299</w:t>
            </w:r>
          </w:p>
        </w:tc>
      </w:tr>
    </w:tbl>
    <w:p>
      <w:pPr>
        <w:pStyle w:val="TextBody"/>
        <w:bidi w:val="0"/>
        <w:spacing w:before="0" w:after="0"/>
        <w:ind w:left="0" w:right="0" w:hanging="0"/>
        <w:jc w:val="left"/>
        <w:rPr/>
      </w:pPr>
      <w:r>
        <w:rPr/>
        <w:t>​</w:t>
      </w:r>
    </w:p>
    <w:tbl>
      <w:tblPr>
        <w:tblW w:w="7949" w:type="dxa"/>
        <w:jc w:val="left"/>
        <w:tblInd w:w="0" w:type="dxa"/>
        <w:tblLayout w:type="fixed"/>
        <w:tblCellMar>
          <w:top w:w="0" w:type="dxa"/>
          <w:left w:w="0" w:type="dxa"/>
          <w:bottom w:w="0" w:type="dxa"/>
          <w:right w:w="0" w:type="dxa"/>
        </w:tblCellMar>
      </w:tblPr>
      <w:tblGrid>
        <w:gridCol w:w="1576"/>
        <w:gridCol w:w="326"/>
        <w:gridCol w:w="211"/>
        <w:gridCol w:w="781"/>
        <w:gridCol w:w="326"/>
        <w:gridCol w:w="211"/>
        <w:gridCol w:w="781"/>
        <w:gridCol w:w="326"/>
        <w:gridCol w:w="211"/>
        <w:gridCol w:w="676"/>
        <w:gridCol w:w="326"/>
        <w:gridCol w:w="211"/>
        <w:gridCol w:w="781"/>
        <w:gridCol w:w="109"/>
        <w:gridCol w:w="211"/>
        <w:gridCol w:w="886"/>
      </w:tblGrid>
      <w:tr>
        <w:trPr/>
        <w:tc>
          <w:tcPr>
            <w:tcW w:w="15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000760" cy="175260"/>
                      <wp:effectExtent l="0" t="0" r="0" b="0"/>
                      <wp:wrapNone/>
                      <wp:docPr id="448" name="Frame448"/>
                      <a:graphic xmlns:a="http://schemas.openxmlformats.org/drawingml/2006/main">
                        <a:graphicData uri="http://schemas.microsoft.com/office/word/2010/wordprocessingShape">
                          <wps:wsp>
                            <wps:cNvSpPr txBox="1"/>
                            <wps:spPr>
                              <a:xfrm>
                                <a:off x="0" y="0"/>
                                <a:ext cx="1000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07010" cy="175260"/>
                      <wp:effectExtent l="0" t="0" r="0" b="0"/>
                      <wp:wrapNone/>
                      <wp:docPr id="449" name="Frame4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33985" cy="175260"/>
                      <wp:effectExtent l="0" t="0" r="0" b="0"/>
                      <wp:wrapNone/>
                      <wp:docPr id="450" name="Frame45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95935" cy="175260"/>
                      <wp:effectExtent l="0" t="0" r="0" b="0"/>
                      <wp:wrapNone/>
                      <wp:docPr id="451" name="Frame45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07010" cy="175260"/>
                      <wp:effectExtent l="0" t="0" r="0" b="0"/>
                      <wp:wrapNone/>
                      <wp:docPr id="452" name="Frame4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133985" cy="175260"/>
                      <wp:effectExtent l="0" t="0" r="0" b="0"/>
                      <wp:wrapNone/>
                      <wp:docPr id="453" name="Frame4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495935" cy="175260"/>
                      <wp:effectExtent l="0" t="0" r="0" b="0"/>
                      <wp:wrapNone/>
                      <wp:docPr id="454" name="Frame45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07010" cy="175260"/>
                      <wp:effectExtent l="0" t="0" r="0" b="0"/>
                      <wp:wrapNone/>
                      <wp:docPr id="455" name="Frame4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33985" cy="175260"/>
                      <wp:effectExtent l="0" t="0" r="0" b="0"/>
                      <wp:wrapNone/>
                      <wp:docPr id="456" name="Frame4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429260" cy="175260"/>
                      <wp:effectExtent l="0" t="0" r="0" b="0"/>
                      <wp:wrapNone/>
                      <wp:docPr id="457" name="Frame4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7010" cy="175260"/>
                      <wp:effectExtent l="0" t="0" r="0" b="0"/>
                      <wp:wrapNone/>
                      <wp:docPr id="458" name="Frame4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33985" cy="175260"/>
                      <wp:effectExtent l="0" t="0" r="0" b="0"/>
                      <wp:wrapNone/>
                      <wp:docPr id="459" name="Frame4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495935" cy="175260"/>
                      <wp:effectExtent l="0" t="0" r="0" b="0"/>
                      <wp:wrapNone/>
                      <wp:docPr id="460" name="Frame4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69215" cy="175260"/>
                      <wp:effectExtent l="0" t="0" r="0" b="0"/>
                      <wp:wrapNone/>
                      <wp:docPr id="461" name="Frame4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133985" cy="175260"/>
                      <wp:effectExtent l="0" t="0" r="0" b="0"/>
                      <wp:wrapNone/>
                      <wp:docPr id="462" name="Frame4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562610" cy="175260"/>
                      <wp:effectExtent l="0" t="0" r="0" b="0"/>
                      <wp:wrapNone/>
                      <wp:docPr id="463" name="Frame46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6047" w:type="dxa"/>
            <w:gridSpan w:val="1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April 30, 2023</w:t>
            </w:r>
          </w:p>
        </w:tc>
      </w:tr>
      <w:tr>
        <w:trPr/>
        <w:tc>
          <w:tcPr>
            <w:tcW w:w="15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Corporate</w:t>
            </w:r>
          </w:p>
        </w:tc>
        <w:tc>
          <w:tcPr>
            <w:tcW w:w="109" w:type="dxa"/>
            <w:tcBorders/>
            <w:vAlign w:val="center"/>
          </w:tcPr>
          <w:p>
            <w:pPr>
              <w:pStyle w:val="TableContents"/>
              <w:bidi w:val="0"/>
              <w:spacing w:before="0" w:after="0"/>
              <w:ind w:left="0" w:right="0" w:hanging="0"/>
              <w:jc w:val="center"/>
              <w:rPr/>
            </w:pPr>
            <w:r>
              <w:rPr/>
              <w:t>​</w:t>
            </w:r>
          </w:p>
        </w:tc>
        <w:tc>
          <w:tcPr>
            <w:tcW w:w="10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Identifiable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103,375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207,135</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824,577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2046" w:name="ITEM2_MANAGEMENTSDISCUSSIONANDAN_021218"/>
      <w:bookmarkStart w:id="2047" w:name="_64f1b820_efb6_4d2b_84d5_ec5c3855a7b4"/>
      <w:bookmarkStart w:id="2048" w:name="ITEM2_MANAGEMENTSDISCUSSIONANDAN_021218"/>
      <w:bookmarkStart w:id="2049" w:name="_64f1b820_efb6_4d2b_84d5_ec5c3855a7b4"/>
      <w:bookmarkEnd w:id="2048"/>
      <w:bookmarkEnd w:id="2049"/>
    </w:p>
    <w:tbl>
      <w:tblPr>
        <w:tblW w:w="10205" w:type="dxa"/>
        <w:jc w:val="left"/>
        <w:tblInd w:w="0" w:type="dxa"/>
        <w:tblLayout w:type="fixed"/>
        <w:tblCellMar>
          <w:top w:w="0" w:type="dxa"/>
          <w:left w:w="0" w:type="dxa"/>
          <w:bottom w:w="0" w:type="dxa"/>
          <w:right w:w="0" w:type="dxa"/>
        </w:tblCellMar>
      </w:tblPr>
      <w:tblGrid>
        <w:gridCol w:w="825"/>
        <w:gridCol w:w="9380"/>
      </w:tblGrid>
      <w:tr>
        <w:trPr/>
        <w:tc>
          <w:tcPr>
            <w:tcW w:w="825"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2.</w:t>
            </w:r>
          </w:p>
        </w:tc>
        <w:tc>
          <w:tcPr>
            <w:tcW w:w="9380"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is a discussion and analysis of our financial condition and the results of operations as of and for the periods presented below. The following discussion and analysis should be read in conjunction with the “Condensed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2023, as updated by our subsequent filings under the Securities and Exchange Act of 1934, as amended (the “Exchange 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Unless required by law, we expressly disclaim any obligation to update publicly any forward-looking statements, whether as result of new information, future events or otherwise.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should be read in conjunction with the critical accounting estimates presented in our Annual Report on Form 10-K for the fiscal year ended April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discusses our condensed consolidated financial statements, which have been prepared in accordance with accounting principles generally accepted in the United States. When we prepare these condensed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 Recognition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recognize revenue in accordance with ASU 2014-09, </w:t>
      </w:r>
      <w:r>
        <w:rPr>
          <w:rFonts w:ascii="Times New Roman;Times;serif" w:hAnsi="Times New Roman;Times;serif"/>
          <w:i/>
          <w:sz w:val="20"/>
        </w:rPr>
        <w:t>Revenue from Contracts with Customers</w:t>
      </w:r>
      <w:r>
        <w:rPr>
          <w:rFonts w:ascii="Times New Roman;Times;serif" w:hAnsi="Times New Roman;Times;serif"/>
          <w:sz w:val="20"/>
        </w:rPr>
        <w:t xml:space="preserve"> (“ASC 606”). ASC 606 requires revenue to be recognized when promised goods or services are transferred to customers in amounts that reflect the consideration to which we expect to be entitled in exchange for those goods or services.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Revenue for LMS product deliveries, certain Tomahawk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which historically included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During the year ended April 30, 2023, all of our MUAS COCO sites were closed.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performed, which correspond with, and thereby best depict, transfer of control to the customer. Contract costs include labor, materials, subcontractors’ costs, other direct costs, and indirect costs applicable on government and commercial contracts.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performance obligations which are not satisfied over time per the aforementioned criteria above, revenue is recognized at the point in time in which each performance obligation is fully satisfied. Our Unmanned Systems product sales revenue is composed of revenue recognized on contracts for the delivery of SUAS, MUAS and UGV systems and spare parts, respectively. Revenue is recognized at the point in time when control transfers to the customer, which generally occurs when title and risk of loss have passed to the customer.</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review cost performance, estimates-to-complete and variable consideration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including the finalization of undefinitized contract actions, occur. The impact of revisions in estimate of completion and variable consideration for all types of contracts are recognized on a cumulative catch-up basis in the period in which the revisions are made. Changes in variable consideration associated with the finalization of undefinitized contract actions could result in cumulative catch up adjustments to revenue that could be material. During the three and nine months ended January 27, 2024 and January 28, 2023, changes in accounting estimates on contracts recognized over time are presented below.</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January 27, 2024 and January 28, 2023, favorable and unfavorable cumulative catch-up adjustments included in revenue were as follows (in thousands):</w:t>
      </w:r>
    </w:p>
    <w:p>
      <w:pPr>
        <w:pStyle w:val="TextBody"/>
        <w:bidi w:val="0"/>
        <w:spacing w:before="0" w:after="0"/>
        <w:ind w:left="0" w:right="0" w:hanging="0"/>
        <w:jc w:val="left"/>
        <w:rPr/>
      </w:pPr>
      <w:r>
        <w:rPr/>
        <w:t>​</w:t>
      </w:r>
    </w:p>
    <w:tbl>
      <w:tblPr>
        <w:tblW w:w="5434" w:type="dxa"/>
        <w:jc w:val="left"/>
        <w:tblInd w:w="0" w:type="dxa"/>
        <w:tblLayout w:type="fixed"/>
        <w:tblCellMar>
          <w:top w:w="0" w:type="dxa"/>
          <w:left w:w="0" w:type="dxa"/>
          <w:bottom w:w="0" w:type="dxa"/>
          <w:right w:w="0" w:type="dxa"/>
        </w:tblCellMar>
      </w:tblPr>
      <w:tblGrid>
        <w:gridCol w:w="2611"/>
        <w:gridCol w:w="326"/>
        <w:gridCol w:w="267"/>
        <w:gridCol w:w="723"/>
        <w:gridCol w:w="326"/>
        <w:gridCol w:w="267"/>
        <w:gridCol w:w="723"/>
        <w:gridCol w:w="191"/>
      </w:tblGrid>
      <w:tr>
        <w:trPr/>
        <w:tc>
          <w:tcPr>
            <w:tcW w:w="26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657985" cy="175260"/>
                      <wp:effectExtent l="0" t="0" r="0" b="0"/>
                      <wp:wrapNone/>
                      <wp:docPr id="464" name="Frame464"/>
                      <a:graphic xmlns:a="http://schemas.openxmlformats.org/drawingml/2006/main">
                        <a:graphicData uri="http://schemas.microsoft.com/office/word/2010/wordprocessingShape">
                          <wps:wsp>
                            <wps:cNvSpPr txBox="1"/>
                            <wps:spPr>
                              <a:xfrm>
                                <a:off x="0" y="0"/>
                                <a:ext cx="1657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5" name="Frame4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69545" cy="175260"/>
                      <wp:effectExtent l="0" t="0" r="0" b="0"/>
                      <wp:wrapNone/>
                      <wp:docPr id="466" name="Frame46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459105" cy="175260"/>
                      <wp:effectExtent l="0" t="0" r="0" b="0"/>
                      <wp:wrapNone/>
                      <wp:docPr id="467" name="Frame467"/>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207010" cy="175260"/>
                      <wp:effectExtent l="0" t="0" r="0" b="0"/>
                      <wp:wrapNone/>
                      <wp:docPr id="468"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169545" cy="175260"/>
                      <wp:effectExtent l="0" t="0" r="0" b="0"/>
                      <wp:wrapNone/>
                      <wp:docPr id="469" name="Frame46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59105" cy="175260"/>
                      <wp:effectExtent l="0" t="0" r="0" b="0"/>
                      <wp:wrapNone/>
                      <wp:docPr id="470" name="Frame47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21285" cy="175260"/>
                      <wp:effectExtent l="0" t="0" r="0" b="0"/>
                      <wp:wrapNone/>
                      <wp:docPr id="471" name="Frame47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91" w:type="dxa"/>
            <w:tcBorders/>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1" w:type="dxa"/>
            <w:tcBorders/>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26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w:t>
            </w:r>
          </w:p>
        </w:tc>
        <w:tc>
          <w:tcPr>
            <w:tcW w:w="723"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right"/>
              <w:rPr/>
            </w:pPr>
            <w:r>
              <w:rPr/>
              <w:t>​</w:t>
            </w:r>
          </w:p>
        </w:tc>
        <w:tc>
          <w:tcPr>
            <w:tcW w:w="723"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favorable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4,450</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6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unfavorable adjustments</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w:t>
            </w:r>
          </w:p>
        </w:tc>
        <w:tc>
          <w:tcPr>
            <w:tcW w:w="191" w:type="dxa"/>
            <w:tcBorders/>
            <w:vAlign w:val="center"/>
          </w:tcPr>
          <w:p>
            <w:pPr>
              <w:pStyle w:val="TableContents"/>
              <w:bidi w:val="0"/>
              <w:spacing w:before="0" w:after="0"/>
              <w:ind w:left="0" w:right="0" w:hanging="0"/>
              <w:jc w:val="left"/>
              <w:rPr/>
            </w:pPr>
            <w:r>
              <w:rPr/>
              <w:t>​</w:t>
            </w:r>
          </w:p>
        </w:tc>
      </w:tr>
      <w:tr>
        <w:trPr/>
        <w:tc>
          <w:tcPr>
            <w:tcW w:w="26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favorable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4,398</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788</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January 27, 2024, favorable cumulative catch-up adjustments of $4.5 million were primarily due to final cost adjustments on three contracts. During the three months ended January 27, 2024, we revised our estimates to reflect a favorable definitization of an LMS contract. The aggregate impact of these adjustments in contract estimates on revenue related to performance obligations satisfied or partially satisfied in previous periods was an increase to revenue of approximately $3.6 million. For the same period, unfavorable cumulative catch-up adjustments of $0.1 million were primarily related to higher than expected costs on three contracts, which individually were not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three months ended January 28, 2023, favorable cumulative catch-up adjustments of $1.7 million were primarily due to final cost adjustments on 11 contracts. For the same period, unfavorable cumulative catch-up adjustments of $0.9 million were primarily related to higher than expected costs on seven contracts, which individually were not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Also during the three months ended January 28, 2023, we recognized a decrease in the forward loss reserves on two MUAS ISR contracts of $2.4 million and an increase in the forward loss reserve of an MUAS products contract of $1.6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January 27, 2024 and January 28, 2023, favorable and unfavorable cumulative catch-up adjustments included in revenue were as follows (in thousands):</w:t>
      </w:r>
    </w:p>
    <w:p>
      <w:pPr>
        <w:pStyle w:val="TextBody"/>
        <w:bidi w:val="0"/>
        <w:spacing w:before="0" w:after="0"/>
        <w:ind w:left="0" w:right="0" w:hanging="0"/>
        <w:jc w:val="left"/>
        <w:rPr/>
      </w:pPr>
      <w:r>
        <w:rPr/>
        <w:t>​</w:t>
      </w:r>
    </w:p>
    <w:tbl>
      <w:tblPr>
        <w:tblW w:w="6199" w:type="dxa"/>
        <w:jc w:val="left"/>
        <w:tblInd w:w="0" w:type="dxa"/>
        <w:tblLayout w:type="fixed"/>
        <w:tblCellMar>
          <w:top w:w="0" w:type="dxa"/>
          <w:left w:w="0" w:type="dxa"/>
          <w:bottom w:w="0" w:type="dxa"/>
          <w:right w:w="0" w:type="dxa"/>
        </w:tblCellMar>
      </w:tblPr>
      <w:tblGrid>
        <w:gridCol w:w="3376"/>
        <w:gridCol w:w="326"/>
        <w:gridCol w:w="248"/>
        <w:gridCol w:w="742"/>
        <w:gridCol w:w="326"/>
        <w:gridCol w:w="248"/>
        <w:gridCol w:w="742"/>
        <w:gridCol w:w="19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143760" cy="175260"/>
                      <wp:effectExtent l="0" t="0" r="0" b="0"/>
                      <wp:wrapNone/>
                      <wp:docPr id="472" name="Frame472"/>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07010" cy="175260"/>
                      <wp:effectExtent l="0" t="0" r="0" b="0"/>
                      <wp:wrapNone/>
                      <wp:docPr id="473"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157480" cy="175260"/>
                      <wp:effectExtent l="0" t="0" r="0" b="0"/>
                      <wp:wrapNone/>
                      <wp:docPr id="474" name="Frame474"/>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471170" cy="175260"/>
                      <wp:effectExtent l="0" t="0" r="0" b="0"/>
                      <wp:wrapNone/>
                      <wp:docPr id="475" name="Frame475"/>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6" name="Frame4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57480" cy="175260"/>
                      <wp:effectExtent l="0" t="0" r="0" b="0"/>
                      <wp:wrapNone/>
                      <wp:docPr id="477" name="Frame477"/>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71170" cy="175260"/>
                      <wp:effectExtent l="0" t="0" r="0" b="0"/>
                      <wp:wrapNone/>
                      <wp:docPr id="478" name="Frame478"/>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121285" cy="175260"/>
                      <wp:effectExtent l="0" t="0" r="0" b="0"/>
                      <wp:wrapNone/>
                      <wp:docPr id="479" name="Frame47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0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right"/>
              <w:rPr/>
            </w:pPr>
            <w:r>
              <w:rPr/>
              <w:t>​</w:t>
            </w:r>
          </w:p>
        </w:tc>
        <w:tc>
          <w:tcPr>
            <w:tcW w:w="7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48" w:type="dxa"/>
            <w:tcBorders/>
            <w:vAlign w:val="center"/>
          </w:tcPr>
          <w:p>
            <w:pPr>
              <w:pStyle w:val="TableContents"/>
              <w:bidi w:val="0"/>
              <w:spacing w:before="0" w:after="0"/>
              <w:ind w:left="0" w:right="0" w:hanging="0"/>
              <w:jc w:val="right"/>
              <w:rPr/>
            </w:pPr>
            <w:r>
              <w:rPr/>
              <w:t>​</w:t>
            </w:r>
          </w:p>
        </w:tc>
        <w:tc>
          <w:tcPr>
            <w:tcW w:w="742"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favorable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6,539</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unfavorable adjustments</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w:t>
            </w:r>
          </w:p>
        </w:tc>
        <w:tc>
          <w:tcPr>
            <w:tcW w:w="326" w:type="dxa"/>
            <w:tcBorders/>
            <w:vAlign w:val="center"/>
          </w:tcPr>
          <w:p>
            <w:pPr>
              <w:pStyle w:val="TableContents"/>
              <w:bidi w:val="0"/>
              <w:spacing w:before="0" w:after="0"/>
              <w:ind w:left="0" w:right="0" w:hanging="0"/>
              <w:jc w:val="left"/>
              <w:rPr/>
            </w:pPr>
            <w:r>
              <w:rPr/>
              <w:t>​</w:t>
            </w:r>
          </w:p>
        </w:tc>
        <w:tc>
          <w:tcPr>
            <w:tcW w:w="248"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4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(3,667)</w:t>
            </w:r>
          </w:p>
        </w:tc>
        <w:tc>
          <w:tcPr>
            <w:tcW w:w="191" w:type="dxa"/>
            <w:tcBorders/>
            <w:vAlign w:val="center"/>
          </w:tcPr>
          <w:p>
            <w:pPr>
              <w:pStyle w:val="TableContents"/>
              <w:bidi w:val="0"/>
              <w:spacing w:before="0" w:after="0"/>
              <w:ind w:left="0" w:right="0" w:hanging="0"/>
              <w:jc w:val="left"/>
              <w:rPr/>
            </w:pPr>
            <w:r>
              <w:rPr/>
              <w:t>​</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favorable (unfavorable) adjustments</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5,087</w:t>
            </w:r>
          </w:p>
        </w:tc>
        <w:tc>
          <w:tcPr>
            <w:tcW w:w="326" w:type="dxa"/>
            <w:tcBorders/>
            <w:shd w:fill="CCEEFF" w:val="clear"/>
            <w:vAlign w:val="center"/>
          </w:tcPr>
          <w:p>
            <w:pPr>
              <w:pStyle w:val="TableContents"/>
              <w:bidi w:val="0"/>
              <w:spacing w:before="0" w:after="0"/>
              <w:ind w:left="0" w:right="0" w:hanging="0"/>
              <w:jc w:val="left"/>
              <w:rPr/>
            </w:pPr>
            <w:r>
              <w:rPr/>
              <w:t>​</w:t>
            </w:r>
          </w:p>
        </w:tc>
        <w:tc>
          <w:tcPr>
            <w:tcW w:w="2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For the nine months ended January 27, 2024, favorable cumulative catch-up adjustments of $6.5 million were primarily due to final cost adjustments on 17 contracts. During the nine months ended January 27, 2024, we revised our estimates of the total expected costs to complete an LMS contract. The aggregate impact of these adjustments in contract estimates on revenue related to performance obligations satisfied or partially satisfied in previous periods was an increase to revenue of approximately $1.4 million. For the same period, unfavorable cumulative catch-up adjustments of $1.5 million were primarily related to higher than expected costs on eight contracts, which individually were not material.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 the nine months ended January 28, 2023, favorable cumulative catch-up adjustments of $2.3 million were primarily due to final cost adjustments on 22 contracts, which individually were not material. For the same period, unfavorable cumulative catch-up adjustments of $3.7 million were primarily related to higher than expected costs on six contracts. During the nine months ended January 28, 2023, we revised our estimates of the total expected costs to complete two LMS variant contracts. The aggregate impact of these adjustments in contract estimates on revenue related to performance obligations satisfied or partially satisfied in previous periods was a decrease to revenue of approximately $2.4 million.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Goodwill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 represents the excess of the cost of an acquired entity over the fair value of the acquired net assets. We test goodwill for impairment annually during the fourth quarter of our fiscal year or when events or circumstances change in a manner that indicates goodwill might be impaired. Events or circumstances that could trigger an impairment review include, but are not limited to, a significant adverse change in legal factors or in the business or political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projected future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evaluation of goodwill for impairment involves the comparison of the fair value of each reporting unit to its carrying value. For the impairment test, we first assess qualitative factors, macroeconomic conditions, industry and market considerations, triggering events, cost factors, and overall financial performance, to determine whether it is necessary to perform a quantitative goodwill impairment test. Alternatively, we may bypass the qualitative assessment for some or all of our reporting units and apply the quantitative impairment test. If determined to be necessary, the quantitative impairment test shall be used to identify goodwill impairment and measure the amount of a goodwill impairment loss to be recognized (if any). For the quantitative impairment test we estimate the fair value by weighting the results from the income approach and the market approach. These valuation approaches consider a number of factors that include, but are not limited to, prospective financial information, growth rates, terminal value, discount rates, and comparable multiples from publicly traded companies in our industry and require us to make certain assumptions and estimates regarding industry economic factors and future profitability of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Subsequent to the performance of our annual goodwill impairment test for fiscal year 2023, in May 2023 a trigger event was identified that indicated that the carrying value of the MUAS reporting unit exceeded its fair value. Specifically, we received notification that we were not down selected for a U.S. Department of Defense (“D.o.D.”)program of record which resulted in a significant decrease in the projected future cash flows of the MUAS reporting unit. As a result, we updated our estimates of long-term future cash flows to reflect lower revenue and profitability growth rate expectations used in the valuation of the MUAS reporting unit. These changes in estimates, resulted in the recognition of a goodwill impairment charge of $156.0 million in the MUAS reporting unit during the fiscal year ended April 30,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of January 27, 2024 our MUAS reporting unit has a goodwill balance of $134.1 million. The estimated fair value of the MUAS reporting unit does not substantially exceed its carrying value due to the impairment recorded during the most recent annual goodwill impairment test performed during the fourth quarter ended April 30, 2023, resulting in carrying value being equal to estimated fair value. Fair value determinations utilized in the quantitative goodwill impairment test require considerable judgment and are sensitive to changes in underlying assumptions, estimates, and market factors. Estimating the fair value of individual reporting units requires us to make assumptions and estimates regarding future plans, as well as industry, economic, and regulatory conditions. These assumptions and estimates include estimated future annual net cash flows, income tax rates, discount rates, growth rates, and other market factors. Estimated future annual net cash flows based in part upon our ability to obtain contracts from the U.S. D.o.D. and foreign allied nations and negotiate the estimated pricing are considered the most significant, sensitive assumptions. If current expectations of future growth rates and margins are not met, if market factors outside of our control, such as discount rates, income tax rates, or inflation, change, or if management’s expectations or plans otherwise change, including updates to long-term operating plans, then MUAS may become impaired in the future. Accordingly, the MUAS reporting unit is considered at an increased risk of failing future quantitative goodwill impairment tests. The intangibles included in the MUAS reporting unit of $14.6 million as of January 27, 2024 will also be evaluated for potential impairment during the fourth quarter goodwill impairment test. During the most recent annual impairment test during the fourth quarter of fiscal year 2023, the estimated fair value of all reporting units, other than MUAS, substantially exceeded their carrying value. As of January 27, 2024, we have not identified any events or circumstances that could trigger an impairment review prior to the Company’s annual impairment test.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estimates and assumptions used to determine the fair value of our reporting units are highly subjective in nature. Actual results can be materially different from the estimates and assumptions. If actual market conditions are less favorable than those projected by the industry or by us, or if events occur or circumstances change that would reduce the estimated fair value of our indefinite-lived intangible assets below the carrying amounts, we could recognize future impairment charges, the amount of which could be material.</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Fiscal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Due to our fixed year end date of April 30, our first and fourth quarters each consist of approximately 13 weeks. The second and third quarters each consist of exactly 13 weeks. Our first three quarters end on a Saturday. Our 2024 fiscal year ends on April 30, 2024 and our fiscal quarters end on July 29, 2023, October 28, 2023 and January 27, 2024, respectively.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The following tables set forth our results of operations for the periods indicated (in thousands):</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Three Months Ended January 27, 2024 Compared to Three Months Ended January 28, 2023</w:t>
      </w:r>
    </w:p>
    <w:tbl>
      <w:tblPr>
        <w:tblW w:w="6323" w:type="dxa"/>
        <w:jc w:val="left"/>
        <w:tblInd w:w="0" w:type="dxa"/>
        <w:tblLayout w:type="fixed"/>
        <w:tblCellMar>
          <w:top w:w="0" w:type="dxa"/>
          <w:left w:w="0" w:type="dxa"/>
          <w:bottom w:w="0" w:type="dxa"/>
          <w:right w:w="0" w:type="dxa"/>
        </w:tblCellMar>
      </w:tblPr>
      <w:tblGrid>
        <w:gridCol w:w="3496"/>
        <w:gridCol w:w="326"/>
        <w:gridCol w:w="211"/>
        <w:gridCol w:w="781"/>
        <w:gridCol w:w="326"/>
        <w:gridCol w:w="211"/>
        <w:gridCol w:w="781"/>
        <w:gridCol w:w="19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219960" cy="175260"/>
                      <wp:effectExtent l="0" t="0" r="0" b="0"/>
                      <wp:wrapNone/>
                      <wp:docPr id="480" name="Frame480"/>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7010" cy="175260"/>
                      <wp:effectExtent l="0" t="0" r="0" b="0"/>
                      <wp:wrapNone/>
                      <wp:docPr id="481" name="Frame4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133985" cy="175260"/>
                      <wp:effectExtent l="0" t="0" r="0" b="0"/>
                      <wp:wrapNone/>
                      <wp:docPr id="482" name="Frame48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495935" cy="175260"/>
                      <wp:effectExtent l="0" t="0" r="0" b="0"/>
                      <wp:wrapNone/>
                      <wp:docPr id="483" name="Frame48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207010" cy="175260"/>
                      <wp:effectExtent l="0" t="0" r="0" b="0"/>
                      <wp:wrapNone/>
                      <wp:docPr id="484" name="Frame4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133985" cy="175260"/>
                      <wp:effectExtent l="0" t="0" r="0" b="0"/>
                      <wp:wrapNone/>
                      <wp:docPr id="485" name="Frame4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495935" cy="175260"/>
                      <wp:effectExtent l="0" t="0" r="0" b="0"/>
                      <wp:wrapNone/>
                      <wp:docPr id="486" name="Frame4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121285" cy="175260"/>
                      <wp:effectExtent l="0" t="0" r="0" b="0"/>
                      <wp:wrapNone/>
                      <wp:docPr id="487" name="Frame48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1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119,291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88,885</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67,287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27,826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24,746</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25,127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16,157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14,334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4,607</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(2,810)</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(790)</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(benefit from)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 loss,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13,885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(676)</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identified three reportable segments, Unmanned Systems (“UMS”), Loitering Munitions Systems (“LMS”) and MacCready Works (“MW”). The UMS segment consists of our small UAS, including our recent Tomahawk acquisition, medium UAS and UGV product lines. The LMS segment consists of our renamed existing tactical missile systems product lines. The MW segment consists of our MacCready Works products and services and the development of High Altitude Pseudo-Satellite systems (“HAPS”). The following tables (in thousands) set forth our segment revenue and segment adjusted income (loss) from operations for the periods indicated. Segment adjusted income (loss) from operations is defined as income (loss) before income taxes, interest expense, net, other income (expense), net, intangible amortization, amortization of purchase accounting adjustment related to increasing the carrying value of certain assets to fair value, and acquisition related expenses. All corporate and headquarter expenses are allocated to the reportable segments.</w:t>
      </w:r>
    </w:p>
    <w:p>
      <w:pPr>
        <w:pStyle w:val="TextBody"/>
        <w:bidi w:val="0"/>
        <w:spacing w:before="0" w:after="0"/>
        <w:ind w:left="0" w:right="0" w:hanging="0"/>
        <w:jc w:val="left"/>
        <w:rPr>
          <w:color w:val="FF0000"/>
        </w:rPr>
      </w:pPr>
      <w:r>
        <w:rPr>
          <w:color w:val="FF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8911" w:type="dxa"/>
        <w:jc w:val="left"/>
        <w:tblInd w:w="0" w:type="dxa"/>
        <w:tblLayout w:type="fixed"/>
        <w:tblCellMar>
          <w:top w:w="0" w:type="dxa"/>
          <w:left w:w="0" w:type="dxa"/>
          <w:bottom w:w="0" w:type="dxa"/>
          <w:right w:w="0" w:type="dxa"/>
        </w:tblCellMar>
      </w:tblPr>
      <w:tblGrid>
        <w:gridCol w:w="4006"/>
        <w:gridCol w:w="326"/>
        <w:gridCol w:w="211"/>
        <w:gridCol w:w="781"/>
        <w:gridCol w:w="326"/>
        <w:gridCol w:w="211"/>
        <w:gridCol w:w="676"/>
        <w:gridCol w:w="326"/>
        <w:gridCol w:w="211"/>
        <w:gridCol w:w="691"/>
        <w:gridCol w:w="109"/>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2543810" cy="175260"/>
                      <wp:effectExtent l="0" t="0" r="0" b="0"/>
                      <wp:wrapNone/>
                      <wp:docPr id="488" name="Frame488"/>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07010" cy="175260"/>
                      <wp:effectExtent l="0" t="0" r="0" b="0"/>
                      <wp:wrapNone/>
                      <wp:docPr id="489"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133985" cy="175260"/>
                      <wp:effectExtent l="0" t="0" r="0" b="0"/>
                      <wp:wrapNone/>
                      <wp:docPr id="490" name="Frame4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495935" cy="175260"/>
                      <wp:effectExtent l="0" t="0" r="0" b="0"/>
                      <wp:wrapNone/>
                      <wp:docPr id="491" name="Frame49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207010" cy="175260"/>
                      <wp:effectExtent l="0" t="0" r="0" b="0"/>
                      <wp:wrapNone/>
                      <wp:docPr id="492"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133985" cy="175260"/>
                      <wp:effectExtent l="0" t="0" r="0" b="0"/>
                      <wp:wrapNone/>
                      <wp:docPr id="493" name="Frame49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29260" cy="175260"/>
                      <wp:effectExtent l="0" t="0" r="0" b="0"/>
                      <wp:wrapNone/>
                      <wp:docPr id="494" name="Frame49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5" name="Frame4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133985" cy="175260"/>
                      <wp:effectExtent l="0" t="0" r="0" b="0"/>
                      <wp:wrapNone/>
                      <wp:docPr id="496" name="Frame49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438785" cy="175260"/>
                      <wp:effectExtent l="0" t="0" r="0" b="0"/>
                      <wp:wrapNone/>
                      <wp:docPr id="497" name="Frame49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69215" cy="175260"/>
                      <wp:effectExtent l="0" t="0" r="0" b="0"/>
                      <wp:wrapNone/>
                      <wp:docPr id="498" name="Frame4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133985" cy="175260"/>
                      <wp:effectExtent l="0" t="0" r="0" b="0"/>
                      <wp:wrapNone/>
                      <wp:docPr id="499" name="Frame4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524510" cy="175260"/>
                      <wp:effectExtent l="0" t="0" r="0" b="0"/>
                      <wp:wrapNone/>
                      <wp:docPr id="500" name="Frame500"/>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27, 2024</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9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30,655</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113,290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57,658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186,578</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tbl>
      <w:tblPr>
        <w:tblW w:w="8791" w:type="dxa"/>
        <w:jc w:val="left"/>
        <w:tblInd w:w="0" w:type="dxa"/>
        <w:tblLayout w:type="fixed"/>
        <w:tblCellMar>
          <w:top w:w="0" w:type="dxa"/>
          <w:left w:w="0" w:type="dxa"/>
          <w:bottom w:w="0" w:type="dxa"/>
          <w:right w:w="0" w:type="dxa"/>
        </w:tblCellMar>
      </w:tblPr>
      <w:tblGrid>
        <w:gridCol w:w="4006"/>
        <w:gridCol w:w="326"/>
        <w:gridCol w:w="211"/>
        <w:gridCol w:w="676"/>
        <w:gridCol w:w="326"/>
        <w:gridCol w:w="211"/>
        <w:gridCol w:w="676"/>
        <w:gridCol w:w="326"/>
        <w:gridCol w:w="211"/>
        <w:gridCol w:w="676"/>
        <w:gridCol w:w="109"/>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2543810" cy="175260"/>
                      <wp:effectExtent l="0" t="0" r="0" b="0"/>
                      <wp:wrapNone/>
                      <wp:docPr id="501" name="Frame501"/>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502" name="Frame5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133985" cy="175260"/>
                      <wp:effectExtent l="0" t="0" r="0" b="0"/>
                      <wp:wrapNone/>
                      <wp:docPr id="503" name="Frame5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429260" cy="175260"/>
                      <wp:effectExtent l="0" t="0" r="0" b="0"/>
                      <wp:wrapNone/>
                      <wp:docPr id="504" name="Frame50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5" name="Frame5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133985" cy="175260"/>
                      <wp:effectExtent l="0" t="0" r="0" b="0"/>
                      <wp:wrapNone/>
                      <wp:docPr id="506" name="Frame5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429260" cy="175260"/>
                      <wp:effectExtent l="0" t="0" r="0" b="0"/>
                      <wp:wrapNone/>
                      <wp:docPr id="507" name="Frame50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207010" cy="175260"/>
                      <wp:effectExtent l="0" t="0" r="0" b="0"/>
                      <wp:wrapNone/>
                      <wp:docPr id="508"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133985" cy="175260"/>
                      <wp:effectExtent l="0" t="0" r="0" b="0"/>
                      <wp:wrapNone/>
                      <wp:docPr id="509" name="Frame5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429260" cy="175260"/>
                      <wp:effectExtent l="0" t="0" r="0" b="0"/>
                      <wp:wrapNone/>
                      <wp:docPr id="510" name="Frame5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69215" cy="175260"/>
                      <wp:effectExtent l="0" t="0" r="0" b="0"/>
                      <wp:wrapNone/>
                      <wp:docPr id="511" name="Frame5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133985" cy="175260"/>
                      <wp:effectExtent l="0" t="0" r="0" b="0"/>
                      <wp:wrapNone/>
                      <wp:docPr id="512" name="Frame5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24510" cy="175260"/>
                      <wp:effectExtent l="0" t="0" r="0" b="0"/>
                      <wp:wrapNone/>
                      <wp:docPr id="513" name="Frame5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45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January 28, 2023</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74,966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91,216</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18,004</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43,179</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92,329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134,395</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recorded intangible amortization expense and other purchase accounting adjustments in the following categories on the accompanying unaudited condensed consolidated statements of operations:</w:t>
      </w:r>
    </w:p>
    <w:p>
      <w:pPr>
        <w:pStyle w:val="TextBody"/>
        <w:bidi w:val="0"/>
        <w:spacing w:before="0" w:after="0"/>
        <w:ind w:left="0" w:right="0" w:hanging="0"/>
        <w:jc w:val="left"/>
        <w:rPr>
          <w:color w:val="FF0000"/>
        </w:rPr>
      </w:pPr>
      <w:r>
        <w:rPr>
          <w:color w:val="FF0000"/>
        </w:rPr>
        <w:t>​</w:t>
      </w:r>
    </w:p>
    <w:tbl>
      <w:tblPr>
        <w:tblW w:w="7760" w:type="dxa"/>
        <w:jc w:val="left"/>
        <w:tblInd w:w="0" w:type="dxa"/>
        <w:tblLayout w:type="fixed"/>
        <w:tblCellMar>
          <w:top w:w="0" w:type="dxa"/>
          <w:left w:w="0" w:type="dxa"/>
          <w:bottom w:w="0" w:type="dxa"/>
          <w:right w:w="0" w:type="dxa"/>
        </w:tblCellMar>
      </w:tblPr>
      <w:tblGrid>
        <w:gridCol w:w="2956"/>
        <w:gridCol w:w="326"/>
        <w:gridCol w:w="267"/>
        <w:gridCol w:w="723"/>
        <w:gridCol w:w="109"/>
        <w:gridCol w:w="267"/>
        <w:gridCol w:w="723"/>
        <w:gridCol w:w="109"/>
        <w:gridCol w:w="235"/>
        <w:gridCol w:w="755"/>
        <w:gridCol w:w="109"/>
        <w:gridCol w:w="235"/>
        <w:gridCol w:w="755"/>
        <w:gridCol w:w="19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1877060" cy="175260"/>
                      <wp:effectExtent l="0" t="0" r="0" b="0"/>
                      <wp:wrapNone/>
                      <wp:docPr id="514" name="Frame514"/>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207010" cy="175260"/>
                      <wp:effectExtent l="0" t="0" r="0" b="0"/>
                      <wp:wrapNone/>
                      <wp:docPr id="515" name="Frame5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169545" cy="175260"/>
                      <wp:effectExtent l="0" t="0" r="0" b="0"/>
                      <wp:wrapNone/>
                      <wp:docPr id="516" name="Frame516"/>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459105" cy="175260"/>
                      <wp:effectExtent l="0" t="0" r="0" b="0"/>
                      <wp:wrapNone/>
                      <wp:docPr id="517" name="Frame517"/>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69215" cy="175260"/>
                      <wp:effectExtent l="0" t="0" r="0" b="0"/>
                      <wp:wrapNone/>
                      <wp:docPr id="518" name="Frame51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169545" cy="175260"/>
                      <wp:effectExtent l="0" t="0" r="0" b="0"/>
                      <wp:wrapNone/>
                      <wp:docPr id="519" name="Frame519"/>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459105" cy="175260"/>
                      <wp:effectExtent l="0" t="0" r="0" b="0"/>
                      <wp:wrapNone/>
                      <wp:docPr id="520" name="Frame520"/>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69215" cy="175260"/>
                      <wp:effectExtent l="0" t="0" r="0" b="0"/>
                      <wp:wrapNone/>
                      <wp:docPr id="521" name="Frame52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149225" cy="175260"/>
                      <wp:effectExtent l="0" t="0" r="0" b="0"/>
                      <wp:wrapNone/>
                      <wp:docPr id="522" name="Frame522"/>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479425" cy="175260"/>
                      <wp:effectExtent l="0" t="0" r="0" b="0"/>
                      <wp:wrapNone/>
                      <wp:docPr id="523" name="Frame523"/>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69215" cy="175260"/>
                      <wp:effectExtent l="0" t="0" r="0" b="0"/>
                      <wp:wrapNone/>
                      <wp:docPr id="524" name="Frame52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149225" cy="175260"/>
                      <wp:effectExtent l="0" t="0" r="0" b="0"/>
                      <wp:wrapNone/>
                      <wp:docPr id="525" name="Frame525"/>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479425" cy="175260"/>
                      <wp:effectExtent l="0" t="0" r="0" b="0"/>
                      <wp:wrapNone/>
                      <wp:docPr id="526" name="Frame526"/>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121285" cy="175260"/>
                      <wp:effectExtent l="0" t="0" r="0" b="0"/>
                      <wp:wrapNone/>
                      <wp:docPr id="527" name="Frame5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0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before="0" w:after="0"/>
              <w:ind w:left="0" w:right="0" w:hanging="0"/>
              <w:jc w:val="center"/>
              <w:rPr/>
            </w:pPr>
            <w:r>
              <w:rPr/>
              <w:t>​</w:t>
            </w:r>
          </w:p>
        </w:tc>
        <w:tc>
          <w:tcPr>
            <w:tcW w:w="208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1" w:type="dxa"/>
            <w:tcBorders/>
            <w:vAlign w:val="center"/>
          </w:tcPr>
          <w:p>
            <w:pPr>
              <w:pStyle w:val="TableContents"/>
              <w:bidi w:val="0"/>
              <w:spacing w:before="0" w:after="0"/>
              <w:ind w:left="0" w:right="0" w:hanging="0"/>
              <w:jc w:val="center"/>
              <w:rPr/>
            </w:pPr>
            <w:r>
              <w:rPr/>
              <w:t> </w:t>
            </w:r>
          </w:p>
        </w:tc>
      </w:tr>
      <w:tr>
        <w:trPr/>
        <w:tc>
          <w:tcPr>
            <w:tcW w:w="29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center"/>
              <w:rPr/>
            </w:pPr>
            <w:r>
              <w:rPr/>
              <w:t>​</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7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right"/>
              <w:rPr/>
            </w:pPr>
            <w:r>
              <w:rPr/>
              <w:t>​</w:t>
            </w:r>
          </w:p>
        </w:tc>
        <w:tc>
          <w:tcPr>
            <w:tcW w:w="723"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right"/>
              <w:rPr/>
            </w:pPr>
            <w:r>
              <w:rPr/>
              <w:t>​</w:t>
            </w:r>
          </w:p>
        </w:tc>
        <w:tc>
          <w:tcPr>
            <w:tcW w:w="755"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2,681</w:t>
            </w:r>
          </w:p>
        </w:tc>
        <w:tc>
          <w:tcPr>
            <w:tcW w:w="109" w:type="dxa"/>
            <w:tcBorders/>
            <w:vAlign w:val="center"/>
          </w:tcPr>
          <w:p>
            <w:pPr>
              <w:pStyle w:val="TableContents"/>
              <w:bidi w:val="0"/>
              <w:spacing w:before="0" w:after="0"/>
              <w:ind w:left="0" w:right="0" w:hanging="0"/>
              <w:jc w:val="right"/>
              <w:rPr/>
            </w:pPr>
            <w:r>
              <w:rPr/>
              <w:t>​</w:t>
            </w:r>
          </w:p>
        </w:tc>
        <w:tc>
          <w:tcPr>
            <w:tcW w:w="2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w:t>
            </w:r>
          </w:p>
        </w:tc>
        <w:tc>
          <w:tcPr>
            <w:tcW w:w="109"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5,577</w:t>
            </w:r>
          </w:p>
        </w:tc>
        <w:tc>
          <w:tcPr>
            <w:tcW w:w="109" w:type="dxa"/>
            <w:tcBorders/>
            <w:vAlign w:val="center"/>
          </w:tcPr>
          <w:p>
            <w:pPr>
              <w:pStyle w:val="TableContents"/>
              <w:bidi w:val="0"/>
              <w:spacing w:before="0" w:after="0"/>
              <w:ind w:left="0" w:right="0" w:hanging="0"/>
              <w:jc w:val="righ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w:t>
            </w:r>
          </w:p>
        </w:tc>
        <w:tc>
          <w:tcPr>
            <w:tcW w:w="191"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1,356</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shd w:fill="CCEEFF" w:val="clear"/>
            <w:vAlign w:val="center"/>
          </w:tcPr>
          <w:p>
            <w:pPr>
              <w:pStyle w:val="TableContents"/>
              <w:bidi w:val="0"/>
              <w:spacing w:before="0" w:after="0"/>
              <w:ind w:left="0" w:right="0" w:hanging="0"/>
              <w:jc w:val="right"/>
              <w:rPr/>
            </w:pPr>
            <w:r>
              <w:rPr/>
              <w:t> </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2,284</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righ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4,068</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shd w:fill="CCEEFF" w:val="clear"/>
            <w:vAlign w:val="center"/>
          </w:tcPr>
          <w:p>
            <w:pPr>
              <w:pStyle w:val="TableContents"/>
              <w:bidi w:val="0"/>
              <w:spacing w:before="0" w:after="0"/>
              <w:ind w:left="0" w:right="0" w:hanging="0"/>
              <w:jc w:val="right"/>
              <w:rPr/>
            </w:pPr>
            <w:r>
              <w:rPr/>
              <w:t> </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w:t>
            </w:r>
          </w:p>
        </w:tc>
        <w:tc>
          <w:tcPr>
            <w:tcW w:w="109" w:type="dxa"/>
            <w:tcBorders/>
            <w:vAlign w:val="center"/>
          </w:tcPr>
          <w:p>
            <w:pPr>
              <w:pStyle w:val="TableContents"/>
              <w:bidi w:val="0"/>
              <w:spacing w:before="0" w:after="0"/>
              <w:ind w:left="0" w:right="0" w:hanging="0"/>
              <w:jc w:val="right"/>
              <w:rPr/>
            </w:pPr>
            <w:r>
              <w:rPr/>
              <w:t>​</w:t>
            </w:r>
          </w:p>
        </w:tc>
        <w:tc>
          <w:tcPr>
            <w:tcW w:w="26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3,836</w:t>
            </w:r>
          </w:p>
        </w:tc>
        <w:tc>
          <w:tcPr>
            <w:tcW w:w="109" w:type="dxa"/>
            <w:tcBorders/>
            <w:vAlign w:val="center"/>
          </w:tcPr>
          <w:p>
            <w:pPr>
              <w:pStyle w:val="TableContents"/>
              <w:bidi w:val="0"/>
              <w:spacing w:before="0" w:after="0"/>
              <w:ind w:left="0" w:right="0" w:hanging="0"/>
              <w:jc w:val="lef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3,530</w:t>
            </w:r>
          </w:p>
        </w:tc>
        <w:tc>
          <w:tcPr>
            <w:tcW w:w="109" w:type="dxa"/>
            <w:tcBorders/>
            <w:vAlign w:val="center"/>
          </w:tcPr>
          <w:p>
            <w:pPr>
              <w:pStyle w:val="TableContents"/>
              <w:bidi w:val="0"/>
              <w:spacing w:before="0" w:after="0"/>
              <w:ind w:left="0" w:right="0" w:hanging="0"/>
              <w:jc w:val="right"/>
              <w:rPr/>
            </w:pPr>
            <w:r>
              <w:rPr/>
              <w:t>​</w:t>
            </w:r>
          </w:p>
        </w:tc>
        <w:tc>
          <w:tcPr>
            <w:tcW w:w="235"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11,557</w:t>
            </w:r>
          </w:p>
        </w:tc>
        <w:tc>
          <w:tcPr>
            <w:tcW w:w="191" w:type="dxa"/>
            <w:tcBorders/>
            <w:vAlign w:val="center"/>
          </w:tcPr>
          <w:p>
            <w:pPr>
              <w:pStyle w:val="TableContents"/>
              <w:bidi w:val="0"/>
              <w:spacing w:before="0" w:after="0"/>
              <w:ind w:left="0" w:right="0" w:hanging="0"/>
              <w:jc w:val="left"/>
              <w:rPr/>
            </w:pPr>
            <w:r>
              <w:rPr/>
              <w:t>​</w:t>
            </w:r>
          </w:p>
        </w:tc>
      </w:tr>
      <w:tr>
        <w:trPr/>
        <w:tc>
          <w:tcPr>
            <w:tcW w:w="29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c>
          <w:tcPr>
            <w:tcW w:w="109" w:type="dxa"/>
            <w:tcBorders/>
            <w:shd w:fill="CCEEFF" w:val="clear"/>
            <w:vAlign w:val="center"/>
          </w:tcPr>
          <w:p>
            <w:pPr>
              <w:pStyle w:val="TableContents"/>
              <w:bidi w:val="0"/>
              <w:spacing w:before="0" w:after="0"/>
              <w:ind w:left="0" w:right="0" w:hanging="0"/>
              <w:jc w:val="right"/>
              <w:rPr/>
            </w:pPr>
            <w:r>
              <w:rPr/>
              <w:t>​</w:t>
            </w:r>
          </w:p>
        </w:tc>
        <w:tc>
          <w:tcPr>
            <w:tcW w:w="2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7,146</w:t>
            </w:r>
          </w:p>
        </w:tc>
        <w:tc>
          <w:tcPr>
            <w:tcW w:w="109" w:type="dxa"/>
            <w:tcBorders/>
            <w:shd w:fill="CCEEFF" w:val="clear"/>
            <w:vAlign w:val="center"/>
          </w:tcPr>
          <w:p>
            <w:pPr>
              <w:pStyle w:val="TableContents"/>
              <w:bidi w:val="0"/>
              <w:spacing w:before="0" w:after="0"/>
              <w:ind w:left="0" w:right="0" w:hanging="0"/>
              <w:jc w:val="lef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13,175</w:t>
            </w:r>
          </w:p>
        </w:tc>
        <w:tc>
          <w:tcPr>
            <w:tcW w:w="109" w:type="dxa"/>
            <w:tcBorders/>
            <w:shd w:fill="CCEEFF" w:val="clear"/>
            <w:vAlign w:val="center"/>
          </w:tcPr>
          <w:p>
            <w:pPr>
              <w:pStyle w:val="TableContents"/>
              <w:bidi w:val="0"/>
              <w:spacing w:before="0" w:after="0"/>
              <w:ind w:left="0" w:right="0" w:hanging="0"/>
              <w:jc w:val="right"/>
              <w:rPr/>
            </w:pPr>
            <w:r>
              <w:rPr/>
              <w:t>​</w:t>
            </w:r>
          </w:p>
        </w:tc>
        <w:tc>
          <w:tcPr>
            <w:tcW w:w="2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21,949</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Revenue for the three months ended January 27, 2024 was $186.6 million, as compared to $134.4 million for the three months ended January 28, 2023, representing an increase of $52.2 million, or 39%. The increase in revenue was due to an increase in product revenue of $64.7 million, partially offset by a decrease in service revenue of $12.5 million. The increase in product revenue was primarily due to an increase of $35.1 million from the production of our Switchblade products and an increase of $29.6 million of product deliveries of our UMS products, including $5.7 million associated with the recent Tomahawk acquisition. These increases were primarily driven by increased global demand for our unmanned systems associated with the current global conflicts as well as U.S. D.o.D. resupply. The decrease in service revenue was primarily due to a decrease of $11.5 million largely resulting from the closure of all COCO site locations during fiscal year 2023, a decrease of $4.3 million in customer funded R&amp;D and engineering services due to a decrease in development programs in part due to delays in the establishment of the government fiscal year 2024 budget, partially offset by an increase of $4.3 million associated with the recent Tomahawk acquisition. We expect the lower levels of UMS service revenues to continue through fiscal 2024 due to the closure of all COCO site locations during fiscal year 2023. With the higher backlog, the increase in the UMS product revenues as compared to the prior year period is expected to continue for the remainder of the fiscal year ending April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Cost of Sales. </w:t>
      </w:r>
      <w:r>
        <w:rPr>
          <w:rFonts w:ascii="Times New Roman;Times;serif" w:hAnsi="Times New Roman;Times;serif"/>
          <w:sz w:val="20"/>
        </w:rPr>
        <w:t>Cost of sales for the three months ended January 27, 2024 was $119.3 million, as compared to $88.9 million for the three months ended January 28, 2023, representing an increase of $30.4 million, or 34%. The increase in cost of sales was a result of an increase in product cost of sales of $44.6 million, partially offset by a decrease in service costs of sales of $14.2 million. The increase in product costs of sales was primarily due to an increase of approximately $39 million associated with the increase in product revenue and approximately $4 million due to a mix shift to a higher proportion of lower margin products driven by the increase in Switchblade production and an increase of $2.4 million in inventory reserve charges primarily due to the introduction of our next generation products. The decrease in service cost of sales was primarily due to a decrease in service revenue driven by a decrease of $13.1 million due to the closure of all COCO sites in the prior year. Cost of sales for the three months ended January 27, 2024 included $4.0 million of intangible amortization and other related non-cash purchase accounting expenses as compared to $3.3 million for the three months ended January 28, 2023. As a percentage of revenue, cost of sales decreased from 66% to 64%, primarily due to an increase in the proportion of product revenue to total revenue and the prior year COCO operations costs, partially offset by a mix shift to lower margin products, resulting in an increase in gross margin from 34% to 36%.</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Gross Margin. </w:t>
      </w:r>
      <w:r>
        <w:rPr>
          <w:rFonts w:ascii="Times New Roman;Times;serif" w:hAnsi="Times New Roman;Times;serif"/>
          <w:sz w:val="20"/>
        </w:rPr>
        <w:t>Gross margin is equal to revenue minus cost of sales.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50" w:name="_Hlk160282083"/>
      <w:bookmarkEnd w:id="2050"/>
      <w:r>
        <w:rPr>
          <w:rFonts w:ascii="Times New Roman;Times;serif" w:hAnsi="Times New Roman;Times;serif"/>
          <w:b/>
          <w:i/>
          <w:sz w:val="20"/>
        </w:rPr>
        <w:t>Selling, General and Administrative</w:t>
      </w:r>
      <w:r>
        <w:rPr>
          <w:rFonts w:ascii="Times New Roman;Times;serif" w:hAnsi="Times New Roman;Times;serif"/>
          <w:b/>
          <w:sz w:val="20"/>
        </w:rPr>
        <w:t>. </w:t>
      </w:r>
      <w:r>
        <w:rPr>
          <w:rFonts w:ascii="Times New Roman;Times;serif" w:hAnsi="Times New Roman;Times;serif"/>
          <w:sz w:val="20"/>
        </w:rPr>
        <w:t>SG&amp;A expense for the three months ended January 27, 2024 was $27.8 million, or 15% of revenue, as compared to SG&amp;A expense of $24.7 million, or 18% of revenue, for the three months ended January 28, 2023. The increase in SG&amp;A expense was primarily due to an increase of $3.1 million in employee related expenses primarily driven by an increase in average headcount to support our growth and expansion of our global business development team and an increase of $1.9 million of sales and marketing expense primarily driven by an increase in bid and proposal efforts, partially offset by a decrease in intangible amortization and other non-cash purchase accounting expenses of $2.3 million. The decrease in intangible amortization expense was primarily driven by the decrease in COCO customer relationship amortization of $3.1 million due to the accelerated amortization recorded during the three months ended April 30, 2023, partially offset by an increase of $0.7 million resulting from the Tomahawk acquisition.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Research and Development. </w:t>
      </w:r>
      <w:r>
        <w:rPr>
          <w:rFonts w:ascii="Times New Roman;Times;serif" w:hAnsi="Times New Roman;Times;serif"/>
          <w:sz w:val="20"/>
        </w:rPr>
        <w:t>R&amp;D expense for the three months ended January 27, 2024 was $25.1 million, or 13% of revenue, as compared to R&amp;D expense of $16.2 million, or 12% of revenue, for the three months ended January 28, 2023, primarily due to an increase in development activities regarding enhanced capabilities for our products, development of new product lines and support for our acquired businesses.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Interest Expense, net. </w:t>
      </w:r>
      <w:r>
        <w:rPr>
          <w:rFonts w:ascii="Times New Roman;Times;serif" w:hAnsi="Times New Roman;Times;serif"/>
          <w:sz w:val="20"/>
        </w:rPr>
        <w:t>Interest expense, net for the three months ended January 27, 2024 was $0.1 million compared to interest expense, net of $2.8 million for the three months ended January 28, 2023. The decrease in interest expense, net was primarily due to lower average outstanding balances on our debt facility and an increase of $1.3 million in interest income.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Income (Expense), net.</w:t>
      </w:r>
      <w:r>
        <w:rPr>
          <w:rFonts w:ascii="Times New Roman;Times;serif" w:hAnsi="Times New Roman;Times;serif"/>
          <w:sz w:val="20"/>
        </w:rPr>
        <w:t> Other income, net, for the three months ended January 27, 2024 was $1.0 million compared to other expense, net of $2.6 million for the three months ended January 28, 2023 primarily due to net unrealized gains associated with increases in the fair market value for equity security investments.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2051" w:name="_Hlk158907714"/>
      <w:bookmarkEnd w:id="2051"/>
      <w:r>
        <w:rPr>
          <w:rFonts w:ascii="Times New Roman;Times;serif" w:hAnsi="Times New Roman;Times;serif"/>
          <w:b/>
          <w:i/>
          <w:sz w:val="20"/>
        </w:rPr>
        <w:t xml:space="preserve">Provision for (Benefit from) Income Taxes. </w:t>
      </w:r>
      <w:r>
        <w:rPr>
          <w:rFonts w:ascii="Times New Roman;Times;serif" w:hAnsi="Times New Roman;Times;serif"/>
          <w:sz w:val="20"/>
        </w:rPr>
        <w:t>Our effective income tax rate was 8.3% for the three months ended January 27, 2024, as compared to 67.2% for the three months ended January 28, 2023. The decrease in our effective income tax rate was primarily due to an increase in income before income taxes combined with an increase in projected full year income before income taxes and increases in expected foreign-derived intangible income (“FDII”) deductions and federal R&amp;D tax credits. The effective income tax rate for the three months ended January 27, 2024 was primarily impacted by expected federal R&amp;D tax credits and FDII deductions.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Equity Method Investment Loss, net of Tax. </w:t>
      </w:r>
      <w:r>
        <w:rPr>
          <w:rFonts w:ascii="Times New Roman;Times;serif" w:hAnsi="Times New Roman;Times;serif"/>
          <w:sz w:val="20"/>
        </w:rPr>
        <w:t>Equity method investment loss, net of tax for the three months ended January 27, 2024 was $0.1 million as compared to equity method investment loss, net of tax of $0.4 million for the three months ended January 28,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Unmanned Systems</w:t>
      </w:r>
    </w:p>
    <w:tbl>
      <w:tblPr>
        <w:tblW w:w="5988" w:type="dxa"/>
        <w:jc w:val="left"/>
        <w:tblInd w:w="0" w:type="dxa"/>
        <w:tblLayout w:type="fixed"/>
        <w:tblCellMar>
          <w:top w:w="0" w:type="dxa"/>
          <w:left w:w="0" w:type="dxa"/>
          <w:bottom w:w="0" w:type="dxa"/>
          <w:right w:w="0" w:type="dxa"/>
        </w:tblCellMar>
      </w:tblPr>
      <w:tblGrid>
        <w:gridCol w:w="3526"/>
        <w:gridCol w:w="326"/>
        <w:gridCol w:w="211"/>
        <w:gridCol w:w="781"/>
        <w:gridCol w:w="109"/>
        <w:gridCol w:w="220"/>
        <w:gridCol w:w="815"/>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239010" cy="175260"/>
                      <wp:effectExtent l="0" t="0" r="0" b="0"/>
                      <wp:wrapNone/>
                      <wp:docPr id="528" name="Frame528"/>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9" name="Frame5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133985" cy="175260"/>
                      <wp:effectExtent l="0" t="0" r="0" b="0"/>
                      <wp:wrapNone/>
                      <wp:docPr id="530" name="Frame5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495935" cy="175260"/>
                      <wp:effectExtent l="0" t="0" r="0" b="0"/>
                      <wp:wrapNone/>
                      <wp:docPr id="531" name="Frame53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9215" cy="175260"/>
                      <wp:effectExtent l="0" t="0" r="0" b="0"/>
                      <wp:wrapNone/>
                      <wp:docPr id="532" name="Frame53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139700" cy="175260"/>
                      <wp:effectExtent l="0" t="0" r="0" b="0"/>
                      <wp:wrapNone/>
                      <wp:docPr id="533" name="Frame53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517525" cy="175260"/>
                      <wp:effectExtent l="0" t="0" r="0" b="0"/>
                      <wp:wrapNone/>
                      <wp:docPr id="534" name="Frame534"/>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center"/>
              <w:rPr/>
            </w:pPr>
            <w:r>
              <w:rPr/>
              <w:t>​</w:t>
            </w:r>
          </w:p>
        </w:tc>
        <w:tc>
          <w:tcPr>
            <w:tcW w:w="815" w:type="dxa"/>
            <w:tcBorders/>
            <w:shd w:fill="CCEEFF" w:val="clear"/>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104,522</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74,966</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8,768</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17,363</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113,290</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92,329</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20" w:type="dxa"/>
            <w:tcBorders/>
            <w:vAlign w:val="center"/>
          </w:tcPr>
          <w:p>
            <w:pPr>
              <w:pStyle w:val="TableContents"/>
              <w:bidi w:val="0"/>
              <w:spacing w:before="0" w:after="0"/>
              <w:ind w:left="0" w:right="0" w:hanging="0"/>
              <w:jc w:val="left"/>
              <w:rPr/>
            </w:pPr>
            <w:r>
              <w:rPr/>
              <w:t>​</w:t>
            </w:r>
          </w:p>
        </w:tc>
        <w:tc>
          <w:tcPr>
            <w:tcW w:w="815"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20,417</w:t>
            </w:r>
          </w:p>
        </w:tc>
        <w:tc>
          <w:tcPr>
            <w:tcW w:w="109"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11,792</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UMS revenue for the three months ended January 27, 2024 was $113.3 million, as compared to $92.3 million for the three months ended January 28, 2023, representing an increase of $21.0 million, or 23%. The increase in revenue was due to an increase in product revenue of $29.6 million, partially offset by a decrease in service revenue of $8.6 million. The increase in product revenue was primarily due to an increase of $23.9 million largely resulting from increased product shipments of our Jump 20 and UGV product systems driven by increased global demand for our unmanned systems associated with the current global conflicts as well as U.S. D.o.D. resupply and $5.7 million associated with the recent Tomahawk acquisition. The decrease in service revenue was primarily due to decreases of $11.5 million from the closure of all COCO site locations during fiscal year 2023, partially offset by an increase of $4.3 million associated with the recent Tomahawk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UMS Segment adjusted income from operations.</w:t>
      </w:r>
      <w:r>
        <w:rPr>
          <w:rFonts w:ascii="Times New Roman;Times;serif" w:hAnsi="Times New Roman;Times;serif"/>
          <w:sz w:val="20"/>
        </w:rPr>
        <w:t xml:space="preserve"> UMS segment adjusted income from operations for the three months January 27, 2024 was $20.4 million, as compared to $11.8 million for the three months ended January 28, 2023, representing an increase of $8.6 million. The increase in UMS segment adjusted income from operations was primarily due to an increase of revenue of $21.0 million, partially offset by an increase of $7.9 million in cost of sales driven by increased sales volume of approximately $10 million, partially offset by a favorable sales mix of approximately $2 million primarily due to lower levels of COCO service revenue, partially offset by an increase in SG&amp;A of $3.8 million driven by increased employee related expenses, partially offset by a decrease in intangible amortization of $2.4 million,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an in increase in R&amp;D of $1.2 million due to development activities regarding enhanced capabilities for our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Loitering Munitions Systems</w:t>
      </w:r>
    </w:p>
    <w:tbl>
      <w:tblPr>
        <w:tblW w:w="6466" w:type="dxa"/>
        <w:jc w:val="left"/>
        <w:tblInd w:w="0" w:type="dxa"/>
        <w:tblLayout w:type="fixed"/>
        <w:tblCellMar>
          <w:top w:w="0" w:type="dxa"/>
          <w:left w:w="0" w:type="dxa"/>
          <w:bottom w:w="0" w:type="dxa"/>
          <w:right w:w="0" w:type="dxa"/>
        </w:tblCellMar>
      </w:tblPr>
      <w:tblGrid>
        <w:gridCol w:w="4006"/>
        <w:gridCol w:w="326"/>
        <w:gridCol w:w="235"/>
        <w:gridCol w:w="755"/>
        <w:gridCol w:w="109"/>
        <w:gridCol w:w="234"/>
        <w:gridCol w:w="80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543810" cy="175260"/>
                      <wp:effectExtent l="0" t="0" r="0" b="0"/>
                      <wp:wrapNone/>
                      <wp:docPr id="535" name="Frame535"/>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07010" cy="175260"/>
                      <wp:effectExtent l="0" t="0" r="0" b="0"/>
                      <wp:wrapNone/>
                      <wp:docPr id="536" name="Frame5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149225" cy="175260"/>
                      <wp:effectExtent l="0" t="0" r="0" b="0"/>
                      <wp:wrapNone/>
                      <wp:docPr id="537" name="Frame537"/>
                      <a:graphic xmlns:a="http://schemas.openxmlformats.org/drawingml/2006/main">
                        <a:graphicData uri="http://schemas.microsoft.com/office/word/2010/wordprocessingShape">
                          <wps:wsp>
                            <wps:cNvSpPr txBox="1"/>
                            <wps:spPr>
                              <a:xfrm>
                                <a:off x="0" y="0"/>
                                <a:ext cx="1492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479425" cy="175260"/>
                      <wp:effectExtent l="0" t="0" r="0" b="0"/>
                      <wp:wrapNone/>
                      <wp:docPr id="538" name="Frame538"/>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69215" cy="175260"/>
                      <wp:effectExtent l="0" t="0" r="0" b="0"/>
                      <wp:wrapNone/>
                      <wp:docPr id="539" name="Frame53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148590" cy="175260"/>
                      <wp:effectExtent l="0" t="0" r="0" b="0"/>
                      <wp:wrapNone/>
                      <wp:docPr id="540" name="Frame540"/>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508635" cy="175260"/>
                      <wp:effectExtent l="0" t="0" r="0" b="0"/>
                      <wp:wrapNone/>
                      <wp:docPr id="541" name="Frame541"/>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center"/>
              <w:rPr/>
            </w:pPr>
            <w:r>
              <w:rPr/>
              <w:t>​</w:t>
            </w:r>
          </w:p>
        </w:tc>
        <w:tc>
          <w:tcPr>
            <w:tcW w:w="755"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51,338</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16,203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6,320</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57,658</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24,015</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5" w:type="dxa"/>
            <w:tcBorders/>
            <w:vAlign w:val="center"/>
          </w:tcPr>
          <w:p>
            <w:pPr>
              <w:pStyle w:val="TableContents"/>
              <w:bidi w:val="0"/>
              <w:spacing w:before="0" w:after="0"/>
              <w:ind w:left="0" w:right="0" w:hanging="0"/>
              <w:jc w:val="left"/>
              <w:rPr/>
            </w:pPr>
            <w:r>
              <w:rPr/>
              <w:t>​</w:t>
            </w:r>
          </w:p>
        </w:tc>
        <w:tc>
          <w:tcPr>
            <w:tcW w:w="755"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7,562</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LMS revenue for the three months ended January 27, 2024 was $57.7 million, as compared to $24.0 million for the three months ended January 28, 2023, representing an increase of $33.6 million, or 140%. The increase in revenue was due to an increase in product revenue of $35.1 million, partially offset by a decrease in service revenue of $1.5 million. The increase in product revenue was primarily due to increased production of our LMS systems primarily due to increased global demand for our loitering munitions systems associated with the current global conflicts as well as U.S. D.o.D. resupply. The decrease in service revenue was primarily due to decreases in customer-funded R&amp;D activities primarily associated with the shift from development to production of certain Switchblade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LMS Segment adjusted income (loss) from operations.</w:t>
      </w:r>
      <w:r>
        <w:rPr>
          <w:rFonts w:ascii="Times New Roman;Times;serif" w:hAnsi="Times New Roman;Times;serif"/>
          <w:sz w:val="20"/>
        </w:rPr>
        <w:t xml:space="preserve"> LMS segment adjusted income from operations for the three months January 27, 2024 was $7.6 million, as compared to LMS adjusted loss from operations of $(0.1) million for the three months ended January 28, 2023, representing an increase of $7.7 million. The increase in LMS segment adjusted income from operations was primarily due to an increase of $33.6 million of revenue, partially offset by an increase in cost of sales of $23.5 million primarily driven by increased sales volume, partially offset by an increase in SG&amp;A of $1.5 million driven by increased sales and marketing activity related to higher demand and an in increase in R&amp;D of $1.0 million due to development activities regarding enhanced capabilities for our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MacCready Works</w:t>
      </w:r>
    </w:p>
    <w:tbl>
      <w:tblPr>
        <w:tblW w:w="6466" w:type="dxa"/>
        <w:jc w:val="left"/>
        <w:tblInd w:w="0" w:type="dxa"/>
        <w:tblLayout w:type="fixed"/>
        <w:tblCellMar>
          <w:top w:w="0" w:type="dxa"/>
          <w:left w:w="0" w:type="dxa"/>
          <w:bottom w:w="0" w:type="dxa"/>
          <w:right w:w="0" w:type="dxa"/>
        </w:tblCellMar>
      </w:tblPr>
      <w:tblGrid>
        <w:gridCol w:w="4006"/>
        <w:gridCol w:w="326"/>
        <w:gridCol w:w="231"/>
        <w:gridCol w:w="759"/>
        <w:gridCol w:w="109"/>
        <w:gridCol w:w="234"/>
        <w:gridCol w:w="80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543810" cy="175260"/>
                      <wp:effectExtent l="0" t="0" r="0" b="0"/>
                      <wp:wrapNone/>
                      <wp:docPr id="542" name="Frame542"/>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207010" cy="175260"/>
                      <wp:effectExtent l="0" t="0" r="0" b="0"/>
                      <wp:wrapNone/>
                      <wp:docPr id="543" name="Frame5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146685" cy="175260"/>
                      <wp:effectExtent l="0" t="0" r="0" b="0"/>
                      <wp:wrapNone/>
                      <wp:docPr id="544" name="Frame544"/>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481965" cy="175260"/>
                      <wp:effectExtent l="0" t="0" r="0" b="0"/>
                      <wp:wrapNone/>
                      <wp:docPr id="545" name="Frame545"/>
                      <a:graphic xmlns:a="http://schemas.openxmlformats.org/drawingml/2006/main">
                        <a:graphicData uri="http://schemas.microsoft.com/office/word/2010/wordprocessingShape">
                          <wps:wsp>
                            <wps:cNvSpPr txBox="1"/>
                            <wps:spPr>
                              <a:xfrm>
                                <a:off x="0" y="0"/>
                                <a:ext cx="4819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69215" cy="175260"/>
                      <wp:effectExtent l="0" t="0" r="0" b="0"/>
                      <wp:wrapNone/>
                      <wp:docPr id="546" name="Frame54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148590" cy="175260"/>
                      <wp:effectExtent l="0" t="0" r="0" b="0"/>
                      <wp:wrapNone/>
                      <wp:docPr id="547" name="Frame547"/>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508635" cy="175260"/>
                      <wp:effectExtent l="0" t="0" r="0" b="0"/>
                      <wp:wrapNone/>
                      <wp:docPr id="548" name="Frame548"/>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center"/>
              <w:rPr/>
            </w:pPr>
            <w:r>
              <w:rPr/>
              <w:t>​</w:t>
            </w:r>
          </w:p>
        </w:tc>
        <w:tc>
          <w:tcPr>
            <w:tcW w:w="759"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15,567</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18,004</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15,630</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18,051</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759"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(8,103)</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376</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MW revenue for the three months ended January 27, 2024 was $15.6 million, as compared to $18.1 million for the three months ended January 28, 2023, representing a decrease of $2.4 million, or 13%. The decrease in revenue was due to a decrease in service revenue of $2.4 million. The decrease in service revenue was primarily due to a decrease of $3.3 million in customer funded R&amp;D efforts in part due to delays in the establishment of the government fiscal year 2024 budget, partially offset by an increase in other engineering services revenue.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MW Segment adjusted (loss) income from operations.</w:t>
      </w:r>
      <w:r>
        <w:rPr>
          <w:rFonts w:ascii="Times New Roman;Times;serif" w:hAnsi="Times New Roman;Times;serif"/>
          <w:sz w:val="20"/>
        </w:rPr>
        <w:t xml:space="preserve"> MW segment adjusted loss from operations for the three months January 27, 2024 was $(8.1) million, as compared to MW segment adjusted income from operations of $0.4 million for the three months ended January 28, 2023, representing an increased loss of $8.5 million. The increase in MW adjusted loss from operations was primarily due to an increase in R&amp;D of $6.8 million due to increased investments largely related to HAPS development efforts to support the decrease in customer funded R&amp;D programs in part due to delays in the establishment of the government fiscal year 2024 budget and a decrease in revenue of $2.4 million, partially offset by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 decrease in cost of sales of $1.1 million driven by approximately $2 million related to unfavorable sales volume, partially offset by approximately $1 million related to favorable sales mix.</w:t>
      </w:r>
    </w:p>
    <w:p>
      <w:pPr>
        <w:pStyle w:val="TextBody"/>
        <w:bidi w:val="0"/>
        <w:spacing w:before="0" w:after="0"/>
        <w:ind w:left="0" w:right="0" w:hanging="0"/>
        <w:jc w:val="left"/>
        <w:rPr/>
      </w:pPr>
      <w:r>
        <w:rPr/>
        <w:t>​</w:t>
      </w:r>
    </w:p>
    <w:p>
      <w:pPr>
        <w:pStyle w:val="TextBody"/>
        <w:bidi w:val="0"/>
        <w:spacing w:before="0" w:after="200"/>
        <w:ind w:left="0" w:right="0" w:hanging="0"/>
        <w:jc w:val="center"/>
        <w:rPr>
          <w:rFonts w:ascii="Times New Roman;Times;serif" w:hAnsi="Times New Roman;Times;serif"/>
          <w:b/>
          <w:i/>
          <w:sz w:val="20"/>
        </w:rPr>
      </w:pPr>
      <w:r>
        <w:rPr>
          <w:rFonts w:ascii="Times New Roman;Times;serif" w:hAnsi="Times New Roman;Times;serif"/>
          <w:b/>
          <w:i/>
          <w:sz w:val="20"/>
        </w:rPr>
        <w:t>Nine Months Ended January 27, 2024 Compared to Nine Months Ended January 28, 2023</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set forth our results of operations for the periods indicated (in thousands):</w:t>
      </w:r>
    </w:p>
    <w:p>
      <w:pPr>
        <w:pStyle w:val="TextBody"/>
        <w:bidi w:val="0"/>
        <w:spacing w:before="0" w:after="0"/>
        <w:ind w:left="0" w:right="0" w:hanging="0"/>
        <w:jc w:val="left"/>
        <w:rPr/>
      </w:pPr>
      <w:r>
        <w:rPr/>
        <w:t>​</w:t>
      </w:r>
    </w:p>
    <w:tbl>
      <w:tblPr>
        <w:tblW w:w="6338" w:type="dxa"/>
        <w:jc w:val="left"/>
        <w:tblInd w:w="0" w:type="dxa"/>
        <w:tblLayout w:type="fixed"/>
        <w:tblCellMar>
          <w:top w:w="0" w:type="dxa"/>
          <w:left w:w="0" w:type="dxa"/>
          <w:bottom w:w="0" w:type="dxa"/>
          <w:right w:w="0" w:type="dxa"/>
        </w:tblCellMar>
      </w:tblPr>
      <w:tblGrid>
        <w:gridCol w:w="3496"/>
        <w:gridCol w:w="326"/>
        <w:gridCol w:w="211"/>
        <w:gridCol w:w="781"/>
        <w:gridCol w:w="326"/>
        <w:gridCol w:w="211"/>
        <w:gridCol w:w="796"/>
        <w:gridCol w:w="19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219960" cy="175260"/>
                      <wp:effectExtent l="0" t="0" r="0" b="0"/>
                      <wp:wrapNone/>
                      <wp:docPr id="549" name="Frame549"/>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207010" cy="175260"/>
                      <wp:effectExtent l="0" t="0" r="0" b="0"/>
                      <wp:wrapNone/>
                      <wp:docPr id="550" name="Frame5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133985" cy="175260"/>
                      <wp:effectExtent l="0" t="0" r="0" b="0"/>
                      <wp:wrapNone/>
                      <wp:docPr id="551" name="Frame5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495935" cy="175260"/>
                      <wp:effectExtent l="0" t="0" r="0" b="0"/>
                      <wp:wrapNone/>
                      <wp:docPr id="552" name="Frame55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207010" cy="175260"/>
                      <wp:effectExtent l="0" t="0" r="0" b="0"/>
                      <wp:wrapNone/>
                      <wp:docPr id="553"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133985" cy="175260"/>
                      <wp:effectExtent l="0" t="0" r="0" b="0"/>
                      <wp:wrapNone/>
                      <wp:docPr id="554" name="Frame5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505460" cy="175260"/>
                      <wp:effectExtent l="0" t="0" r="0" b="0"/>
                      <wp:wrapNone/>
                      <wp:docPr id="555" name="Frame5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121285" cy="175260"/>
                      <wp:effectExtent l="0" t="0" r="0" b="0"/>
                      <wp:wrapNone/>
                      <wp:docPr id="556" name="Frame55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34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354,495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311,444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249,381</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208,297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105,114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79,800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70,302</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from operations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65,879</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(12,981)</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(6,722)</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expense, net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(loss) before income taxes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(21,886)</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(benefit from) income taxes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3,710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(8,382)</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 loss, net of tax</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(2,190)</w:t>
            </w:r>
          </w:p>
        </w:tc>
        <w:tc>
          <w:tcPr>
            <w:tcW w:w="191" w:type="dxa"/>
            <w:tcBorders/>
            <w:vAlign w:val="center"/>
          </w:tcPr>
          <w:p>
            <w:pPr>
              <w:pStyle w:val="TableContents"/>
              <w:bidi w:val="0"/>
              <w:spacing w:before="0" w:after="0"/>
              <w:ind w:left="0" w:right="0" w:hanging="0"/>
              <w:jc w:val="left"/>
              <w:rPr/>
            </w:pPr>
            <w:r>
              <w:rPr/>
              <w:t>​</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(15,694)</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tables (in thousands) sets forth our segment revenue and segment adjusted income (loss) from operations generated by each reporting segment for the periods indicated. Segment adjusted income (loss) from operations is defined as income (loss) before income taxes, interest expense, net, other income (expense), net, intangible amortization, amortization of purchase accounting adjustment related to increasing the carrying value of certain assets to fair value, and acquisition related expenses. All corporate and headquarter expenses are allocated to the reportable segments.</w:t>
      </w:r>
    </w:p>
    <w:p>
      <w:pPr>
        <w:pStyle w:val="TextBody"/>
        <w:bidi w:val="0"/>
        <w:spacing w:before="0" w:after="0"/>
        <w:ind w:left="0" w:right="0" w:hanging="0"/>
        <w:jc w:val="left"/>
        <w:rPr/>
      </w:pPr>
      <w:r>
        <w:rPr/>
        <w:t>​</w:t>
      </w:r>
    </w:p>
    <w:tbl>
      <w:tblPr>
        <w:tblW w:w="9121" w:type="dxa"/>
        <w:jc w:val="left"/>
        <w:tblInd w:w="0" w:type="dxa"/>
        <w:tblLayout w:type="fixed"/>
        <w:tblCellMar>
          <w:top w:w="0" w:type="dxa"/>
          <w:left w:w="0" w:type="dxa"/>
          <w:bottom w:w="0" w:type="dxa"/>
          <w:right w:w="0" w:type="dxa"/>
        </w:tblCellMar>
      </w:tblPr>
      <w:tblGrid>
        <w:gridCol w:w="4006"/>
        <w:gridCol w:w="326"/>
        <w:gridCol w:w="211"/>
        <w:gridCol w:w="781"/>
        <w:gridCol w:w="326"/>
        <w:gridCol w:w="211"/>
        <w:gridCol w:w="781"/>
        <w:gridCol w:w="326"/>
        <w:gridCol w:w="211"/>
        <w:gridCol w:w="796"/>
        <w:gridCol w:w="109"/>
        <w:gridCol w:w="211"/>
        <w:gridCol w:w="82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2543810" cy="175260"/>
                      <wp:effectExtent l="0" t="0" r="0" b="0"/>
                      <wp:wrapNone/>
                      <wp:docPr id="557" name="Frame55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07010" cy="175260"/>
                      <wp:effectExtent l="0" t="0" r="0" b="0"/>
                      <wp:wrapNone/>
                      <wp:docPr id="558" name="Frame5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133985" cy="175260"/>
                      <wp:effectExtent l="0" t="0" r="0" b="0"/>
                      <wp:wrapNone/>
                      <wp:docPr id="559" name="Frame5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495935" cy="175260"/>
                      <wp:effectExtent l="0" t="0" r="0" b="0"/>
                      <wp:wrapNone/>
                      <wp:docPr id="560" name="Frame5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61" name="Frame5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133985" cy="175260"/>
                      <wp:effectExtent l="0" t="0" r="0" b="0"/>
                      <wp:wrapNone/>
                      <wp:docPr id="562" name="Frame5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495935" cy="175260"/>
                      <wp:effectExtent l="0" t="0" r="0" b="0"/>
                      <wp:wrapNone/>
                      <wp:docPr id="563" name="Frame56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207010" cy="175260"/>
                      <wp:effectExtent l="0" t="0" r="0" b="0"/>
                      <wp:wrapNone/>
                      <wp:docPr id="564"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133985" cy="175260"/>
                      <wp:effectExtent l="0" t="0" r="0" b="0"/>
                      <wp:wrapNone/>
                      <wp:docPr id="565" name="Frame5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505460" cy="175260"/>
                      <wp:effectExtent l="0" t="0" r="0" b="0"/>
                      <wp:wrapNone/>
                      <wp:docPr id="566" name="Frame56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69215" cy="175260"/>
                      <wp:effectExtent l="0" t="0" r="0" b="0"/>
                      <wp:wrapNone/>
                      <wp:docPr id="567" name="Frame56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133985" cy="175260"/>
                      <wp:effectExtent l="0" t="0" r="0" b="0"/>
                      <wp:wrapNone/>
                      <wp:docPr id="568" name="Frame5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24510" cy="175260"/>
                      <wp:effectExtent l="0" t="0" r="0" b="0"/>
                      <wp:wrapNone/>
                      <wp:docPr id="569" name="Frame56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789"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January 27, 2024</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100,645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421,173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98,568</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56,647</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519,741</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tbl>
      <w:tblPr>
        <w:tblW w:w="8416" w:type="dxa"/>
        <w:jc w:val="left"/>
        <w:tblInd w:w="0" w:type="dxa"/>
        <w:tblLayout w:type="fixed"/>
        <w:tblCellMar>
          <w:top w:w="0" w:type="dxa"/>
          <w:left w:w="0" w:type="dxa"/>
          <w:bottom w:w="0" w:type="dxa"/>
          <w:right w:w="0" w:type="dxa"/>
        </w:tblCellMar>
      </w:tblPr>
      <w:tblGrid>
        <w:gridCol w:w="3526"/>
        <w:gridCol w:w="326"/>
        <w:gridCol w:w="211"/>
        <w:gridCol w:w="781"/>
        <w:gridCol w:w="326"/>
        <w:gridCol w:w="211"/>
        <w:gridCol w:w="676"/>
        <w:gridCol w:w="326"/>
        <w:gridCol w:w="211"/>
        <w:gridCol w:w="676"/>
        <w:gridCol w:w="109"/>
        <w:gridCol w:w="211"/>
        <w:gridCol w:w="82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239010" cy="175260"/>
                      <wp:effectExtent l="0" t="0" r="0" b="0"/>
                      <wp:wrapNone/>
                      <wp:docPr id="570" name="Frame570"/>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207010" cy="175260"/>
                      <wp:effectExtent l="0" t="0" r="0" b="0"/>
                      <wp:wrapNone/>
                      <wp:docPr id="571"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133985" cy="175260"/>
                      <wp:effectExtent l="0" t="0" r="0" b="0"/>
                      <wp:wrapNone/>
                      <wp:docPr id="572" name="Frame5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495935" cy="175260"/>
                      <wp:effectExtent l="0" t="0" r="0" b="0"/>
                      <wp:wrapNone/>
                      <wp:docPr id="573" name="Frame57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207010" cy="175260"/>
                      <wp:effectExtent l="0" t="0" r="0" b="0"/>
                      <wp:wrapNone/>
                      <wp:docPr id="574"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133985" cy="175260"/>
                      <wp:effectExtent l="0" t="0" r="0" b="0"/>
                      <wp:wrapNone/>
                      <wp:docPr id="575" name="Frame5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429260" cy="175260"/>
                      <wp:effectExtent l="0" t="0" r="0" b="0"/>
                      <wp:wrapNone/>
                      <wp:docPr id="576" name="Frame57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7" name="Frame5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133985" cy="175260"/>
                      <wp:effectExtent l="0" t="0" r="0" b="0"/>
                      <wp:wrapNone/>
                      <wp:docPr id="578" name="Frame5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429260" cy="175260"/>
                      <wp:effectExtent l="0" t="0" r="0" b="0"/>
                      <wp:wrapNone/>
                      <wp:docPr id="579" name="Frame5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69215" cy="175260"/>
                      <wp:effectExtent l="0" t="0" r="0" b="0"/>
                      <wp:wrapNone/>
                      <wp:docPr id="580" name="Frame58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133985" cy="175260"/>
                      <wp:effectExtent l="0" t="0" r="0" b="0"/>
                      <wp:wrapNone/>
                      <wp:docPr id="581" name="Frame5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524510" cy="175260"/>
                      <wp:effectExtent l="0" t="0" r="0" b="0"/>
                      <wp:wrapNone/>
                      <wp:docPr id="582" name="Frame58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64" w:type="dxa"/>
            <w:gridSpan w:val="11"/>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Nine Months Ended January 28, 2023</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LMS</w:t>
            </w:r>
          </w:p>
        </w:tc>
        <w:tc>
          <w:tcPr>
            <w:tcW w:w="326" w:type="dxa"/>
            <w:tcBorders/>
            <w:vAlign w:val="center"/>
          </w:tcPr>
          <w:p>
            <w:pPr>
              <w:pStyle w:val="TableContents"/>
              <w:bidi w:val="0"/>
              <w:spacing w:before="0" w:after="0"/>
              <w:ind w:left="0" w:right="0" w:hanging="0"/>
              <w:jc w:val="center"/>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MW</w:t>
            </w:r>
          </w:p>
        </w:tc>
        <w:tc>
          <w:tcPr>
            <w:tcW w:w="109" w:type="dxa"/>
            <w:tcBorders/>
            <w:vAlign w:val="center"/>
          </w:tcPr>
          <w:p>
            <w:pPr>
              <w:pStyle w:val="TableContents"/>
              <w:bidi w:val="0"/>
              <w:spacing w:before="0" w:after="0"/>
              <w:ind w:left="0" w:right="0" w:hanging="0"/>
              <w:jc w:val="center"/>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67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center"/>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160,450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211,533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54,322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142,962</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221,738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354,495</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4,099</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26"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Revenue. </w:t>
      </w:r>
      <w:r>
        <w:rPr>
          <w:rFonts w:ascii="Times New Roman;Times;serif" w:hAnsi="Times New Roman;Times;serif"/>
          <w:sz w:val="20"/>
        </w:rPr>
        <w:t xml:space="preserve">Revenue for the nine months ended January 27, 2024 was $519.7 million, as compared to $354.5 million for the nine months ended January 28, 2023, representing an increase of $165.2 million, or 47%. The increase in revenue was due to an increase in product revenue of $209.6 million, partially offset by a decrease in service revenue of $44.4 million. The increase in product revenue was primarily due to an increase of $158.3 million of product deliveries of our UMS products, including $8.3 million associated with the recent Tomahawk acquisition, and an increase of $49.9 million from the production of our Switchblade products. These increases were primarily driven by increased global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demand for our unmanned systems and loitering munitions associated with the current global conflicts as well as U.S. D.o.D. resupply. The decrease in service revenue was primarily due to a decrease of $45.9 million due to the closure of all COCO site locations during fiscal year 2023 and a decrease of $8.0 million in customer funded R&amp;D and engineering services due to a decrease in development programs in part due to delays in the establishment of the government fiscal year 2024 budget, partially offset by an increase of $5.2 million in training services associated with the increased sales volume and an increase of $4.9 million associated with the recent Tomahawk acquisition. We expect the lower levels of UMS service revenues to continue through fiscal 2024 due to the closure of all COCO site locations during fiscal year 2023. With the higher backlog, the increase in the UMS product revenues as compared to the prior year period is expected to continue for the remainder of the fiscal year ending April 30,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Cost of Sales. </w:t>
      </w:r>
      <w:r>
        <w:rPr>
          <w:rFonts w:ascii="Times New Roman;Times;serif" w:hAnsi="Times New Roman;Times;serif"/>
          <w:sz w:val="20"/>
        </w:rPr>
        <w:t>Cost of sales for the nine months ended January 27, 2024 was $311.4 million, as compared to $249.4 million for the nine months ended January 28, 2023, representing an increase of $62.1 million, or 25%. The increase in cost of sales was a result of an increase in product cost of sales of $112.9 million, partially offset by a decrease in service costs of sales of $50.9 million. The increase in product cost of sales was primarily due to an increase of approximately $126 million associated with the increase in product revenue, partially offset by an increase of $7.9 million in inventory reserve charges primarily related to the introduction of our next generation products and an increase of $2.5 million in intangible amortization expense primarily resulting from the Tomahawk acquisition. The decrease in service cost of sales was primarily related to a decrease in service revenue driven by a decrease of $52.4 million due to the closure of all COCO site locations in the prior year as well as a decrease of $3.3 million in intangible amortization expense due to intangible assets being fully amortized, partially offset by increases in costs of services for training services and the recent Tomahawk acquisition. Cost of sales for the nine months ended January 27, 2024 included $9.6 million of intangible amortization and other related non-cash purchase accounting expenses as compared to $10.4 million for the nine months ended January 28, 2023. As a percentage of revenue, cost of sales decreased from 70% to 60%, primarily due to an increase in the proportion of product revenue to total revenue and the prior year COCO operation costs resulting in an increase in gross margin from 30% to 40%.</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Gross Margin. </w:t>
      </w:r>
      <w:r>
        <w:rPr>
          <w:rFonts w:ascii="Times New Roman;Times;serif" w:hAnsi="Times New Roman;Times;serif"/>
          <w:sz w:val="20"/>
        </w:rPr>
        <w:t>Gross margin is equal to revenue minus cost of sales.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Selling, General and Administrative</w:t>
      </w:r>
      <w:r>
        <w:rPr>
          <w:rFonts w:ascii="Times New Roman;Times;serif" w:hAnsi="Times New Roman;Times;serif"/>
          <w:b/>
          <w:sz w:val="20"/>
        </w:rPr>
        <w:t>. </w:t>
      </w:r>
      <w:r>
        <w:rPr>
          <w:rFonts w:ascii="Times New Roman;Times;serif" w:hAnsi="Times New Roman;Times;serif"/>
          <w:sz w:val="20"/>
        </w:rPr>
        <w:t>SG&amp;A expense for the nine months ended January 27, 2024 was $79.8 million, or 15% of revenue, as compared to SG&amp;A expense of $70.3 million, or 20% of revenue, for the nine months ended January 28, 2023. The increase in SG&amp;A expense was primarily due to an increase in employee related expenses of $11.0 million driven by an increase in average headcount to support our growth and expansion of our global business development team, an increase in sales and marketing expense of $2.9 million primarily driven by an increase in bid and proposal efforts and an increase in depreciation expense of $1.7 million driven by increased capital to support our growth, partially offset by a decrease of $8.0 million in intangible amortization and other non-cash purchase accounting expenses. The decrease in intangible amortization expense was primarily driven by a decrease in COCO customer relationship amortization of $9.3 million due to the accelerated amortization of COCO customer relationships recorded during the three months ended April 30, 2023, partially offset by an increase of $1.0 million resulting from the Tomahawk acquisition.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Research and Development. </w:t>
      </w:r>
      <w:r>
        <w:rPr>
          <w:rFonts w:ascii="Times New Roman;Times;serif" w:hAnsi="Times New Roman;Times;serif"/>
          <w:sz w:val="20"/>
        </w:rPr>
        <w:t>R&amp;D expense for the nine months ended January 27, 2024 was $62.6 million, or 12% of revenue, as compared to R&amp;D expense of $47.8 million, or 13% of revenue, for the nine months ended January 28, 2023, primarily due to an increase in development activities regarding enhanced capabilities for our products, development of new product lines and to support our acquired businesses.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Interest Expense, net. </w:t>
      </w:r>
      <w:r>
        <w:rPr>
          <w:rFonts w:ascii="Times New Roman;Times;serif" w:hAnsi="Times New Roman;Times;serif"/>
          <w:sz w:val="20"/>
        </w:rPr>
        <w:t>Interest expense, net for the nine months ended January 27, 2024 was $4.1 million compared to interest expense, net of $6.7 million for the nine months ended January 28, 2023. The decrease in interest expense, net was primarily due to an increase of $2.1 million in interest income and lower average outstanding balances on debt, partially offset by higher interest rates on our debt facility.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Other Expense, net.</w:t>
      </w:r>
      <w:r>
        <w:rPr>
          <w:rFonts w:ascii="Times New Roman;Times;serif" w:hAnsi="Times New Roman;Times;serif"/>
          <w:sz w:val="20"/>
        </w:rPr>
        <w:t> Other expense, net, for the nine months ended January 27, 2024 was $3.0 million compared to other expense, net of $2.2 million for the nine months ended January 28, 2023. The increase in other expense, net is primarily due to unrealized losses associated with decreases in fair market value for equity security investments.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2052" w:name="_Hlk158907738"/>
      <w:bookmarkEnd w:id="2052"/>
      <w:r>
        <w:rPr>
          <w:rFonts w:ascii="Times New Roman;Times;serif" w:hAnsi="Times New Roman;Times;serif"/>
          <w:b/>
          <w:i/>
          <w:sz w:val="20"/>
        </w:rPr>
        <w:t xml:space="preserve">Provision for (Benefit from) Income Taxes. </w:t>
      </w:r>
      <w:r>
        <w:rPr>
          <w:rFonts w:ascii="Times New Roman;Times;serif" w:hAnsi="Times New Roman;Times;serif"/>
          <w:sz w:val="20"/>
        </w:rPr>
        <w:t>Our effective income tax rate was 6.3% for the nine months ended January 27, 2024, as compared to 38.3% for the nine months ended January 28, 2023. The decrease in our effective income tax rate was in part due to an increase in year to date actual and projected full year income before income taxes combined with increases in expected FDII deductions and federal R&amp;D tax credits. The effective income tax rate for the nine months ended January 27, 2024 was primarily impacted by expected federal R&amp;D tax credits and FDII deductions.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Equity Method Investment Loss, net of Tax. </w:t>
      </w:r>
      <w:r>
        <w:rPr>
          <w:rFonts w:ascii="Times New Roman;Times;serif" w:hAnsi="Times New Roman;Times;serif"/>
          <w:sz w:val="20"/>
        </w:rPr>
        <w:t>Equity method investment loss, net of tax for the nine months ended January 27, 2024 was $1.5 million as compared to $2.2 million for the nine months ended January 28,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Segment Results of Operations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Unmanned Systems</w:t>
        <w:br/>
      </w:r>
      <w:r>
        <w:rPr>
          <w:rFonts w:ascii="Times New Roman;Times;serif" w:hAnsi="Times New Roman;Times;serif"/>
          <w:sz w:val="20"/>
        </w:rPr>
        <w:t>​</w:t>
      </w:r>
    </w:p>
    <w:tbl>
      <w:tblPr>
        <w:tblW w:w="5990" w:type="dxa"/>
        <w:jc w:val="left"/>
        <w:tblInd w:w="0" w:type="dxa"/>
        <w:tblLayout w:type="fixed"/>
        <w:tblCellMar>
          <w:top w:w="0" w:type="dxa"/>
          <w:left w:w="0" w:type="dxa"/>
          <w:bottom w:w="0" w:type="dxa"/>
          <w:right w:w="0" w:type="dxa"/>
        </w:tblCellMar>
      </w:tblPr>
      <w:tblGrid>
        <w:gridCol w:w="3526"/>
        <w:gridCol w:w="326"/>
        <w:gridCol w:w="211"/>
        <w:gridCol w:w="781"/>
        <w:gridCol w:w="109"/>
        <w:gridCol w:w="211"/>
        <w:gridCol w:w="826"/>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2239010" cy="175260"/>
                      <wp:effectExtent l="0" t="0" r="0" b="0"/>
                      <wp:wrapNone/>
                      <wp:docPr id="583" name="Frame583"/>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07010" cy="175260"/>
                      <wp:effectExtent l="0" t="0" r="0" b="0"/>
                      <wp:wrapNone/>
                      <wp:docPr id="584" name="Frame5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133985" cy="175260"/>
                      <wp:effectExtent l="0" t="0" r="0" b="0"/>
                      <wp:wrapNone/>
                      <wp:docPr id="585" name="Frame5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495935" cy="175260"/>
                      <wp:effectExtent l="0" t="0" r="0" b="0"/>
                      <wp:wrapNone/>
                      <wp:docPr id="586" name="Frame5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69215" cy="175260"/>
                      <wp:effectExtent l="0" t="0" r="0" b="0"/>
                      <wp:wrapNone/>
                      <wp:docPr id="587" name="Frame5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133985" cy="175260"/>
                      <wp:effectExtent l="0" t="0" r="0" b="0"/>
                      <wp:wrapNone/>
                      <wp:docPr id="588" name="Frame5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524510" cy="175260"/>
                      <wp:effectExtent l="0" t="0" r="0" b="0"/>
                      <wp:wrapNone/>
                      <wp:docPr id="589" name="Frame58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81"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826" w:type="dxa"/>
            <w:tcBorders/>
            <w:shd w:fill="CCEEFF" w:val="clear"/>
            <w:vAlign w:val="center"/>
          </w:tcPr>
          <w:p>
            <w:pPr>
              <w:pStyle w:val="TableContents"/>
              <w:bidi w:val="0"/>
              <w:spacing w:before="0" w:after="0"/>
              <w:ind w:left="0" w:right="0" w:hanging="0"/>
              <w:jc w:val="center"/>
              <w:rPr/>
            </w:pPr>
            <w:r>
              <w:rPr/>
              <w:t>​</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318,708</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160,450</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25,562</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61,288</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344,270</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221,738</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84,048</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6"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5,214</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UMS revenue for the nine months ended January 27, 2024 was $344.3 million, as compared to $221.7 million for the nine months ended January 28, 2023, representing an increase of $122.5 million, or 55%. The increase in revenue was due to an increase in product revenue of $158.3 million, partially offset by a decrease in service revenue of $35.7 million. The increase in product revenue was primarily due to an increase of $149.9 million largely resulting from increased product shipments of our SUAS family of systems, Jump 20 and UGV products systems driven by increased global demand for our unmanned systems associated with the current global conflicts as well as U.S. D.o.D. resupply and $8.3 million associated with the recent Tomahawk acquisition. The decrease in service revenue was primarily due to decreases of $45.9 million from the closure of all COCO site locations during fiscal year 2023, partially offset by an increase of $4.4 million associated with the recent Tomahawk acquisition and an increase of $3.9 million in training services associated with the increased sales volume.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UMS Segment adjusted income from operations.</w:t>
      </w:r>
      <w:r>
        <w:rPr>
          <w:rFonts w:ascii="Times New Roman;Times;serif" w:hAnsi="Times New Roman;Times;serif"/>
          <w:sz w:val="20"/>
        </w:rPr>
        <w:t xml:space="preserve"> UMS segment adjusted income from operations for the nine months January 27, 2024 was $84.0 million, as compared to $5.2 million for the nine months ended January 28, 2023, representing an increase of $78.8 million. The increase in UMS segment adjusted income from operations was primarily due to an increase of $122.5 million in revenue, partially offset by an increase of $27.9 million in cost of sales driven by increased sales volume of approximately $55 million, partially offset by a favorable sales mix of approximately $27 million due to a mix shift to a higher proportion of international products sales and lower levels of COCO service revenue, partially offset by an increase in SG&amp;A of $10.0 million driven by increased employee related expenses and an in increase in R&amp;D of $4.7 million due to development activities regarding enhanced capabilities for our products, partially offset by a decrease in intangible amortization of $8.1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Loitering Munitions Systems</w:t>
        <w:br/>
      </w:r>
      <w:r>
        <w:rPr>
          <w:rFonts w:ascii="Times New Roman;Times;serif" w:hAnsi="Times New Roman;Times;serif"/>
          <w:sz w:val="20"/>
        </w:rPr>
        <w:t>​</w:t>
      </w:r>
    </w:p>
    <w:tbl>
      <w:tblPr>
        <w:tblW w:w="5988" w:type="dxa"/>
        <w:jc w:val="left"/>
        <w:tblInd w:w="0" w:type="dxa"/>
        <w:tblLayout w:type="fixed"/>
        <w:tblCellMar>
          <w:top w:w="0" w:type="dxa"/>
          <w:left w:w="0" w:type="dxa"/>
          <w:bottom w:w="0" w:type="dxa"/>
          <w:right w:w="0" w:type="dxa"/>
        </w:tblCellMar>
      </w:tblPr>
      <w:tblGrid>
        <w:gridCol w:w="3526"/>
        <w:gridCol w:w="326"/>
        <w:gridCol w:w="211"/>
        <w:gridCol w:w="781"/>
        <w:gridCol w:w="109"/>
        <w:gridCol w:w="234"/>
        <w:gridCol w:w="801"/>
      </w:tblGrid>
      <w:tr>
        <w:trPr/>
        <w:tc>
          <w:tcPr>
            <w:tcW w:w="3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2239010" cy="175260"/>
                      <wp:effectExtent l="0" t="0" r="0" b="0"/>
                      <wp:wrapNone/>
                      <wp:docPr id="590" name="Frame590"/>
                      <a:graphic xmlns:a="http://schemas.openxmlformats.org/drawingml/2006/main">
                        <a:graphicData uri="http://schemas.microsoft.com/office/word/2010/wordprocessingShape">
                          <wps:wsp>
                            <wps:cNvSpPr txBox="1"/>
                            <wps:spPr>
                              <a:xfrm>
                                <a:off x="0" y="0"/>
                                <a:ext cx="2239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91" name="Frame5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133985" cy="175260"/>
                      <wp:effectExtent l="0" t="0" r="0" b="0"/>
                      <wp:wrapNone/>
                      <wp:docPr id="592" name="Frame5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495935" cy="175260"/>
                      <wp:effectExtent l="0" t="0" r="0" b="0"/>
                      <wp:wrapNone/>
                      <wp:docPr id="593" name="Frame593"/>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69215" cy="175260"/>
                      <wp:effectExtent l="0" t="0" r="0" b="0"/>
                      <wp:wrapNone/>
                      <wp:docPr id="594" name="Frame5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148590" cy="175260"/>
                      <wp:effectExtent l="0" t="0" r="0" b="0"/>
                      <wp:wrapNone/>
                      <wp:docPr id="595" name="Frame59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508635" cy="175260"/>
                      <wp:effectExtent l="0" t="0" r="0" b="0"/>
                      <wp:wrapNone/>
                      <wp:docPr id="596" name="Frame596"/>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35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92"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shd w:fill="CCEEFF" w:val="clear"/>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center"/>
              <w:rPr/>
            </w:pPr>
            <w:r>
              <w:rPr/>
              <w:t>​</w:t>
            </w:r>
          </w:p>
        </w:tc>
        <w:tc>
          <w:tcPr>
            <w:tcW w:w="801" w:type="dxa"/>
            <w:tcBorders/>
            <w:vAlign w:val="center"/>
          </w:tcPr>
          <w:p>
            <w:pPr>
              <w:pStyle w:val="TableContents"/>
              <w:bidi w:val="0"/>
              <w:spacing w:before="0" w:after="0"/>
              <w:ind w:left="0" w:right="0" w:hanging="0"/>
              <w:jc w:val="center"/>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100,645</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50,775</w:t>
            </w:r>
          </w:p>
        </w:tc>
      </w:tr>
      <w:tr>
        <w:trPr/>
        <w:tc>
          <w:tcPr>
            <w:tcW w:w="35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18,179</w:t>
            </w:r>
          </w:p>
        </w:tc>
        <w:tc>
          <w:tcPr>
            <w:tcW w:w="109" w:type="dxa"/>
            <w:tcBorders/>
            <w:vAlign w:val="center"/>
          </w:tcPr>
          <w:p>
            <w:pPr>
              <w:pStyle w:val="TableContents"/>
              <w:bidi w:val="0"/>
              <w:spacing w:before="0" w:after="0"/>
              <w:ind w:left="0" w:right="0" w:hanging="0"/>
              <w:jc w:val="left"/>
              <w:rPr/>
            </w:pPr>
            <w:r>
              <w:rPr/>
              <w:t>​</w:t>
            </w:r>
          </w:p>
        </w:tc>
        <w:tc>
          <w:tcPr>
            <w:tcW w:w="23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27,352</w:t>
            </w:r>
          </w:p>
        </w:tc>
      </w:tr>
      <w:tr>
        <w:trPr/>
        <w:tc>
          <w:tcPr>
            <w:tcW w:w="35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118,824</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78,127</w:t>
            </w:r>
          </w:p>
        </w:tc>
      </w:tr>
      <w:tr>
        <w:trPr/>
        <w:tc>
          <w:tcPr>
            <w:tcW w:w="35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35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11,345</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845</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LMS revenue for the nine months ended January 27, 2024 was $118.8 million, as compared to $78.1 million for the nine months ended January 28, 2023, representing an increase of $40.7 million, or 52%. The increase in revenue was due to an increase in product revenue of $49.9 million, partially offset by a decrease in service revenue of $9.2 million. The increase in product revenue was primarily due to increased production of our LMS systems primarily due to increased global demand for our unmanned systems associated with the current global conflicts as well as U.S. D.o.D. resupply. The decrease in service revenue was primarily due to a decrease of $9.6 million in customer-funded R&amp;D activities primarily associated with the shift from development to production of certain Switchblade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LMS Segment adjusted income from operations.</w:t>
      </w:r>
      <w:r>
        <w:rPr>
          <w:rFonts w:ascii="Times New Roman;Times;serif" w:hAnsi="Times New Roman;Times;serif"/>
          <w:sz w:val="20"/>
        </w:rPr>
        <w:t xml:space="preserve"> LMS segment adjusted income from operations for the nine months January 27, 2024 was $11.3 million, as compared to $0.8 million for the nine months ended January 28, 2023, representing an increase of $10.5 million. The increase in LMS segment adjusted income from operations was primarily due to an increase in revenue of $40.7 million and a decrease in R&amp;D of $3.0 million associated with the shift from development to production of certain Switchblade products, partially offset by an increase in cost of sales of $29.3 million driven by increased sales volume of approximately $27 million and an unfavorable sales mix of approximately $2 million due to due to new contract awards with lower estimated margins and an increase in SG&amp;A of $4.0 million driven by increased sales and marketing activity related to higher demand.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MacCready Works</w:t>
        <w:br/>
      </w:r>
      <w:r>
        <w:rPr>
          <w:rFonts w:ascii="Times New Roman;Times;serif" w:hAnsi="Times New Roman;Times;serif"/>
          <w:sz w:val="20"/>
        </w:rPr>
        <w:t>​</w:t>
      </w:r>
    </w:p>
    <w:tbl>
      <w:tblPr>
        <w:tblW w:w="6483" w:type="dxa"/>
        <w:jc w:val="left"/>
        <w:tblInd w:w="0" w:type="dxa"/>
        <w:tblLayout w:type="fixed"/>
        <w:tblCellMar>
          <w:top w:w="0" w:type="dxa"/>
          <w:left w:w="0" w:type="dxa"/>
          <w:bottom w:w="0" w:type="dxa"/>
          <w:right w:w="0" w:type="dxa"/>
        </w:tblCellMar>
      </w:tblPr>
      <w:tblGrid>
        <w:gridCol w:w="4006"/>
        <w:gridCol w:w="326"/>
        <w:gridCol w:w="211"/>
        <w:gridCol w:w="796"/>
        <w:gridCol w:w="109"/>
        <w:gridCol w:w="234"/>
        <w:gridCol w:w="801"/>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543810" cy="175260"/>
                      <wp:effectExtent l="0" t="0" r="0" b="0"/>
                      <wp:wrapNone/>
                      <wp:docPr id="597" name="Frame597"/>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8" name="Frame5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133985" cy="175260"/>
                      <wp:effectExtent l="0" t="0" r="0" b="0"/>
                      <wp:wrapNone/>
                      <wp:docPr id="599" name="Frame5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505460" cy="175260"/>
                      <wp:effectExtent l="0" t="0" r="0" b="0"/>
                      <wp:wrapNone/>
                      <wp:docPr id="600" name="Frame60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69215" cy="175260"/>
                      <wp:effectExtent l="0" t="0" r="0" b="0"/>
                      <wp:wrapNone/>
                      <wp:docPr id="601" name="Frame6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148590" cy="175260"/>
                      <wp:effectExtent l="0" t="0" r="0" b="0"/>
                      <wp:wrapNone/>
                      <wp:docPr id="602" name="Frame60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508635" cy="175260"/>
                      <wp:effectExtent l="0" t="0" r="0" b="0"/>
                      <wp:wrapNone/>
                      <wp:docPr id="603" name="Frame603"/>
                      <a:graphic xmlns:a="http://schemas.openxmlformats.org/drawingml/2006/main">
                        <a:graphicData uri="http://schemas.microsoft.com/office/word/2010/wordprocessingShape">
                          <wps:wsp>
                            <wps:cNvSpPr txBox="1"/>
                            <wps:spPr>
                              <a:xfrm>
                                <a:off x="0" y="0"/>
                                <a:ext cx="508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51"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0"/>
              <w:ind w:left="0" w:right="0" w:hanging="0"/>
              <w:jc w:val="left"/>
              <w:rPr/>
            </w:pPr>
            <w:r>
              <w:rPr/>
              <w:t>​</w:t>
            </w:r>
          </w:p>
        </w:tc>
        <w:tc>
          <w:tcPr>
            <w:tcW w:w="10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center"/>
              <w:rPr/>
            </w:pPr>
            <w:r>
              <w:rPr/>
              <w:t>​</w:t>
            </w:r>
          </w:p>
        </w:tc>
        <w:tc>
          <w:tcPr>
            <w:tcW w:w="796" w:type="dxa"/>
            <w:tcBorders/>
            <w:shd w:fill="CCEEFF" w:val="clear"/>
            <w:vAlign w:val="center"/>
          </w:tcPr>
          <w:p>
            <w:pPr>
              <w:pStyle w:val="TableContents"/>
              <w:bidi w:val="0"/>
              <w:spacing w:before="0" w:after="0"/>
              <w:ind w:left="0" w:right="0" w:hanging="0"/>
              <w:jc w:val="center"/>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center"/>
              <w:rPr/>
            </w:pPr>
            <w:r>
              <w:rPr/>
              <w:t>​</w:t>
            </w:r>
          </w:p>
        </w:tc>
        <w:tc>
          <w:tcPr>
            <w:tcW w:w="801" w:type="dxa"/>
            <w:tcBorders/>
            <w:shd w:fill="CCEEFF" w:val="clear"/>
            <w:vAlign w:val="center"/>
          </w:tcPr>
          <w:p>
            <w:pPr>
              <w:pStyle w:val="TableContents"/>
              <w:bidi w:val="0"/>
              <w:spacing w:before="0" w:after="0"/>
              <w:ind w:left="0" w:right="0" w:hanging="0"/>
              <w:jc w:val="center"/>
              <w:rPr/>
            </w:pPr>
            <w:r>
              <w:rPr/>
              <w:t>​</w:t>
            </w:r>
          </w:p>
        </w:tc>
      </w:tr>
      <w:tr>
        <w:trPr/>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1,820</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308</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services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54,827</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54,322</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56,647</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54,630</w:t>
            </w:r>
          </w:p>
        </w:tc>
      </w:tr>
      <w:tr>
        <w:trPr/>
        <w:tc>
          <w:tcPr>
            <w:tcW w:w="4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w:t>
            </w:r>
          </w:p>
        </w:tc>
        <w:tc>
          <w:tcPr>
            <w:tcW w:w="801" w:type="dxa"/>
            <w:tcBorders/>
            <w:vAlign w:val="center"/>
          </w:tcPr>
          <w:p>
            <w:pPr>
              <w:pStyle w:val="TableContents"/>
              <w:bidi w:val="0"/>
              <w:spacing w:before="0" w:after="0"/>
              <w:ind w:left="0" w:right="0" w:hanging="0"/>
              <w:jc w:val="right"/>
              <w:rPr/>
            </w:pPr>
            <w:r>
              <w:rPr/>
              <w:t>​</w:t>
            </w:r>
          </w:p>
        </w:tc>
      </w:tr>
      <w:tr>
        <w:trPr/>
        <w:tc>
          <w:tcPr>
            <w:tcW w:w="40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Segment adjusted (loss) income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(14,627)</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0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4,099</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MW revenue for the nine months ended January 27, 2024 was $56.6 million, as compared to $54.6 million for the nine months ended January 28, 2023, representing an increase of $2.0 million, or 4%. The increase in revenue was primarily due to an increase of $1.5 million in product sales. The increase in product sales is due to an increase in product deliveries as certain development programs begin to shift from development to early production.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MW Segment adjusted (loss) income from operations.</w:t>
      </w:r>
      <w:r>
        <w:rPr>
          <w:rFonts w:ascii="Times New Roman;Times;serif" w:hAnsi="Times New Roman;Times;serif"/>
          <w:sz w:val="20"/>
        </w:rPr>
        <w:t xml:space="preserve"> MW segment adjusted loss from operations for the nine months January 27, 2024 was $(14.6) million, as compared to MW segment adjusted income from operations of $4.1 million for the nine months ended January 28, 2023, representing an increased loss of $18.7 million. The increase in MW adjusted loss from operations was primarily due to an increase in R&amp;D of $13.2 million due to increased investments largely related to HAPS development efforts to support the decrease in customer funded R&amp;D programs in part due to delays in the establishment of the government fiscal year 2024 budget, an increase in costs of sales of $4.9 million driven by approximately $4 million related to unfavorable sales mix and approximately $1 million related to sales volume and an increase in SG&amp;A of $2.9 million driven by increased employee related expenses and sales and marketing activity, partially offset by an increase in revenue of $2.0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Backlog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Consistent with ASC 606, we define funded backlog as remaining performance obligations under firm orders for which funding is currently appropriated to us under a customer contract. As of January 27, 2024, our funded backlog was approximately $462.8 million, as compared to $424.1 million as of April 30, 2023.</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In addition to our funded backlog, we also had unfunded backlog of $132.7 million as of January 27, 2024. Unfunded backlog does not meet the definition of a performance obligation under ASC 606. We define unfunded backlog as the total remaining potential order amounts under cost reimbursable and fixed price contracts with (i) multiple one-year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SUAS because values for each of the other domains within the contract have not been disclosed by the customer, and we cannot be certain that we will secure all task orders issued against the contract.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p>
      <w:pPr>
        <w:pStyle w:val="TextBody"/>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On September 8, 2022, we filed an S-3 shelf registration statement to offer and sell shares of our common stock, including a prospectus supplement in relation to an Open Market Sale Agreement</w:t>
      </w:r>
      <w:r>
        <w:rPr>
          <w:rFonts w:ascii="Times New Roman;Times;serif" w:hAnsi="Times New Roman;Times;serif"/>
          <w:sz w:val="15"/>
        </w:rPr>
        <w:t>SM</w:t>
      </w:r>
      <w:r>
        <w:rPr>
          <w:rFonts w:ascii="Times New Roman;Times;serif" w:hAnsi="Times New Roman;Times;serif"/>
          <w:sz w:val="20"/>
        </w:rPr>
        <w:t>, also dated September 8, 2022, with Jefferies LLC relating to the proposed offer and sale of shares of our common stock having an aggregate offering price of up to $200.0 million from time to time through Jefferies LLC as our sales agent. As of October 28, 2023, we completed the Open Market Sale Agreement</w:t>
      </w:r>
      <w:r>
        <w:rPr>
          <w:rFonts w:ascii="Times New Roman;Times;serif" w:hAnsi="Times New Roman;Times;serif"/>
          <w:sz w:val="15"/>
        </w:rPr>
        <w:t>SM</w:t>
      </w:r>
      <w:r>
        <w:rPr>
          <w:rFonts w:ascii="Times New Roman;Times;serif" w:hAnsi="Times New Roman;Times;serif"/>
          <w:sz w:val="20"/>
        </w:rPr>
        <w:t xml:space="preserve"> and sold 1,917,100 of our shares for total gross proceeds of $200.0 million and $194.0 million proceeds received, net of commission expense and $193.1 million net of equity issuance costs. During the nine months ended January 27, 2024, we sold 807,370 shares for total gross proceeds of $91.3 million, total proceeds received of $88.6 million, net of commission expense and $88.4 million net of equity issuance costs.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February 19, 2021 in connection with the consummation of the Arcturus acquisition, we entered into the Credit Agreement for (i) the Revolving Facility, and (ii) the Term Loan Facility, and together with the Revolving Credit Facility,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Our ability to borrow under the Revolving Facility is reduced by outstanding letters of credit of $13.3 million as of January 27, 2024. As of January 27, 2024, approximately $86.7 million was available under the Revolving Facility. Borrowings under the Revolving Facility may be used for working capital and other general corporate purposes. Refer to Note 9—Debt to our unaudited condensed consolidated financial statements in Part I, Item 1 of this Quarterly Report on Form 10-Q for further details. In addition, Telerob has a line of credit of €7.0 million ($7.6 million) available for issuing letters of credit of which €0.7 million ($0.8 million) was outstanding as of January 27,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anticipate funding our normal recurring trade payables, accrued expenses, ongoing R&amp;D costs and obligations under the Credit Facilities through our existing working capital and funds provided by operating activities including those provided by our recent acquisitions.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or draw on our Credit Facilities. We anticipate that existing sources of liquidity, Credit Facilities, and cash flows from operations will be sufficient to satisfy our cash needs for the foreseeable future.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Our primary liquidity needs are for financing working capital, investing in capital expenditures, supporting product development efforts, introducing new products and enhancing existing products, marketing acceptance and adoption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products and services, and possible acquisition of entities.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Agreement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expenses incurred during the lead time from contract award until contract deliveries begin.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fiscal year ended April 30, 2022, we made certain commitments outside of the ordinary course of business, including capital contribution commitments to a second limited partnership fund. Under the terms of a new limited partnership agreement, we have committed to make capital contributions to such fund totaling $20.0 million, inclusive of the expected reinvestment of distributions from our existing limited partnership fund, of which $12.3 million was remaining at January 27, 2024. The contributions are anticipated to be paid over the next four fiscal years. The UGV second year earnout of €2.0 million (approximately $2.1 million) was paid in November 2023. The Tomahawk acquisition closed on September 15, 2023, and we paid a total purchase price of $134.4 million consisting of $109.8 million in stock and $24.2 million from cash on hand, net of cash acquired. Due to the new internal revenue service tax capitalization rules, Section 174, which requires R&amp;D expenditures to be capitalized and amortized over a 5 year period for tax purposes, we expect an increase in cash paid for U.S. federal income taxes during the fiscal year ending April 30, 2024 and future fiscal years relative to prior periods.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table provides our cash flow data for the nine months ended January 27, 2024 and January 28, 2023 (in thousands):</w:t>
      </w:r>
    </w:p>
    <w:p>
      <w:pPr>
        <w:pStyle w:val="TextBody"/>
        <w:bidi w:val="0"/>
        <w:spacing w:before="0" w:after="0"/>
        <w:ind w:left="0" w:right="0" w:hanging="0"/>
        <w:jc w:val="left"/>
        <w:rPr/>
      </w:pPr>
      <w:r>
        <w:rPr/>
        <w:t>​</w:t>
      </w:r>
    </w:p>
    <w:tbl>
      <w:tblPr>
        <w:tblW w:w="7041" w:type="dxa"/>
        <w:jc w:val="left"/>
        <w:tblInd w:w="0" w:type="dxa"/>
        <w:tblLayout w:type="fixed"/>
        <w:tblCellMar>
          <w:top w:w="0" w:type="dxa"/>
          <w:left w:w="0" w:type="dxa"/>
          <w:bottom w:w="0" w:type="dxa"/>
          <w:right w:w="0" w:type="dxa"/>
        </w:tblCellMar>
      </w:tblPr>
      <w:tblGrid>
        <w:gridCol w:w="4201"/>
        <w:gridCol w:w="326"/>
        <w:gridCol w:w="211"/>
        <w:gridCol w:w="796"/>
        <w:gridCol w:w="326"/>
        <w:gridCol w:w="248"/>
        <w:gridCol w:w="742"/>
        <w:gridCol w:w="191"/>
      </w:tblGrid>
      <w:tr>
        <w:trPr/>
        <w:tc>
          <w:tcPr>
            <w:tcW w:w="4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2667635" cy="175260"/>
                      <wp:effectExtent l="0" t="0" r="0" b="0"/>
                      <wp:wrapNone/>
                      <wp:docPr id="604" name="Frame604"/>
                      <a:graphic xmlns:a="http://schemas.openxmlformats.org/drawingml/2006/main">
                        <a:graphicData uri="http://schemas.microsoft.com/office/word/2010/wordprocessingShape">
                          <wps:wsp>
                            <wps:cNvSpPr txBox="1"/>
                            <wps:spPr>
                              <a:xfrm>
                                <a:off x="0" y="0"/>
                                <a:ext cx="2667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207010" cy="175260"/>
                      <wp:effectExtent l="0" t="0" r="0" b="0"/>
                      <wp:wrapNone/>
                      <wp:docPr id="605"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133985" cy="175260"/>
                      <wp:effectExtent l="0" t="0" r="0" b="0"/>
                      <wp:wrapNone/>
                      <wp:docPr id="606" name="Frame6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505460" cy="175260"/>
                      <wp:effectExtent l="0" t="0" r="0" b="0"/>
                      <wp:wrapNone/>
                      <wp:docPr id="607" name="Frame60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7010" cy="175260"/>
                      <wp:effectExtent l="0" t="0" r="0" b="0"/>
                      <wp:wrapNone/>
                      <wp:docPr id="608" name="Frame6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157480" cy="175260"/>
                      <wp:effectExtent l="0" t="0" r="0" b="0"/>
                      <wp:wrapNone/>
                      <wp:docPr id="609" name="Frame609"/>
                      <a:graphic xmlns:a="http://schemas.openxmlformats.org/drawingml/2006/main">
                        <a:graphicData uri="http://schemas.microsoft.com/office/word/2010/wordprocessingShape">
                          <wps:wsp>
                            <wps:cNvSpPr txBox="1"/>
                            <wps:spPr>
                              <a:xfrm>
                                <a:off x="0" y="0"/>
                                <a:ext cx="15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471170" cy="175260"/>
                      <wp:effectExtent l="0" t="0" r="0" b="0"/>
                      <wp:wrapNone/>
                      <wp:docPr id="610" name="Frame610"/>
                      <a:graphic xmlns:a="http://schemas.openxmlformats.org/drawingml/2006/main">
                        <a:graphicData uri="http://schemas.microsoft.com/office/word/2010/wordprocessingShape">
                          <wps:wsp>
                            <wps:cNvSpPr txBox="1"/>
                            <wps:spPr>
                              <a:xfrm>
                                <a:off x="0" y="0"/>
                                <a:ext cx="4711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121285" cy="175260"/>
                      <wp:effectExtent l="0" t="0" r="0" b="0"/>
                      <wp:wrapNone/>
                      <wp:docPr id="611" name="Frame61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Nine Months Ended </w:t>
            </w:r>
          </w:p>
        </w:tc>
        <w:tc>
          <w:tcPr>
            <w:tcW w:w="191"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27,</w:t>
            </w:r>
          </w:p>
        </w:tc>
        <w:tc>
          <w:tcPr>
            <w:tcW w:w="326" w:type="dxa"/>
            <w:tcBorders/>
            <w:vAlign w:val="center"/>
          </w:tcPr>
          <w:p>
            <w:pPr>
              <w:pStyle w:val="TableContents"/>
              <w:bidi w:val="0"/>
              <w:spacing w:before="0" w:after="0"/>
              <w:ind w:left="0" w:right="0" w:hanging="0"/>
              <w:jc w:val="center"/>
              <w:rPr/>
            </w:pPr>
            <w:r>
              <w:rPr/>
              <w:t>​</w:t>
            </w:r>
          </w:p>
        </w:tc>
        <w:tc>
          <w:tcPr>
            <w:tcW w:w="99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January 28,</w:t>
            </w:r>
          </w:p>
        </w:tc>
        <w:tc>
          <w:tcPr>
            <w:tcW w:w="191" w:type="dxa"/>
            <w:tcBorders/>
            <w:vAlign w:val="center"/>
          </w:tcPr>
          <w:p>
            <w:pPr>
              <w:pStyle w:val="TableContents"/>
              <w:bidi w:val="0"/>
              <w:spacing w:before="0" w:after="0"/>
              <w:ind w:left="0" w:right="0" w:hanging="0"/>
              <w:jc w:val="center"/>
              <w:rPr/>
            </w:pPr>
            <w:r>
              <w:rPr/>
              <w:t>​</w:t>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center"/>
              <w:rPr/>
            </w:pPr>
            <w:r>
              <w:rPr/>
              <w:t>    </w:t>
            </w:r>
          </w:p>
        </w:tc>
        <w:tc>
          <w:tcPr>
            <w:tcW w:w="99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91" w:type="dxa"/>
            <w:tcBorders/>
            <w:vAlign w:val="center"/>
          </w:tcPr>
          <w:p>
            <w:pPr>
              <w:pStyle w:val="TableContents"/>
              <w:bidi w:val="0"/>
              <w:spacing w:before="0" w:after="0"/>
              <w:ind w:left="0" w:right="0" w:hanging="0"/>
              <w:jc w:val="center"/>
              <w:rPr/>
            </w:pPr>
            <w:r>
              <w:rPr/>
              <w:t> </w:t>
            </w:r>
          </w:p>
        </w:tc>
      </w:tr>
      <w:tr>
        <w:trPr/>
        <w:tc>
          <w:tcPr>
            <w:tcW w:w="7041"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42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32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w:t>
            </w:r>
          </w:p>
        </w:tc>
        <w:tc>
          <w:tcPr>
            <w:tcW w:w="191" w:type="dxa"/>
            <w:tcBorders/>
            <w:vAlign w:val="center"/>
          </w:tcPr>
          <w:p>
            <w:pPr>
              <w:pStyle w:val="TableContents"/>
              <w:bidi w:val="0"/>
              <w:spacing w:before="0" w:after="0"/>
              <w:ind w:left="0" w:right="0" w:hanging="0"/>
              <w:jc w:val="center"/>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26,965</w:t>
            </w:r>
          </w:p>
        </w:tc>
        <w:tc>
          <w:tcPr>
            <w:tcW w:w="326"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8,801</w:t>
            </w:r>
          </w:p>
        </w:tc>
        <w:tc>
          <w:tcPr>
            <w:tcW w:w="191" w:type="dxa"/>
            <w:tcBorders/>
            <w:shd w:fill="CCEEFF" w:val="clear"/>
            <w:vAlign w:val="center"/>
          </w:tcPr>
          <w:p>
            <w:pPr>
              <w:pStyle w:val="TableContents"/>
              <w:bidi w:val="0"/>
              <w:spacing w:before="0" w:after="0"/>
              <w:ind w:left="0" w:right="0" w:hanging="0"/>
              <w:jc w:val="right"/>
              <w:rPr/>
            </w:pPr>
            <w:r>
              <w:rPr/>
              <w:t>​</w:t>
            </w:r>
          </w:p>
        </w:tc>
      </w:tr>
      <w:tr>
        <w:trPr/>
        <w:tc>
          <w:tcPr>
            <w:tcW w:w="42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provided by investing activities</w:t>
            </w:r>
          </w:p>
        </w:tc>
        <w:tc>
          <w:tcPr>
            <w:tcW w:w="32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(41,432)</w:t>
            </w:r>
          </w:p>
        </w:tc>
        <w:tc>
          <w:tcPr>
            <w:tcW w:w="326" w:type="dxa"/>
            <w:tcBorders/>
            <w:vAlign w:val="center"/>
          </w:tcPr>
          <w:p>
            <w:pPr>
              <w:pStyle w:val="TableContents"/>
              <w:bidi w:val="0"/>
              <w:spacing w:before="0" w:after="0"/>
              <w:ind w:left="0" w:right="0" w:hanging="0"/>
              <w:jc w:val="right"/>
              <w:rPr/>
            </w:pPr>
            <w:r>
              <w:rPr/>
              <w:t>​</w:t>
            </w:r>
          </w:p>
        </w:tc>
        <w:tc>
          <w:tcPr>
            <w:tcW w:w="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191" w:type="dxa"/>
            <w:tcBorders/>
            <w:vAlign w:val="center"/>
          </w:tcPr>
          <w:p>
            <w:pPr>
              <w:pStyle w:val="TableContents"/>
              <w:bidi w:val="0"/>
              <w:spacing w:before="0" w:after="0"/>
              <w:ind w:left="0" w:right="0" w:hanging="0"/>
              <w:jc w:val="right"/>
              <w:rPr/>
            </w:pPr>
            <w:r>
              <w:rPr/>
              <w:t>​</w:t>
            </w:r>
          </w:p>
        </w:tc>
      </w:tr>
      <w:tr>
        <w:trPr/>
        <w:tc>
          <w:tcPr>
            <w:tcW w:w="42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32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(10,621)</w:t>
            </w:r>
          </w:p>
        </w:tc>
        <w:tc>
          <w:tcPr>
            <w:tcW w:w="326" w:type="dxa"/>
            <w:tcBorders/>
            <w:shd w:fill="CCEEFF" w:val="clear"/>
            <w:vAlign w:val="center"/>
          </w:tcPr>
          <w:p>
            <w:pPr>
              <w:pStyle w:val="TableContents"/>
              <w:bidi w:val="0"/>
              <w:spacing w:before="0" w:after="0"/>
              <w:ind w:left="0" w:right="0" w:hanging="0"/>
              <w:jc w:val="right"/>
              <w:rPr/>
            </w:pPr>
            <w:r>
              <w:rPr/>
              <w:t>​</w:t>
            </w:r>
          </w:p>
        </w:tc>
        <w:tc>
          <w:tcPr>
            <w:tcW w:w="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(2,402)</w:t>
            </w:r>
          </w:p>
        </w:tc>
        <w:tc>
          <w:tcPr>
            <w:tcW w:w="191" w:type="dxa"/>
            <w:tcBorders/>
            <w:shd w:fill="CCEEFF" w:val="clear"/>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Provided by Operating Activities. </w:t>
      </w:r>
      <w:r>
        <w:rPr>
          <w:rFonts w:ascii="Times New Roman;Times;serif" w:hAnsi="Times New Roman;Times;serif"/>
          <w:sz w:val="20"/>
        </w:rPr>
        <w:t>Net cash provided by operating activities for the nine months ended January 27, 2024 increased by $18.2 million to $27.0 million, as compared to net cash provided by operating activities of $8.8 million for the nine months ended January 28, 2023. The increase in net cash provided by operating activities was primarily due to an increase in net income of $69.3 million, partially offset by a decrease in cash as a result of changes in operating assets and liabilities of $40.5 million, largely related to unbilled receivables and retentions, other liabilities, accounts payable, and prepaid expenses and other assets due to year over year timing differences as well as a decrease in non-cash expenses of $10.6 million primarily due to a decrease in depreciation and amortization, partially offset by an increase in inventory reserve.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(Used in) Provided by Investing Activities. </w:t>
      </w:r>
      <w:r>
        <w:rPr>
          <w:rFonts w:ascii="Times New Roman;Times;serif" w:hAnsi="Times New Roman;Times;serif"/>
          <w:sz w:val="20"/>
        </w:rPr>
        <w:t>Net cash used in investing activities increased by $42.3 million to $41.4 million for the nine months ended January 27, 2024, as compared to net cash provided by investing activities of $0.9 million for the nine months ended January 28, 2023. The increase in net cash used in investing activities was primarily due to a decrease in net redemptions of available-for-sale investments of $24.6 million and an increase in business acquisitions, net of cash acquired of $19.1 million, partially offset by a decrease in equity securities investments of $5.1 million.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 xml:space="preserve">Cash Used in Financing Activities. </w:t>
      </w:r>
      <w:r>
        <w:rPr>
          <w:rFonts w:ascii="Times New Roman;Times;serif" w:hAnsi="Times New Roman;Times;serif"/>
          <w:sz w:val="20"/>
        </w:rPr>
        <w:t>Net cash used in financing activities increased by $8.2 million to $10.6 million for the nine months ended January 27, 2024, as compared to net cash used in financing activities of $2.4 million for the nine months ended January 28, 2023. The increase in net cash used in financing activities was primarily due to an increase in the principal payment of the term loan of $72.5 million, partially offset by an increase in proceeds from shares issued of $68.3 million.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Accounting Standards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Please refer to Note 1—Organization and Significant Accounting Policies to our unaudited condensed consolidated financial statements in Part I, Item 1 of this Quarterly Report on Form 10-Q for the conclusion that we did not adopt any accounting standards during the nine months ended January 27,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53" w:name="ITEM3_QUANTITATIVEANDQUALITATIVE_021302"/>
      <w:bookmarkStart w:id="2054" w:name="ITEM3QUANTITATIVEANDQUALITATIVE_695044"/>
      <w:bookmarkStart w:id="2055" w:name="_510b83d9_194e_493f_824f_dc041e10420b"/>
      <w:bookmarkEnd w:id="2053"/>
      <w:bookmarkEnd w:id="2054"/>
      <w:bookmarkEnd w:id="2055"/>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the ordinary course of business, we are exposed to various market risk factors, including fluctuations in interest rates, changes in general economic conditions, domestic and foreign competition, and foreign currency exchange rates.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is our policy not to enter into interest rate derivative financial instruments. On February 19, 2021 in connection with the consummation of the Arcturus Acquisition, we entered into the Credit Facilities. The current outstanding balance of the Credit Facilities is $40.0 million and bears a variable interest</w:t>
      </w:r>
      <w:r>
        <w:rPr>
          <w:rFonts w:ascii="Times New Roman;Times;serif" w:hAnsi="Times New Roman;Times;serif"/>
          <w:sz w:val="20"/>
          <w:shd w:fill="FFFFFF" w:val="clear"/>
        </w:rPr>
        <w:t xml:space="preserve"> rate. The market interest rate has increased significantly, and if market interest rates continue to increase, interest due on the Credit Facilities would increase.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Foreign Currency Exchange Rate Risk</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56" w:name="ITEM4CONTROLSANDPROCEDURES_613247"/>
      <w:bookmarkStart w:id="2057" w:name="ITEM4_CONTROLSANDPROCEDURES_021320"/>
      <w:bookmarkStart w:id="2058" w:name="_c5958beb_a9e6_4013_a066_87726357146e"/>
      <w:bookmarkEnd w:id="2056"/>
      <w:bookmarkEnd w:id="2057"/>
      <w:bookmarkEnd w:id="2058"/>
      <w:r>
        <w:rPr>
          <w:rFonts w:ascii="Times New Roman;Times;serif" w:hAnsi="Times New Roman;Times;serif"/>
          <w:b/>
          <w:sz w:val="20"/>
        </w:rPr>
        <w:t>ITEM 4.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Evaluation of Disclosure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27, 2024, the end of the period covered by this Quarterly Report on Form 10-Q.</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the foregoing, our Chief Executive Officer and Chief Financial Officer concluded that, as of January 27, 2024, the end of the period covered by this Quarterly Report on Form 10-Q, our disclosure controls and procedures were effective and were operating at a reasonable assurance level.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September 15, 2023, we acquired Tomahawk, and, as a result, we have begun integrating certain processes, systems and controls relating to Tomahawk into our existing system of internal control over financial reporting in accordance with our integration plans. We do not believe these represent a material change. There were changes in our internal control over financial reporting or in other factors identified in connection with the evaluation required by paragraph (d) of Rules 13a-15 or 15d-15 under the Exchange Act that occurred during the quarter ended January 27, 2024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059" w:name="PARTII_OTHERINFORMATION_030839"/>
      <w:bookmarkStart w:id="2060" w:name="PARTIIOTHERINFORMATION_857105"/>
      <w:bookmarkStart w:id="2061" w:name="_616c1f5e_1464_463b_8f61_ee5a341e4a08"/>
      <w:bookmarkEnd w:id="2059"/>
      <w:bookmarkEnd w:id="2060"/>
      <w:bookmarkEnd w:id="2061"/>
      <w:r>
        <w:rPr>
          <w:rFonts w:ascii="Times New Roman;Times;serif" w:hAnsi="Times New Roman;Times;serif"/>
          <w:b/>
          <w:sz w:val="20"/>
        </w:rPr>
        <w:t>PART II.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62" w:name="ITEM1LEGALPROCEEDINGS_982987"/>
      <w:bookmarkStart w:id="2063" w:name="ITEM1_LEGALPROCEEDINGS_030840"/>
      <w:bookmarkStart w:id="2064" w:name="_Hlk158653697"/>
      <w:bookmarkStart w:id="2065" w:name="_Hlk127036972"/>
      <w:bookmarkEnd w:id="2062"/>
      <w:bookmarkEnd w:id="2063"/>
      <w:bookmarkEnd w:id="2064"/>
      <w:bookmarkEnd w:id="2065"/>
      <w:r>
        <w:rPr>
          <w:rFonts w:ascii="Times New Roman;Times;serif" w:hAnsi="Times New Roman;Times;serif"/>
          <w:b/>
          <w:sz w:val="20"/>
        </w:rPr>
        <w:t>ITEM 1. LEGAL PROCEEDINGS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August 9, 2021, a former employee filed a class action complaint against AeroVironment in California Superior Court in Los Angeles, California alleging various claims pursuant to the California Labor Code related to wages, meal breaks, overtime, unreimbursed business expenses and other recordkeeping matters. The complaint seeks a jury trial and payment of various alleged unpaid wages, penalties, interest and attorneys’ fees in unspecified amounts. We filed our answer on December 16, 2021. Written and oral discovery are ongoing.</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January 22, 2024, a former employee filed a class action complaint against AeroVironment in the Ventura County Superior Court in California alleging that AeroVironment did not indemnify and reimburse employees for certain tools and equipment purchased by such employees needed to discharge their job duties. The Company is currently evaluating the claims contained in the complaint and intends to mount a vigorous defense.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On January 29, 2024, AeroVironment was served with a California Labor Code Private Attorney General Act of 2004 ("PAGA") notice which was filed with the California Labor and Workforce Development Agency indicating a former employee’s intention to file a class action lawsuit against AeroVironment alleging violations of California wage and hour laws and seeking penalties recoverable under California Labor Code section 2698, et. seq., the PAGA and all other remedies available under PAGA. No complaint has yet been filed against the Company regarding allegations made in the PAGA notice.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 </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66" w:name="ITEM1A_RISKFACTORS_030841"/>
      <w:bookmarkStart w:id="2067" w:name="_f4a69d0d_8a95_4b20_a96e_a85bcde6e788"/>
      <w:bookmarkEnd w:id="2066"/>
      <w:bookmarkEnd w:id="2067"/>
      <w:r>
        <w:rPr>
          <w:rFonts w:ascii="Times New Roman;Times;serif" w:hAnsi="Times New Roman;Times;serif"/>
          <w:b/>
          <w:sz w:val="20"/>
        </w:rPr>
        <w:t>ITEM 1A. RISK FACTORS</w:t>
      </w:r>
    </w:p>
    <w:p>
      <w:pPr>
        <w:pStyle w:val="TextBody"/>
        <w:bidi w:val="0"/>
        <w:spacing w:before="240" w:after="60"/>
        <w:ind w:left="0" w:right="0" w:hanging="0"/>
        <w:jc w:val="left"/>
        <w:rPr>
          <w:rFonts w:ascii="Times New Roman;Times;serif" w:hAnsi="Times New Roman;Times;serif"/>
          <w:b w:val="false"/>
          <w:sz w:val="20"/>
        </w:rPr>
      </w:pPr>
      <w:r>
        <w:rPr>
          <w:rFonts w:ascii="Times New Roman;Times;serif" w:hAnsi="Times New Roman;Times;serif"/>
          <w:b w:val="false"/>
          <w:sz w:val="20"/>
        </w:rPr>
        <w:t>There have been no material changes to the risk factors disclosed under Part I, Item 1A, “Risk Factors,” of our Annual Report on Form 10-K for the fiscal year ended April 30, 2023. Please refer to that section for disclosures regarding the risks and uncertainties related to our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68" w:name="ITEM2_UNREGISTEREDSALESOFEQUITYS_030842"/>
      <w:bookmarkStart w:id="2069" w:name="_84bc166f_25b6_4d8e_abda_bf7e6b453892"/>
      <w:bookmarkEnd w:id="2068"/>
      <w:bookmarkEnd w:id="2069"/>
      <w:r>
        <w:rPr>
          <w:rFonts w:ascii="Times New Roman;Times;serif" w:hAnsi="Times New Roman;Times;serif"/>
          <w:b/>
          <w:sz w:val="20"/>
        </w:rPr>
        <w:t>ITEM 2. UNREGISTERED SALES OF EQUITY SECURITIES AND USE OF PROCEEDS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70" w:name="ITEM3_DEFAULTSUPONSENIORSECURITI_030843"/>
      <w:bookmarkStart w:id="2071" w:name="_191dccde_4b75_4f53_bf8d_918dd6fc3630"/>
      <w:bookmarkEnd w:id="2070"/>
      <w:bookmarkEnd w:id="2071"/>
      <w:r>
        <w:rPr>
          <w:rFonts w:ascii="Times New Roman;Times;serif" w:hAnsi="Times New Roman;Times;serif"/>
          <w:b/>
          <w:sz w:val="20"/>
        </w:rPr>
        <w:t>ITEM 3. DEFAULTS UPON SENIOR SECURITIES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72" w:name="ITEM4_MINESAFETYDISCLOSURES_030844"/>
      <w:bookmarkStart w:id="2073" w:name="_4b8dc9c3_abaa_4423_83eb_3c51f1d20fba"/>
      <w:bookmarkEnd w:id="2072"/>
      <w:bookmarkEnd w:id="2073"/>
      <w:r>
        <w:rPr>
          <w:rFonts w:ascii="Times New Roman;Times;serif" w:hAnsi="Times New Roman;Times;serif"/>
          <w:b/>
          <w:sz w:val="20"/>
        </w:rPr>
        <w:t>ITEM 4. MINE SAFETY DISCLOSURES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2074" w:name="ITEM5_OTHERINFORMATION_030845"/>
      <w:bookmarkStart w:id="2075" w:name="_aef9e3b5_2428_40b9_98ae_851dd4f6d0e3"/>
      <w:bookmarkEnd w:id="2074"/>
      <w:bookmarkEnd w:id="2075"/>
      <w:r>
        <w:rPr>
          <w:rFonts w:ascii="Times New Roman;Times;serif" w:hAnsi="Times New Roman;Times;serif"/>
          <w:b/>
          <w:sz w:val="20"/>
        </w:rPr>
        <w:t>ITEM 5. OTHER INFORMATION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January 27, 2024, none of our directors or officers adopted or terminated a “Rule 10b5-1 trading arrangement” or “non-Rule 10b5-1 trading arrangement,” as each term is defined in Item 408(a) of Regulation S-K.</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2076" w:name="ITEM6_EXHIBITS_030846"/>
      <w:bookmarkStart w:id="2077" w:name="_37623496_f071_4fbe_b2a4_4622e3ddacb1"/>
      <w:bookmarkStart w:id="2078" w:name="_Hlk127037095"/>
      <w:bookmarkEnd w:id="2076"/>
      <w:bookmarkEnd w:id="2077"/>
      <w:bookmarkEnd w:id="2078"/>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28" w:type="dxa"/>
          <w:right w:w="0" w:type="dxa"/>
        </w:tblCellMar>
      </w:tblPr>
      <w:tblGrid>
        <w:gridCol w:w="834"/>
        <w:gridCol w:w="326"/>
        <w:gridCol w:w="9045"/>
      </w:tblGrid>
      <w:tr>
        <w:trPr/>
        <w:tc>
          <w:tcPr>
            <w:tcW w:w="834" w:type="dxa"/>
            <w:tcBorders>
              <w:bottom w:val="single" w:sz="2" w:space="0" w:color="000000"/>
            </w:tcBorders>
            <w:vAlign w:val="center"/>
          </w:tcPr>
          <w:p>
            <w:pPr>
              <w:pStyle w:val="TableContents"/>
              <w:bidi w:val="0"/>
              <w:spacing w:lineRule="auto" w:line="328" w:before="0" w:after="0"/>
              <w:ind w:left="0" w:right="0" w:hanging="0"/>
              <w:jc w:val="left"/>
              <w:rPr>
                <w:rFonts w:ascii="Times New Roman;Times;serif" w:hAnsi="Times New Roman;Times;serif"/>
                <w:b/>
                <w:sz w:val="20"/>
              </w:rPr>
            </w:pPr>
            <w:r>
              <w:rPr>
                <w:rFonts w:ascii="Times New Roman;Times;serif" w:hAnsi="Times New Roman;Times;serif"/>
                <w:b/>
                <w:sz w:val="20"/>
              </w:rPr>
              <w:t>Exhibit</w:t>
              <w:br/>
              <w:t>Number</w:t>
            </w:r>
          </w:p>
        </w:tc>
        <w:tc>
          <w:tcPr>
            <w:tcW w:w="326" w:type="dxa"/>
            <w:tcBorders>
              <w:bottom w:val="single" w:sz="2" w:space="0" w:color="000000"/>
            </w:tcBorders>
            <w:vAlign w:val="center"/>
          </w:tcPr>
          <w:p>
            <w:pPr>
              <w:pStyle w:val="TableContents"/>
              <w:bidi w:val="0"/>
              <w:spacing w:lineRule="auto" w:line="328" w:before="0" w:after="0"/>
              <w:ind w:left="0" w:right="0" w:hanging="0"/>
              <w:jc w:val="center"/>
              <w:rPr/>
            </w:pPr>
            <w:r>
              <w:rPr/>
              <w:t>    </w:t>
            </w:r>
          </w:p>
        </w:tc>
        <w:tc>
          <w:tcPr>
            <w:tcW w:w="9045" w:type="dxa"/>
            <w:tcBorders>
              <w:bottom w:val="single" w:sz="2" w:space="0" w:color="000000"/>
            </w:tcBorders>
            <w:vAlign w:val="center"/>
          </w:tcPr>
          <w:p>
            <w:pPr>
              <w:pStyle w:val="TableContents"/>
              <w:bidi w:val="0"/>
              <w:spacing w:lineRule="auto" w:line="328"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2.1(1)</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pPr>
            <w:hyperlink r:id="rId2">
              <w:r>
                <w:rPr>
                  <w:rStyle w:val="InternetLink"/>
                  <w:rFonts w:ascii="Times New Roman;Times;serif" w:hAnsi="Times New Roman;Times;serif"/>
                  <w:b w:val="false"/>
                  <w:i w:val="false"/>
                  <w:caps w:val="false"/>
                  <w:smallCaps w:val="false"/>
                  <w:sz w:val="20"/>
                </w:rPr>
                <w:t>Agreement and Plan of Merger, dated as of August 18, 2023, by and among AeroVironment, Inc., Tropic Merger Sub, Inc., Tomahawk Robotics, Inc., and Shareholder Representative Services LLC, solely in its capacity as the Stockholder Representative.</w:t>
              </w:r>
            </w:hyperlink>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pPr>
            <w:hyperlink r:id="rId3">
              <w:r>
                <w:rPr>
                  <w:rStyle w:val="InternetLink"/>
                  <w:rFonts w:ascii="Times New Roman;Times;serif" w:hAnsi="Times New Roman;Times;serif"/>
                  <w:b w:val="false"/>
                  <w:i w:val="false"/>
                  <w:caps w:val="false"/>
                  <w:smallCaps w:val="false"/>
                  <w:sz w:val="20"/>
                </w:rPr>
                <w:t>Amended and Restated Certificate of Incorporation of AeroVironment, Inc.</w:t>
              </w:r>
            </w:hyperlink>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3.2(3)</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pPr>
            <w:hyperlink r:id="rId4">
              <w:r>
                <w:rPr>
                  <w:rStyle w:val="InternetLink"/>
                  <w:rFonts w:ascii="Times New Roman;Times;serif" w:hAnsi="Times New Roman;Times;serif"/>
                  <w:b w:val="false"/>
                  <w:i w:val="false"/>
                  <w:caps w:val="false"/>
                  <w:smallCaps w:val="false"/>
                  <w:sz w:val="20"/>
                </w:rPr>
                <w:t>Fourth Amended and Restated Bylaws of AeroVironment, Inc., amended as of December 1, 2022</w:t>
              </w:r>
            </w:hyperlink>
            <w:r>
              <w:rPr>
                <w:rFonts w:ascii="Times New Roman;Times;serif" w:hAnsi="Times New Roman;Times;serif"/>
                <w:sz w:val="20"/>
              </w:rPr>
              <w: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31.1</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pPr>
            <w:hyperlink w:anchor="avav-20240127xex31d1.htm">
              <w:r>
                <w:rPr>
                  <w:rStyle w:val="InternetLink"/>
                  <w:rFonts w:ascii="Times New Roman;Times;serif" w:hAnsi="Times New Roman;Times;serif"/>
                  <w:b w:val="false"/>
                  <w:i w:val="false"/>
                  <w:caps w:val="false"/>
                  <w:smallCaps w:val="false"/>
                  <w:sz w:val="20"/>
                </w:rPr>
                <w:t>Certification of Chief Executive Officer pursuant to Rule 13a-14(a) and Rule 15d-14(a) of the Securities Exchange Act of 1934, as amended</w:t>
              </w:r>
            </w:hyperlink>
            <w:r>
              <w:rPr>
                <w:rFonts w:ascii="Times New Roman;Times;serif" w:hAnsi="Times New Roman;Times;serif"/>
                <w:sz w:val="20"/>
              </w:rPr>
              <w: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31.2</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pPr>
            <w:hyperlink w:anchor="avav-20240127xex31d2.htm">
              <w:r>
                <w:rPr>
                  <w:rStyle w:val="InternetLink"/>
                  <w:rFonts w:ascii="Times New Roman;Times;serif" w:hAnsi="Times New Roman;Times;serif"/>
                  <w:b w:val="false"/>
                  <w:i w:val="false"/>
                  <w:caps w:val="false"/>
                  <w:smallCaps w:val="false"/>
                  <w:sz w:val="20"/>
                </w:rPr>
                <w:t>Certification of Chief Financial Officer pursuant to Rule 13a-14(a) and Rule 15d-14(a) of the Securities Exchange Act of 1934, as amended</w:t>
              </w:r>
            </w:hyperlink>
            <w:r>
              <w:rPr>
                <w:rFonts w:ascii="Times New Roman;Times;serif" w:hAnsi="Times New Roman;Times;serif"/>
                <w:sz w:val="20"/>
              </w:rPr>
              <w: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pPr>
            <w:hyperlink w:anchor="avav-20240127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as adopted pursuant to Section 906 of the Sarbanes-Oxley Act of 2002</w:t>
              </w:r>
            </w:hyperlink>
            <w:r>
              <w:rPr>
                <w:rFonts w:ascii="Times New Roman;Times;serif" w:hAnsi="Times New Roman;Times;serif"/>
                <w:sz w:val="20"/>
              </w:rPr>
              <w: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101.INS</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Files because its XBRL tags are embedded within the Inline XBRL document.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101.SCH</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101.CAL</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101.DEF</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101.LAB</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101.PRE</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34" w:type="dxa"/>
            <w:tcBorders/>
            <w:tcMar>
              <w:bottom w:w="0" w:type="dxa"/>
            </w:tcMar>
            <w:vAlign w:val="center"/>
          </w:tcPr>
          <w:p>
            <w:pPr>
              <w:pStyle w:val="TableContents"/>
              <w:bidi w:val="0"/>
              <w:spacing w:lineRule="auto" w:line="328" w:before="0" w:after="0"/>
              <w:ind w:left="0" w:right="0" w:hanging="0"/>
              <w:jc w:val="center"/>
              <w:rPr>
                <w:rFonts w:ascii="Times New Roman;Times;serif" w:hAnsi="Times New Roman;Times;serif"/>
                <w:sz w:val="20"/>
              </w:rPr>
            </w:pPr>
            <w:r>
              <w:rPr>
                <w:rFonts w:ascii="Times New Roman;Times;serif" w:hAnsi="Times New Roman;Times;serif"/>
                <w:sz w:val="20"/>
              </w:rPr>
              <w:t>104</w:t>
            </w:r>
          </w:p>
        </w:tc>
        <w:tc>
          <w:tcPr>
            <w:tcW w:w="326" w:type="dxa"/>
            <w:tcBorders/>
            <w:tcMar>
              <w:bottom w:w="0" w:type="dxa"/>
            </w:tcMar>
            <w:vAlign w:val="center"/>
          </w:tcPr>
          <w:p>
            <w:pPr>
              <w:pStyle w:val="TableContents"/>
              <w:bidi w:val="0"/>
              <w:spacing w:lineRule="auto" w:line="328" w:before="0" w:after="0"/>
              <w:ind w:left="0" w:right="0" w:hanging="0"/>
              <w:jc w:val="left"/>
              <w:rPr/>
            </w:pPr>
            <w:r>
              <w:rPr/>
              <w:t>​</w:t>
            </w:r>
          </w:p>
        </w:tc>
        <w:tc>
          <w:tcPr>
            <w:tcW w:w="9045" w:type="dxa"/>
            <w:tcBorders/>
            <w:tcMar>
              <w:bottom w:w="0"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68"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Incorporated by reference herein to Exhibit 2.1 to the Company’s Current Report on Form 8-K filed August 22, 2023 (File No. 001</w:t>
            </w:r>
            <w:r>
              <w:rPr>
                <w:caps w:val="false"/>
                <w:smallCaps w:val="false"/>
              </w:rPr>
              <w:noBreakHyphen/>
            </w:r>
            <w:r>
              <w:rPr>
                <w:rFonts w:ascii="Times New Roman;Times;serif" w:hAnsi="Times New Roman;Times;serif"/>
                <w:b w:val="false"/>
                <w:i w:val="false"/>
                <w:caps w:val="false"/>
                <w:smallCaps w:val="false"/>
                <w:sz w:val="20"/>
              </w:rPr>
              <w:t>33261)</w:t>
            </w:r>
          </w:p>
        </w:tc>
      </w:tr>
    </w:tbl>
    <w:tbl>
      <w:tblPr>
        <w:tblW w:w="10205" w:type="dxa"/>
        <w:jc w:val="left"/>
        <w:tblInd w:w="0" w:type="dxa"/>
        <w:tblLayout w:type="fixed"/>
        <w:tblCellMar>
          <w:top w:w="0" w:type="dxa"/>
          <w:left w:w="0" w:type="dxa"/>
          <w:bottom w:w="0" w:type="dxa"/>
          <w:right w:w="0" w:type="dxa"/>
        </w:tblCellMar>
      </w:tblPr>
      <w:tblGrid>
        <w:gridCol w:w="336"/>
        <w:gridCol w:w="9869"/>
      </w:tblGrid>
      <w:tr>
        <w:trPr/>
        <w:tc>
          <w:tcPr>
            <w:tcW w:w="3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69"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Incorporated by reference herein to Exhibit 3.1 to the Company’s Quarterly Report on Form 10</w:t>
            </w:r>
            <w:r>
              <w:rPr>
                <w:caps w:val="false"/>
                <w:smallCaps w:val="false"/>
              </w:rPr>
              <w:noBreakHyphen/>
            </w:r>
            <w:r>
              <w:rPr>
                <w:rFonts w:ascii="Times New Roman;Times;serif" w:hAnsi="Times New Roman;Times;serif"/>
                <w:b w:val="false"/>
                <w:i w:val="false"/>
                <w:caps w:val="false"/>
                <w:smallCaps w:val="false"/>
                <w:sz w:val="20"/>
              </w:rPr>
              <w:t>Q filed March 9, 2007 (File No. 001</w:t>
            </w:r>
            <w:r>
              <w:rPr>
                <w:caps w:val="false"/>
                <w:smallCaps w:val="false"/>
              </w:rPr>
              <w:noBreakHyphen/>
            </w:r>
            <w:r>
              <w:rPr>
                <w:rFonts w:ascii="Times New Roman;Times;serif" w:hAnsi="Times New Roman;Times;serif"/>
                <w:b w:val="false"/>
                <w:i w:val="false"/>
                <w:caps w:val="false"/>
                <w:smallCaps w:val="false"/>
                <w:sz w:val="20"/>
              </w:rPr>
              <w:t>33261).</w:t>
            </w:r>
          </w:p>
        </w:tc>
      </w:tr>
    </w:tbl>
    <w:tbl>
      <w:tblPr>
        <w:tblW w:w="10205" w:type="dxa"/>
        <w:jc w:val="left"/>
        <w:tblInd w:w="0" w:type="dxa"/>
        <w:tblLayout w:type="fixed"/>
        <w:tblCellMar>
          <w:top w:w="0" w:type="dxa"/>
          <w:left w:w="0" w:type="dxa"/>
          <w:bottom w:w="0" w:type="dxa"/>
          <w:right w:w="0" w:type="dxa"/>
        </w:tblCellMar>
      </w:tblPr>
      <w:tblGrid>
        <w:gridCol w:w="335"/>
        <w:gridCol w:w="9870"/>
      </w:tblGrid>
      <w:tr>
        <w:trPr/>
        <w:tc>
          <w:tcPr>
            <w:tcW w:w="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7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Incorporated by reference herein to Exhibit 3.1 to the Company’s Quarterly Report on Form 10</w:t>
            </w:r>
            <w:r>
              <w:rPr>
                <w:caps w:val="false"/>
                <w:smallCaps w:val="false"/>
              </w:rPr>
              <w:noBreakHyphen/>
            </w:r>
            <w:r>
              <w:rPr>
                <w:rFonts w:ascii="Times New Roman;Times;serif" w:hAnsi="Times New Roman;Times;serif"/>
                <w:b w:val="false"/>
                <w:i w:val="false"/>
                <w:caps w:val="false"/>
                <w:smallCaps w:val="false"/>
                <w:sz w:val="20"/>
              </w:rPr>
              <w:t>Q filed December 7, 2022 (File No. 001</w:t>
            </w:r>
            <w:r>
              <w:rPr>
                <w:caps w:val="false"/>
                <w:smallCaps w:val="false"/>
              </w:rPr>
              <w:noBreakHyphen/>
            </w:r>
            <w:r>
              <w:rPr>
                <w:rFonts w:ascii="Times New Roman;Times;serif" w:hAnsi="Times New Roman;Times;serif"/>
                <w:b w:val="false"/>
                <w:i w:val="false"/>
                <w:caps w:val="false"/>
                <w:smallCaps w:val="false"/>
                <w:sz w:val="20"/>
              </w:rPr>
              <w:t>33261).</w:t>
            </w:r>
          </w:p>
        </w:tc>
      </w:tr>
    </w:tbl>
    <w:p>
      <w:pPr>
        <w:pStyle w:val="TextBody"/>
        <w:bidi w:val="0"/>
        <w:spacing w:before="0" w:after="0"/>
        <w:ind w:left="720" w:right="0" w:hanging="0"/>
        <w:jc w:val="left"/>
        <w:rPr/>
      </w:pPr>
      <w:r>
        <w:rPr/>
        <w:t>​</w:t>
      </w:r>
    </w:p>
    <w:p>
      <w:pPr>
        <w:pStyle w:val="TextBody"/>
        <w:pBdr/>
        <w:bidi w:val="0"/>
        <w:spacing w:before="0" w:after="0"/>
        <w:ind w:left="0" w:right="0" w:hanging="360"/>
        <w:jc w:val="left"/>
        <w:rPr>
          <w:rFonts w:ascii="Times New Roman;Times;serif" w:hAnsi="Times New Roman;Times;serif"/>
          <w:sz w:val="20"/>
        </w:rPr>
      </w:pPr>
      <w:r>
        <w:rPr>
          <w:rFonts w:ascii="Times New Roman;Times;serif" w:hAnsi="Times New Roman;Times;serif"/>
          <w:sz w:val="20"/>
        </w:rPr>
        <w:t>#     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2079" w:name="SIGNATURES_030848"/>
      <w:bookmarkStart w:id="2080" w:name="_00b1fc73_7e45_4590_83df_fcf85d592073"/>
      <w:bookmarkEnd w:id="2079"/>
      <w:bookmarkEnd w:id="2080"/>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378" w:type="dxa"/>
        <w:jc w:val="left"/>
        <w:tblInd w:w="0" w:type="dxa"/>
        <w:tblLayout w:type="fixed"/>
        <w:tblCellMar>
          <w:top w:w="0" w:type="dxa"/>
          <w:left w:w="0" w:type="dxa"/>
          <w:bottom w:w="0" w:type="dxa"/>
          <w:right w:w="0" w:type="dxa"/>
        </w:tblCellMar>
      </w:tblPr>
      <w:tblGrid>
        <w:gridCol w:w="1831"/>
        <w:gridCol w:w="406"/>
        <w:gridCol w:w="4141"/>
      </w:tblGrid>
      <w:tr>
        <w:trPr/>
        <w:tc>
          <w:tcPr>
            <w:tcW w:w="183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0"/>
              <w:ind w:left="0" w:right="0" w:hanging="0"/>
              <w:jc w:val="left"/>
              <w:rPr/>
            </w:pPr>
            <w:r>
              <w:rPr/>
              <w:t>​</w:t>
            </w:r>
          </w:p>
        </w:tc>
        <w:tc>
          <w:tcPr>
            <w:tcW w:w="4141" w:type="dxa"/>
            <w:tcBorders/>
            <w:vAlign w:val="center"/>
          </w:tcPr>
          <w:p>
            <w:pPr>
              <w:pStyle w:val="TableContents"/>
              <w:bidi w:val="0"/>
              <w:spacing w:before="0" w:after="283"/>
              <w:ind w:left="0" w:right="0" w:hanging="0"/>
              <w:jc w:val="left"/>
              <w:rPr>
                <w:sz w:val="4"/>
                <w:szCs w:val="4"/>
              </w:rPr>
            </w:pPr>
            <w:r>
              <w:rPr>
                <w:sz w:val="4"/>
                <w:szCs w:val="4"/>
              </w:rPr>
            </w:r>
          </w:p>
        </w:tc>
      </w:tr>
      <w:tr>
        <w:trPr/>
        <w:tc>
          <w:tcPr>
            <w:tcW w:w="183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Date:  March 4, 2024</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AEROVIRONMENT, INC.</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pPr>
            <w:r>
              <w:rPr/>
              <w:t>​</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1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pPr>
            <w:r>
              <w:rPr/>
              <w:t>​</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Kevin P. McDonnell</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Kevin P. McDonnell</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Financial Officer)</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pPr>
            <w:r>
              <w:rPr/>
              <w:t>​</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/s/ Brian C. Shackley</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top w:val="single" w:sz="2" w:space="0" w:color="000000"/>
            </w:tcBorders>
            <w:tcMar>
              <w:top w:w="28" w:type="dxa"/>
            </w:tcMar>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Brian C. Shackley</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Vice President and Chief Accounting Officer</w:t>
            </w:r>
          </w:p>
        </w:tc>
      </w:tr>
      <w:tr>
        <w:trPr/>
        <w:tc>
          <w:tcPr>
            <w:tcW w:w="1831" w:type="dxa"/>
            <w:tcBorders/>
            <w:vAlign w:val="center"/>
          </w:tcPr>
          <w:p>
            <w:pPr>
              <w:pStyle w:val="TableContents"/>
              <w:bidi w:val="0"/>
              <w:spacing w:lineRule="auto" w:line="328" w:before="0" w:after="0"/>
              <w:ind w:left="0" w:right="0" w:hanging="0"/>
              <w:jc w:val="left"/>
              <w:rPr/>
            </w:pPr>
            <w:r>
              <w:rPr/>
              <w:t>​</w:t>
            </w:r>
          </w:p>
        </w:tc>
        <w:tc>
          <w:tcPr>
            <w:tcW w:w="406" w:type="dxa"/>
            <w:tcBorders/>
            <w:vAlign w:val="center"/>
          </w:tcPr>
          <w:p>
            <w:pPr>
              <w:pStyle w:val="TableContents"/>
              <w:bidi w:val="0"/>
              <w:spacing w:lineRule="auto" w:line="328" w:before="0" w:after="0"/>
              <w:ind w:left="0" w:right="0" w:hanging="0"/>
              <w:jc w:val="left"/>
              <w:rPr/>
            </w:pPr>
            <w:r>
              <w:rPr/>
              <w:t>​</w:t>
            </w:r>
          </w:p>
        </w:tc>
        <w:tc>
          <w:tcPr>
            <w:tcW w:w="4141" w:type="dxa"/>
            <w:tcBorders/>
            <w:vAlign w:val="center"/>
          </w:tcPr>
          <w:p>
            <w:pPr>
              <w:pStyle w:val="TableContents"/>
              <w:bidi w:val="0"/>
              <w:spacing w:lineRule="auto" w:line="328" w:before="0" w:after="0"/>
              <w:ind w:left="0" w:right="0" w:hanging="0"/>
              <w:jc w:val="left"/>
              <w:rPr>
                <w:rFonts w:ascii="Times New Roman;Times;serif" w:hAnsi="Times New Roman;Times;serif"/>
                <w:sz w:val="20"/>
              </w:rPr>
            </w:pPr>
            <w:r>
              <w:rPr>
                <w:rFonts w:ascii="Times New Roman;Times;serif" w:hAnsi="Times New Roman;Times;serif"/>
                <w:sz w:val="20"/>
              </w:rPr>
              <w:t>(Principal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0"/>
        <w:ind w:left="0" w:right="0" w:hanging="0"/>
        <w:jc w:val="right"/>
        <w:rPr>
          <w:rFonts w:ascii="Times New Roman;Times;serif" w:hAnsi="Times New Roman;Times;serif"/>
          <w:b/>
          <w:sz w:val="20"/>
        </w:rPr>
      </w:pPr>
      <w:bookmarkStart w:id="2081" w:name="avav-20240127xex31d1.htm"/>
      <w:bookmarkStart w:id="2082" w:name="ksavav20240127xex31d1"/>
      <w:bookmarkEnd w:id="2081"/>
      <w:bookmarkEnd w:id="2082"/>
      <w:r>
        <w:rPr>
          <w:rFonts w:ascii="Times New Roman;Times;serif" w:hAnsi="Times New Roman;Times;serif"/>
          <w:b/>
          <w:sz w:val="20"/>
        </w:rPr>
        <w:t>Exhibit 31.1</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 Wahid Nawabi, certify that:</w:t>
      </w:r>
    </w:p>
    <w:p>
      <w:pPr>
        <w:pStyle w:val="TextBody"/>
        <w:bidi w:val="0"/>
        <w:spacing w:lineRule="auto" w:line="285" w:before="0" w:after="0"/>
        <w:ind w:left="0" w:right="0" w:hanging="0"/>
        <w:jc w:val="left"/>
        <w:rPr/>
      </w:pPr>
      <w:r>
        <w:rPr/>
        <w:t>​</w:t>
      </w:r>
    </w:p>
    <w:tbl>
      <w:tblPr>
        <w:tblW w:w="6250" w:type="dxa"/>
        <w:jc w:val="left"/>
        <w:tblInd w:w="0" w:type="dxa"/>
        <w:tblLayout w:type="fixed"/>
        <w:tblCellMar>
          <w:top w:w="0" w:type="dxa"/>
          <w:left w:w="0" w:type="dxa"/>
          <w:bottom w:w="0" w:type="dxa"/>
          <w:right w:w="0" w:type="dxa"/>
        </w:tblCellMar>
      </w:tblPr>
      <w:tblGrid>
        <w:gridCol w:w="170"/>
        <w:gridCol w:w="6080"/>
      </w:tblGrid>
      <w:tr>
        <w:trPr/>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AeroVironment,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5882" w:type="dxa"/>
        <w:jc w:val="center"/>
        <w:tblInd w:w="0" w:type="dxa"/>
        <w:tblLayout w:type="fixed"/>
        <w:tblCellMar>
          <w:top w:w="0" w:type="dxa"/>
          <w:left w:w="0" w:type="dxa"/>
          <w:bottom w:w="0" w:type="dxa"/>
          <w:right w:w="0" w:type="dxa"/>
        </w:tblCellMar>
      </w:tblPr>
      <w:tblGrid>
        <w:gridCol w:w="1786"/>
        <w:gridCol w:w="4096"/>
      </w:tblGrid>
      <w:tr>
        <w:trPr/>
        <w:tc>
          <w:tcPr>
            <w:tcW w:w="1786"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March 4, 2024</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0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0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083" w:name="avav-20240127xex31d2.htm"/>
      <w:bookmarkStart w:id="2084" w:name="ksavav20240127xex31d2"/>
      <w:bookmarkEnd w:id="2083"/>
      <w:bookmarkEnd w:id="2084"/>
      <w:r>
        <w:rPr>
          <w:rFonts w:ascii="Times New Roman;Times;serif" w:hAnsi="Times New Roman;Times;serif"/>
          <w:b/>
          <w:sz w:val="20"/>
        </w:rPr>
        <w:t>Exhibit 31.2</w:t>
      </w:r>
      <w:r>
        <w:br w:type="page"/>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Rule 13a-14(a)/15d-14(a)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I, Kevin P. McDonnell, certify that:</w:t>
      </w:r>
    </w:p>
    <w:p>
      <w:pPr>
        <w:pStyle w:val="TextBody"/>
        <w:bidi w:val="0"/>
        <w:spacing w:lineRule="auto" w:line="285" w:before="0" w:after="0"/>
        <w:ind w:left="0" w:right="0" w:hanging="0"/>
        <w:jc w:val="left"/>
        <w:rPr/>
      </w:pPr>
      <w:r>
        <w:rPr/>
        <w:t>​</w:t>
      </w:r>
    </w:p>
    <w:tbl>
      <w:tblPr>
        <w:tblW w:w="6273" w:type="dxa"/>
        <w:jc w:val="left"/>
        <w:tblInd w:w="0" w:type="dxa"/>
        <w:tblLayout w:type="fixed"/>
        <w:tblCellMar>
          <w:top w:w="0" w:type="dxa"/>
          <w:left w:w="0" w:type="dxa"/>
          <w:bottom w:w="0" w:type="dxa"/>
          <w:right w:w="0" w:type="dxa"/>
        </w:tblCellMar>
      </w:tblPr>
      <w:tblGrid>
        <w:gridCol w:w="23"/>
        <w:gridCol w:w="170"/>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1.</w:t>
            </w:r>
          </w:p>
        </w:tc>
        <w:tc>
          <w:tcPr>
            <w:tcW w:w="608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AeroVironment, Inc.;</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29"/>
        <w:gridCol w:w="10053"/>
      </w:tblGrid>
      <w:tr>
        <w:trPr/>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53"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5"/>
        <w:gridCol w:w="10047"/>
      </w:tblGrid>
      <w:tr>
        <w:trPr/>
        <w:tc>
          <w:tcPr>
            <w:tcW w:w="23"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c)</w:t>
            </w:r>
          </w:p>
        </w:tc>
        <w:tc>
          <w:tcPr>
            <w:tcW w:w="1004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37"/>
        <w:gridCol w:w="10045"/>
      </w:tblGrid>
      <w:tr>
        <w:trPr/>
        <w:tc>
          <w:tcPr>
            <w:tcW w:w="2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w:t>
            </w:r>
          </w:p>
        </w:tc>
        <w:tc>
          <w:tcPr>
            <w:tcW w:w="1004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67"/>
        <w:gridCol w:w="10015"/>
      </w:tblGrid>
      <w:tr>
        <w:trPr/>
        <w:tc>
          <w:tcPr>
            <w:tcW w:w="2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b)</w:t>
            </w:r>
          </w:p>
        </w:tc>
        <w:tc>
          <w:tcPr>
            <w:tcW w:w="10015"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285" w:before="0" w:after="0"/>
        <w:ind w:left="0" w:right="0" w:hanging="0"/>
        <w:jc w:val="left"/>
        <w:rPr/>
      </w:pPr>
      <w:r>
        <w:rPr/>
        <w:t>​</w:t>
      </w:r>
    </w:p>
    <w:tbl>
      <w:tblPr>
        <w:tblW w:w="5927" w:type="dxa"/>
        <w:jc w:val="left"/>
        <w:tblInd w:w="0" w:type="dxa"/>
        <w:tblLayout w:type="fixed"/>
        <w:tblCellMar>
          <w:top w:w="0" w:type="dxa"/>
          <w:left w:w="0" w:type="dxa"/>
          <w:bottom w:w="0" w:type="dxa"/>
          <w:right w:w="0" w:type="dxa"/>
        </w:tblCellMar>
      </w:tblPr>
      <w:tblGrid>
        <w:gridCol w:w="1786"/>
        <w:gridCol w:w="4141"/>
      </w:tblGrid>
      <w:tr>
        <w:trPr/>
        <w:tc>
          <w:tcPr>
            <w:tcW w:w="1786"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March 4, 2024</w:t>
            </w:r>
          </w:p>
        </w:tc>
        <w:tc>
          <w:tcPr>
            <w:tcW w:w="414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/s/ Kevin P. McDonnell </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Kevin P. McDonnell</w:t>
            </w:r>
          </w:p>
        </w:tc>
      </w:tr>
      <w:tr>
        <w:trPr/>
        <w:tc>
          <w:tcPr>
            <w:tcW w:w="1786"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bl>
    <w:p>
      <w:pPr>
        <w:pStyle w:val="TextBody"/>
        <w:bidi w:val="0"/>
        <w:spacing w:lineRule="auto" w:line="285"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2085" w:name="avav-20240127xex32.htm"/>
      <w:bookmarkStart w:id="2086" w:name="ksavav20240127xex32"/>
      <w:bookmarkEnd w:id="2085"/>
      <w:bookmarkEnd w:id="2086"/>
      <w:r>
        <w:rPr>
          <w:rFonts w:ascii="Times New Roman;Times;serif" w:hAnsi="Times New Roman;Times;serif"/>
          <w:b/>
          <w:sz w:val="20"/>
        </w:rPr>
        <w:t>Exhibit 32</w:t>
      </w:r>
      <w:r>
        <w:br w:type="page"/>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(Subsections (a) and (b) of Section 1350, Chapter 63 of Title 18, United States Code)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The Quarterly Report on Form 10-Q for the quarter ended January 27, 2024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pStyle w:val="TextBody"/>
        <w:bidi w:val="0"/>
        <w:spacing w:lineRule="auto" w:line="285" w:before="0" w:after="0"/>
        <w:ind w:left="0" w:right="0" w:hanging="0"/>
        <w:jc w:val="left"/>
        <w:rPr/>
      </w:pPr>
      <w:r>
        <w:rPr/>
        <w:t>​</w:t>
      </w:r>
    </w:p>
    <w:tbl>
      <w:tblPr>
        <w:tblW w:w="6032" w:type="dxa"/>
        <w:jc w:val="left"/>
        <w:tblInd w:w="0" w:type="dxa"/>
        <w:tblLayout w:type="fixed"/>
        <w:tblCellMar>
          <w:top w:w="0" w:type="dxa"/>
          <w:left w:w="0" w:type="dxa"/>
          <w:bottom w:w="0" w:type="dxa"/>
          <w:right w:w="0" w:type="dxa"/>
        </w:tblCellMar>
      </w:tblPr>
      <w:tblGrid>
        <w:gridCol w:w="1891"/>
        <w:gridCol w:w="4141"/>
      </w:tblGrid>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Wahid Nawabi</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Wahid Nawabi</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Chairman, President and Chief Executive Officer</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Kevin P. McDonnell</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Kevin P. McDonnell</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Senior Vice President and Chief Financial Officer</w:t>
            </w:r>
          </w:p>
        </w:tc>
      </w:tr>
      <w:tr>
        <w:trPr/>
        <w:tc>
          <w:tcPr>
            <w:tcW w:w="1891" w:type="dxa"/>
            <w:tcBorders/>
            <w:vAlign w:val="center"/>
          </w:tcPr>
          <w:p>
            <w:pPr>
              <w:pStyle w:val="TableContents"/>
              <w:bidi w:val="0"/>
              <w:spacing w:lineRule="auto" w:line="285" w:before="0" w:after="0"/>
              <w:ind w:left="0" w:right="0" w:hanging="0"/>
              <w:jc w:val="left"/>
              <w:rPr/>
            </w:pPr>
            <w:r>
              <w:rPr/>
              <w:t>​</w:t>
            </w:r>
          </w:p>
        </w:tc>
        <w:tc>
          <w:tcPr>
            <w:tcW w:w="4141" w:type="dxa"/>
            <w:tcBorders/>
            <w:vAlign w:val="center"/>
          </w:tcPr>
          <w:p>
            <w:pPr>
              <w:pStyle w:val="TableContents"/>
              <w:bidi w:val="0"/>
              <w:spacing w:lineRule="auto" w:line="285" w:before="0" w:after="0"/>
              <w:ind w:left="0" w:right="0" w:hanging="0"/>
              <w:jc w:val="left"/>
              <w:rPr/>
            </w:pPr>
            <w:r>
              <w:rPr/>
              <w:t>​</w:t>
            </w:r>
          </w:p>
        </w:tc>
      </w:tr>
      <w:tr>
        <w:trPr/>
        <w:tc>
          <w:tcPr>
            <w:tcW w:w="189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Dated: March 4, 2024</w:t>
            </w:r>
          </w:p>
        </w:tc>
        <w:tc>
          <w:tcPr>
            <w:tcW w:w="414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540"/>
        <w:jc w:val="left"/>
        <w:rPr>
          <w:rFonts w:ascii="Times New Roman;Times;serif" w:hAnsi="Times New Roman;Times;serif"/>
          <w:sz w:val="20"/>
        </w:rPr>
      </w:pPr>
      <w:r>
        <w:rPr>
          <w:rFonts w:ascii="Times New Roman;Times;serif" w:hAnsi="Times New Roman;Times;serif"/>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68622/000110465923094121/tm2324229d1_ex2-1.htm" TargetMode="External"/><Relationship Id="rId3" Type="http://schemas.openxmlformats.org/officeDocument/2006/relationships/hyperlink" Target="https://www.sec.gov/Archives/edgar/data/1368622/000095015007000008/a28119exv3w1.htm" TargetMode="External"/><Relationship Id="rId4" Type="http://schemas.openxmlformats.org/officeDocument/2006/relationships/hyperlink" Target="https://www.sec.gov/Archives/edgar/data/1368622/000155837022018418/avav-20221029xex3d2.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26600</Words>
  <Characters>147695</Characters>
  <CharactersWithSpaces>176895</CharactersWithSpaces>
  <Paragraphs>8382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