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4" w:lineRule="exact"/>
        <w:rPr>
          <w:sz w:val="24"/>
          <w:szCs w:val="24"/>
          <w:color w:val="auto"/>
        </w:rPr>
      </w:pPr>
    </w:p>
    <w:p>
      <w:pPr>
        <w:ind w:left="1360" w:hanging="765"/>
        <w:spacing w:after="0"/>
        <w:tabs>
          <w:tab w:leader="none" w:pos="1360"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jc w:val="center"/>
        <w:spacing w:after="0" w:line="215" w:lineRule="auto"/>
        <w:rPr>
          <w:sz w:val="20"/>
          <w:szCs w:val="20"/>
          <w:color w:val="auto"/>
        </w:rPr>
      </w:pPr>
      <w:r>
        <w:rPr>
          <w:rFonts w:ascii="Arial" w:cs="Arial" w:eastAsia="Arial" w:hAnsi="Arial"/>
          <w:sz w:val="13"/>
          <w:szCs w:val="13"/>
          <w:b w:val="1"/>
          <w:bCs w:val="1"/>
          <w:color w:val="auto"/>
        </w:rPr>
        <w:t>For the fiscal year ended April 30, 2022</w:t>
      </w:r>
    </w:p>
    <w:p>
      <w:pPr>
        <w:ind w:left="1360" w:hanging="765"/>
        <w:spacing w:after="0" w:line="216" w:lineRule="auto"/>
        <w:tabs>
          <w:tab w:leader="none" w:pos="1360"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64"/>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ind w:left="320"/>
              <w:spacing w:after="0"/>
              <w:rPr>
                <w:sz w:val="20"/>
                <w:szCs w:val="20"/>
                <w:color w:val="auto"/>
              </w:rPr>
            </w:pPr>
            <w:r>
              <w:rPr>
                <w:rFonts w:ascii="Arial" w:cs="Arial" w:eastAsia="Arial" w:hAnsi="Arial"/>
                <w:sz w:val="13"/>
                <w:szCs w:val="13"/>
                <w:b w:val="1"/>
                <w:bCs w:val="1"/>
                <w:color w:val="auto"/>
              </w:rPr>
              <w:t>For the transition period from</w:t>
            </w:r>
          </w:p>
        </w:tc>
        <w:tc>
          <w:tcPr>
            <w:tcW w:w="4480" w:type="dxa"/>
            <w:vAlign w:val="bottom"/>
          </w:tcPr>
          <w:p>
            <w:pPr>
              <w:ind w:left="140"/>
              <w:spacing w:after="0"/>
              <w:rPr>
                <w:sz w:val="20"/>
                <w:szCs w:val="20"/>
                <w:color w:val="auto"/>
              </w:rPr>
            </w:pPr>
            <w:r>
              <w:rPr>
                <w:rFonts w:ascii="Arial" w:cs="Arial" w:eastAsia="Arial" w:hAnsi="Arial"/>
                <w:sz w:val="13"/>
                <w:szCs w:val="13"/>
                <w:b w:val="1"/>
                <w:bCs w:val="1"/>
                <w:color w:val="auto"/>
              </w:rPr>
              <w:t>to</w:t>
            </w:r>
          </w:p>
        </w:tc>
      </w:tr>
      <w:tr>
        <w:trPr>
          <w:trHeight w:val="258"/>
        </w:trPr>
        <w:tc>
          <w:tcPr>
            <w:tcW w:w="2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2"/>
          </w:tcPr>
          <w:p>
            <w:pPr>
              <w:jc w:val="center"/>
              <w:ind w:right="3458"/>
              <w:spacing w:after="0"/>
              <w:rPr>
                <w:sz w:val="20"/>
                <w:szCs w:val="20"/>
                <w:color w:val="auto"/>
              </w:rPr>
            </w:pPr>
            <w:r>
              <w:rPr>
                <w:rFonts w:ascii="Arial" w:cs="Arial" w:eastAsia="Arial" w:hAnsi="Arial"/>
                <w:sz w:val="18"/>
                <w:szCs w:val="18"/>
                <w:b w:val="1"/>
                <w:bCs w:val="1"/>
                <w:color w:val="auto"/>
                <w:w w:val="90"/>
              </w:rPr>
              <w:t>Commission file number 001-33261</w:t>
            </w:r>
          </w:p>
        </w:tc>
      </w:tr>
      <w:tr>
        <w:trPr>
          <w:trHeight w:val="350"/>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2"/>
          </w:tcPr>
          <w:p>
            <w:pPr>
              <w:jc w:val="center"/>
              <w:ind w:right="3458"/>
              <w:spacing w:after="0"/>
              <w:rPr>
                <w:sz w:val="20"/>
                <w:szCs w:val="20"/>
                <w:color w:val="auto"/>
              </w:rPr>
            </w:pPr>
            <w:r>
              <w:rPr>
                <w:rFonts w:ascii="Arial" w:cs="Arial" w:eastAsia="Arial" w:hAnsi="Arial"/>
                <w:sz w:val="25"/>
                <w:szCs w:val="25"/>
                <w:b w:val="1"/>
                <w:bCs w:val="1"/>
                <w:color w:val="auto"/>
              </w:rPr>
              <w:t>AEROVIRONMENT, INC.</w:t>
            </w:r>
          </w:p>
        </w:tc>
      </w:tr>
      <w:tr>
        <w:trPr>
          <w:trHeight w:val="230"/>
        </w:trPr>
        <w:tc>
          <w:tcPr>
            <w:tcW w:w="2880" w:type="dxa"/>
            <w:vAlign w:val="bottom"/>
          </w:tcPr>
          <w:p>
            <w:pPr>
              <w:spacing w:after="0"/>
              <w:rPr>
                <w:sz w:val="20"/>
                <w:szCs w:val="20"/>
                <w:color w:val="auto"/>
              </w:rPr>
            </w:pPr>
          </w:p>
        </w:tc>
        <w:tc>
          <w:tcPr>
            <w:tcW w:w="7340" w:type="dxa"/>
            <w:vAlign w:val="bottom"/>
            <w:gridSpan w:val="4"/>
          </w:tcPr>
          <w:p>
            <w:pPr>
              <w:jc w:val="center"/>
              <w:ind w:right="2838"/>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15"/>
        </w:trPr>
        <w:tc>
          <w:tcPr>
            <w:tcW w:w="2880" w:type="dxa"/>
            <w:vAlign w:val="bottom"/>
          </w:tcPr>
          <w:p>
            <w:pPr>
              <w:jc w:val="center"/>
              <w:ind w:left="2158"/>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jc w:val="right"/>
              <w:ind w:right="2198"/>
              <w:spacing w:after="0"/>
              <w:rPr>
                <w:sz w:val="20"/>
                <w:szCs w:val="20"/>
                <w:color w:val="auto"/>
              </w:rPr>
            </w:pPr>
            <w:r>
              <w:rPr>
                <w:rFonts w:ascii="Arial" w:cs="Arial" w:eastAsia="Arial" w:hAnsi="Arial"/>
                <w:sz w:val="13"/>
                <w:szCs w:val="13"/>
                <w:b w:val="1"/>
                <w:bCs w:val="1"/>
                <w:color w:val="auto"/>
              </w:rPr>
              <w:t>95-2705790</w:t>
            </w:r>
          </w:p>
        </w:tc>
      </w:tr>
      <w:tr>
        <w:trPr>
          <w:trHeight w:val="131"/>
        </w:trPr>
        <w:tc>
          <w:tcPr>
            <w:tcW w:w="5740" w:type="dxa"/>
            <w:vAlign w:val="bottom"/>
            <w:gridSpan w:val="4"/>
          </w:tcPr>
          <w:p>
            <w:pPr>
              <w:jc w:val="center"/>
              <w:ind w:right="561"/>
              <w:spacing w:after="0" w:line="131" w:lineRule="exact"/>
              <w:rPr>
                <w:sz w:val="20"/>
                <w:szCs w:val="20"/>
                <w:color w:val="auto"/>
              </w:rPr>
            </w:pPr>
            <w:r>
              <w:rPr>
                <w:rFonts w:ascii="Arial" w:cs="Arial" w:eastAsia="Arial" w:hAnsi="Arial"/>
                <w:sz w:val="13"/>
                <w:szCs w:val="13"/>
                <w:color w:val="auto"/>
                <w:w w:val="90"/>
              </w:rPr>
              <w:t>(State or other jurisdiction of incorporation or organization)</w:t>
            </w:r>
          </w:p>
        </w:tc>
        <w:tc>
          <w:tcPr>
            <w:tcW w:w="4480" w:type="dxa"/>
            <w:vAlign w:val="bottom"/>
          </w:tcPr>
          <w:p>
            <w:pPr>
              <w:jc w:val="center"/>
              <w:ind w:right="578"/>
              <w:spacing w:after="0" w:line="131" w:lineRule="exact"/>
              <w:rPr>
                <w:sz w:val="20"/>
                <w:szCs w:val="20"/>
                <w:color w:val="auto"/>
              </w:rPr>
            </w:pPr>
            <w:r>
              <w:rPr>
                <w:rFonts w:ascii="Arial" w:cs="Arial" w:eastAsia="Arial" w:hAnsi="Arial"/>
                <w:sz w:val="13"/>
                <w:szCs w:val="13"/>
                <w:color w:val="auto"/>
                <w:w w:val="91"/>
              </w:rPr>
              <w:t>(I.R.S. Employer Identification No.)</w:t>
            </w:r>
          </w:p>
        </w:tc>
      </w:tr>
      <w:tr>
        <w:trPr>
          <w:trHeight w:val="135"/>
        </w:trPr>
        <w:tc>
          <w:tcPr>
            <w:tcW w:w="5740" w:type="dxa"/>
            <w:vAlign w:val="bottom"/>
            <w:gridSpan w:val="4"/>
          </w:tcPr>
          <w:p>
            <w:pPr>
              <w:jc w:val="center"/>
              <w:ind w:right="561"/>
              <w:spacing w:after="0" w:line="135" w:lineRule="exact"/>
              <w:rPr>
                <w:sz w:val="20"/>
                <w:szCs w:val="20"/>
                <w:color w:val="auto"/>
              </w:rPr>
            </w:pPr>
            <w:r>
              <w:rPr>
                <w:rFonts w:ascii="Arial" w:cs="Arial" w:eastAsia="Arial" w:hAnsi="Arial"/>
                <w:sz w:val="13"/>
                <w:szCs w:val="13"/>
                <w:b w:val="1"/>
                <w:bCs w:val="1"/>
                <w:color w:val="auto"/>
                <w:w w:val="86"/>
              </w:rPr>
              <w:t>241 18th Street South, Suite 415</w:t>
            </w:r>
          </w:p>
        </w:tc>
        <w:tc>
          <w:tcPr>
            <w:tcW w:w="4480" w:type="dxa"/>
            <w:vAlign w:val="bottom"/>
          </w:tcPr>
          <w:p>
            <w:pPr>
              <w:spacing w:after="0"/>
              <w:rPr>
                <w:sz w:val="11"/>
                <w:szCs w:val="11"/>
                <w:color w:val="auto"/>
              </w:rPr>
            </w:pPr>
          </w:p>
        </w:tc>
      </w:tr>
      <w:tr>
        <w:trPr>
          <w:trHeight w:val="139"/>
        </w:trPr>
        <w:tc>
          <w:tcPr>
            <w:tcW w:w="5740" w:type="dxa"/>
            <w:vAlign w:val="bottom"/>
            <w:gridSpan w:val="4"/>
          </w:tcPr>
          <w:p>
            <w:pPr>
              <w:jc w:val="center"/>
              <w:ind w:right="561"/>
              <w:spacing w:after="0" w:line="139" w:lineRule="exact"/>
              <w:rPr>
                <w:sz w:val="20"/>
                <w:szCs w:val="20"/>
                <w:color w:val="auto"/>
              </w:rPr>
            </w:pPr>
            <w:r>
              <w:rPr>
                <w:rFonts w:ascii="Arial" w:cs="Arial" w:eastAsia="Arial" w:hAnsi="Arial"/>
                <w:sz w:val="13"/>
                <w:szCs w:val="13"/>
                <w:b w:val="1"/>
                <w:bCs w:val="1"/>
                <w:color w:val="auto"/>
                <w:w w:val="89"/>
              </w:rPr>
              <w:t>Arlington, VA</w:t>
            </w:r>
          </w:p>
        </w:tc>
        <w:tc>
          <w:tcPr>
            <w:tcW w:w="4480" w:type="dxa"/>
            <w:vAlign w:val="bottom"/>
          </w:tcPr>
          <w:p>
            <w:pPr>
              <w:jc w:val="right"/>
              <w:ind w:right="2338"/>
              <w:spacing w:after="0" w:line="139" w:lineRule="exact"/>
              <w:rPr>
                <w:sz w:val="20"/>
                <w:szCs w:val="20"/>
                <w:color w:val="auto"/>
              </w:rPr>
            </w:pPr>
            <w:r>
              <w:rPr>
                <w:rFonts w:ascii="Arial" w:cs="Arial" w:eastAsia="Arial" w:hAnsi="Arial"/>
                <w:sz w:val="13"/>
                <w:szCs w:val="13"/>
                <w:b w:val="1"/>
                <w:bCs w:val="1"/>
                <w:color w:val="auto"/>
              </w:rPr>
              <w:t>22202</w:t>
            </w:r>
          </w:p>
        </w:tc>
      </w:tr>
      <w:tr>
        <w:trPr>
          <w:trHeight w:val="131"/>
        </w:trPr>
        <w:tc>
          <w:tcPr>
            <w:tcW w:w="5740" w:type="dxa"/>
            <w:vAlign w:val="bottom"/>
            <w:gridSpan w:val="4"/>
          </w:tcPr>
          <w:p>
            <w:pPr>
              <w:jc w:val="center"/>
              <w:ind w:right="561"/>
              <w:spacing w:after="0" w:line="131" w:lineRule="exact"/>
              <w:rPr>
                <w:sz w:val="20"/>
                <w:szCs w:val="20"/>
                <w:color w:val="auto"/>
              </w:rPr>
            </w:pPr>
            <w:r>
              <w:rPr>
                <w:rFonts w:ascii="Arial" w:cs="Arial" w:eastAsia="Arial" w:hAnsi="Arial"/>
                <w:sz w:val="13"/>
                <w:szCs w:val="13"/>
                <w:color w:val="auto"/>
                <w:w w:val="90"/>
              </w:rPr>
              <w:t>(Address of Principal Executive Offices)</w:t>
            </w:r>
          </w:p>
        </w:tc>
        <w:tc>
          <w:tcPr>
            <w:tcW w:w="4480" w:type="dxa"/>
            <w:vAlign w:val="bottom"/>
          </w:tcPr>
          <w:p>
            <w:pPr>
              <w:jc w:val="center"/>
              <w:ind w:right="578"/>
              <w:spacing w:after="0" w:line="131" w:lineRule="exact"/>
              <w:rPr>
                <w:sz w:val="20"/>
                <w:szCs w:val="20"/>
                <w:color w:val="auto"/>
              </w:rPr>
            </w:pPr>
            <w:r>
              <w:rPr>
                <w:rFonts w:ascii="Arial" w:cs="Arial" w:eastAsia="Arial" w:hAnsi="Arial"/>
                <w:sz w:val="13"/>
                <w:szCs w:val="13"/>
                <w:color w:val="auto"/>
                <w:w w:val="91"/>
              </w:rPr>
              <w:t>(Zip Code)</w:t>
            </w:r>
          </w:p>
        </w:tc>
      </w:tr>
      <w:tr>
        <w:trPr>
          <w:trHeight w:val="164"/>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60" w:type="dxa"/>
            <w:vAlign w:val="bottom"/>
            <w:gridSpan w:val="3"/>
          </w:tcPr>
          <w:p>
            <w:pPr>
              <w:jc w:val="center"/>
              <w:ind w:right="3318"/>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(805) 520-8350</w:t>
            </w:r>
          </w:p>
        </w:tc>
      </w:tr>
      <w:tr>
        <w:trPr>
          <w:trHeight w:val="286"/>
        </w:trPr>
        <w:tc>
          <w:tcPr>
            <w:tcW w:w="2880" w:type="dxa"/>
            <w:vAlign w:val="bottom"/>
          </w:tcPr>
          <w:p>
            <w:pPr>
              <w:spacing w:after="0"/>
              <w:rPr>
                <w:sz w:val="24"/>
                <w:szCs w:val="24"/>
                <w:color w:val="auto"/>
              </w:rPr>
            </w:pPr>
          </w:p>
        </w:tc>
        <w:tc>
          <w:tcPr>
            <w:tcW w:w="7340" w:type="dxa"/>
            <w:vAlign w:val="bottom"/>
            <w:gridSpan w:val="4"/>
          </w:tcPr>
          <w:p>
            <w:pPr>
              <w:jc w:val="center"/>
              <w:ind w:right="283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03"/>
        </w:trPr>
        <w:tc>
          <w:tcPr>
            <w:tcW w:w="2880" w:type="dxa"/>
            <w:vAlign w:val="bottom"/>
            <w:tcBorders>
              <w:bottom w:val="single" w:sz="8" w:color="auto"/>
            </w:tcBorders>
          </w:tcPr>
          <w:p>
            <w:pPr>
              <w:jc w:val="center"/>
              <w:ind w:left="418"/>
              <w:spacing w:after="0"/>
              <w:rPr>
                <w:sz w:val="20"/>
                <w:szCs w:val="20"/>
                <w:color w:val="auto"/>
              </w:rPr>
            </w:pPr>
            <w:r>
              <w:rPr>
                <w:rFonts w:ascii="Arial" w:cs="Arial" w:eastAsia="Arial" w:hAnsi="Arial"/>
                <w:sz w:val="11"/>
                <w:szCs w:val="11"/>
                <w:b w:val="1"/>
                <w:bCs w:val="1"/>
                <w:color w:val="auto"/>
                <w:w w:val="87"/>
              </w:rPr>
              <w:t>Title of Class</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jc w:val="center"/>
              <w:ind w:left="1021"/>
              <w:spacing w:after="0"/>
              <w:rPr>
                <w:sz w:val="20"/>
                <w:szCs w:val="20"/>
                <w:color w:val="auto"/>
              </w:rPr>
            </w:pPr>
            <w:r>
              <w:rPr>
                <w:rFonts w:ascii="Arial" w:cs="Arial" w:eastAsia="Arial" w:hAnsi="Arial"/>
                <w:sz w:val="11"/>
                <w:szCs w:val="11"/>
                <w:b w:val="1"/>
                <w:bCs w:val="1"/>
                <w:color w:val="auto"/>
                <w:w w:val="89"/>
              </w:rPr>
              <w:t>Trading Symbol(s)</w:t>
            </w:r>
          </w:p>
        </w:tc>
        <w:tc>
          <w:tcPr>
            <w:tcW w:w="4480" w:type="dxa"/>
            <w:vAlign w:val="bottom"/>
            <w:tcBorders>
              <w:bottom w:val="single" w:sz="8" w:color="auto"/>
            </w:tcBorders>
          </w:tcPr>
          <w:p>
            <w:pPr>
              <w:jc w:val="center"/>
              <w:ind w:left="1058"/>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44"/>
        </w:trPr>
        <w:tc>
          <w:tcPr>
            <w:tcW w:w="2880" w:type="dxa"/>
            <w:vAlign w:val="bottom"/>
          </w:tcPr>
          <w:p>
            <w:pPr>
              <w:jc w:val="center"/>
              <w:ind w:left="398"/>
              <w:spacing w:after="0" w:line="144" w:lineRule="exact"/>
              <w:rPr>
                <w:sz w:val="20"/>
                <w:szCs w:val="20"/>
                <w:color w:val="auto"/>
              </w:rPr>
            </w:pPr>
            <w:r>
              <w:rPr>
                <w:rFonts w:ascii="Arial" w:cs="Arial" w:eastAsia="Arial" w:hAnsi="Arial"/>
                <w:sz w:val="13"/>
                <w:szCs w:val="13"/>
                <w:b w:val="1"/>
                <w:bCs w:val="1"/>
                <w:color w:val="auto"/>
                <w:w w:val="87"/>
              </w:rPr>
              <w:t>Common Stock, par value $0.0001 per share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ind w:left="1021"/>
              <w:spacing w:after="0" w:line="144" w:lineRule="exact"/>
              <w:rPr>
                <w:sz w:val="20"/>
                <w:szCs w:val="20"/>
                <w:color w:val="auto"/>
              </w:rPr>
            </w:pPr>
            <w:r>
              <w:rPr>
                <w:rFonts w:ascii="Arial" w:cs="Arial" w:eastAsia="Arial" w:hAnsi="Arial"/>
                <w:sz w:val="13"/>
                <w:szCs w:val="13"/>
                <w:b w:val="1"/>
                <w:bCs w:val="1"/>
                <w:color w:val="auto"/>
                <w:w w:val="82"/>
              </w:rPr>
              <w:t>AVAV</w:t>
            </w:r>
          </w:p>
        </w:tc>
        <w:tc>
          <w:tcPr>
            <w:tcW w:w="4480" w:type="dxa"/>
            <w:vAlign w:val="bottom"/>
          </w:tcPr>
          <w:p>
            <w:pPr>
              <w:jc w:val="center"/>
              <w:ind w:left="1038"/>
              <w:spacing w:after="0" w:line="144" w:lineRule="exact"/>
              <w:rPr>
                <w:sz w:val="20"/>
                <w:szCs w:val="20"/>
                <w:color w:val="auto"/>
              </w:rPr>
            </w:pPr>
            <w:r>
              <w:rPr>
                <w:rFonts w:ascii="Arial" w:cs="Arial" w:eastAsia="Arial" w:hAnsi="Arial"/>
                <w:sz w:val="13"/>
                <w:szCs w:val="13"/>
                <w:b w:val="1"/>
                <w:bCs w:val="1"/>
                <w:color w:val="auto"/>
                <w:w w:val="92"/>
              </w:rPr>
              <w:t>The NASDAQ Stock Market LLC</w:t>
            </w: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48" w:lineRule="exact"/>
        <w:rPr>
          <w:sz w:val="24"/>
          <w:szCs w:val="24"/>
          <w:color w:val="auto"/>
        </w:rPr>
      </w:pPr>
    </w:p>
    <w:p>
      <w:pPr>
        <w:ind w:left="640" w:right="60"/>
        <w:spacing w:after="0" w:line="2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3" w:lineRule="exact"/>
        <w:rPr>
          <w:sz w:val="24"/>
          <w:szCs w:val="24"/>
          <w:color w:val="auto"/>
        </w:rPr>
      </w:pPr>
    </w:p>
    <w:p>
      <w:pPr>
        <w:ind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3" w:lineRule="exact"/>
        <w:rPr>
          <w:sz w:val="24"/>
          <w:szCs w:val="24"/>
          <w:color w:val="auto"/>
        </w:rPr>
      </w:pPr>
    </w:p>
    <w:p>
      <w:pPr>
        <w:ind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ind w:right="28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6" w:lineRule="exact"/>
        <w:rPr>
          <w:sz w:val="24"/>
          <w:szCs w:val="24"/>
          <w:color w:val="auto"/>
        </w:rPr>
      </w:pPr>
    </w:p>
    <w:p>
      <w:pPr>
        <w:ind w:left="6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24"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211"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sectPr>
          <w:pgSz w:w="11900" w:h="16838" w:orient="portrait"/>
          <w:cols w:equalWidth="0" w:num="3">
            <w:col w:w="3160" w:space="720"/>
            <w:col w:w="2520" w:space="720"/>
            <w:col w:w="3100"/>
          </w:cols>
          <w:pgMar w:left="840" w:top="665" w:right="839" w:bottom="1440" w:gutter="0" w:footer="0" w:header="0"/>
          <w:type w:val="continuous"/>
        </w:sectPr>
      </w:pPr>
    </w:p>
    <w:p>
      <w:pPr>
        <w:spacing w:after="0" w:line="3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26" w:lineRule="exact"/>
        <w:rPr>
          <w:sz w:val="24"/>
          <w:szCs w:val="24"/>
          <w:color w:val="auto"/>
        </w:rPr>
      </w:pPr>
    </w:p>
    <w:p>
      <w:pPr>
        <w:sectPr>
          <w:pgSz w:w="11900" w:h="16838" w:orient="portrait"/>
          <w:cols w:equalWidth="0" w:num="3">
            <w:col w:w="2160" w:space="140"/>
            <w:col w:w="860" w:space="720"/>
            <w:col w:w="6340"/>
          </w:cols>
          <w:pgMar w:left="840" w:top="665" w:right="839" w:bottom="1440" w:gutter="0" w:footer="0" w:header="0"/>
          <w:type w:val="continuous"/>
        </w:sectPr>
      </w:pPr>
    </w:p>
    <w:p>
      <w:pPr>
        <w:spacing w:after="0" w:line="91" w:lineRule="exact"/>
        <w:rPr>
          <w:sz w:val="24"/>
          <w:szCs w:val="24"/>
          <w:color w:val="auto"/>
        </w:rPr>
      </w:pPr>
    </w:p>
    <w:p>
      <w:pPr>
        <w:ind w:right="340" w:firstLine="648"/>
        <w:spacing w:after="0" w:line="23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8" w:lineRule="exact"/>
        <w:rPr>
          <w:sz w:val="24"/>
          <w:szCs w:val="24"/>
          <w:color w:val="auto"/>
        </w:rPr>
      </w:pPr>
    </w:p>
    <w:p>
      <w:pPr>
        <w:ind w:right="4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3" w:lineRule="exact"/>
        <w:rPr>
          <w:sz w:val="24"/>
          <w:szCs w:val="24"/>
          <w:color w:val="auto"/>
        </w:rPr>
      </w:pPr>
    </w:p>
    <w:p>
      <w:pPr>
        <w:ind w:left="64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5"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on the NASDAQ Global Select Market on October 31, 2021 was approximately $2,188.8 million.</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As of June 22, 2022, the issuer had 24,946,880 shares of common stock, par value $0.0001 per share, issued and outstanding.</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1" w:lineRule="exact"/>
        <w:rPr>
          <w:sz w:val="24"/>
          <w:szCs w:val="24"/>
          <w:color w:val="auto"/>
        </w:rPr>
      </w:pPr>
    </w:p>
    <w:p>
      <w:pPr>
        <w:ind w:right="60" w:firstLine="648"/>
        <w:spacing w:after="0" w:line="263" w:lineRule="auto"/>
        <w:rPr>
          <w:sz w:val="20"/>
          <w:szCs w:val="20"/>
          <w:color w:val="auto"/>
        </w:rPr>
      </w:pPr>
      <w:r>
        <w:rPr>
          <w:rFonts w:ascii="Arial" w:cs="Arial" w:eastAsia="Arial" w:hAnsi="Arial"/>
          <w:sz w:val="18"/>
          <w:szCs w:val="18"/>
          <w:color w:val="auto"/>
        </w:rPr>
        <w:t>Portions of the registrant’s definitive proxy statement to be filed with the Securities and Exchange Commission pursuant to Regulation 14A not later than 120 days after the conclusion of the registrant’s fiscal year ended April 30,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442595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65405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48260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rPr>
              <w:t>AEROVIRONMENT,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60" w:type="dxa"/>
            <w:vAlign w:val="bottom"/>
            <w:gridSpan w:val="11"/>
          </w:tcPr>
          <w:p>
            <w:pPr>
              <w:jc w:val="center"/>
              <w:ind w:right="2640"/>
              <w:spacing w:after="0"/>
              <w:rPr>
                <w:sz w:val="20"/>
                <w:szCs w:val="20"/>
                <w:color w:val="auto"/>
              </w:rPr>
            </w:pPr>
            <w:r>
              <w:rPr>
                <w:rFonts w:ascii="Arial" w:cs="Arial" w:eastAsia="Arial" w:hAnsi="Arial"/>
                <w:sz w:val="18"/>
                <w:szCs w:val="18"/>
                <w:b w:val="1"/>
                <w:bCs w:val="1"/>
                <w:color w:val="auto"/>
              </w:rPr>
              <w:t>INDEX TO FORM 10-K</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gridSpan w:val="2"/>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2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gridSpan w:val="2"/>
            <w:vMerge w:val="continue"/>
          </w:tcPr>
          <w:p>
            <w:pPr>
              <w:spacing w:after="0"/>
              <w:rPr>
                <w:sz w:val="13"/>
                <w:szCs w:val="13"/>
                <w:color w:val="auto"/>
              </w:rPr>
            </w:pPr>
          </w:p>
        </w:tc>
        <w:tc>
          <w:tcPr>
            <w:tcW w:w="62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700" w:type="dxa"/>
            <w:vAlign w:val="bottom"/>
            <w:gridSpan w:val="6"/>
          </w:tcPr>
          <w:p>
            <w:pPr>
              <w:spacing w:after="0"/>
              <w:rPr>
                <w:sz w:val="18"/>
                <w:szCs w:val="18"/>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460" w:type="dxa"/>
            <w:vAlign w:val="bottom"/>
            <w:gridSpan w:val="21"/>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25">
              <w:r>
                <w:rPr>
                  <w:rFonts w:ascii="Arial" w:cs="Arial" w:eastAsia="Arial" w:hAnsi="Arial"/>
                  <w:sz w:val="18"/>
                  <w:szCs w:val="18"/>
                  <w:color w:val="0000EE"/>
                  <w:w w:val="83"/>
                </w:rPr>
                <w:t>Item 1A.</w:t>
              </w:r>
            </w:hyperlink>
          </w:p>
        </w:tc>
        <w:tc>
          <w:tcPr>
            <w:tcW w:w="600" w:type="dxa"/>
            <w:vAlign w:val="bottom"/>
            <w:gridSpan w:val="4"/>
          </w:tcPr>
          <w:p>
            <w:pPr>
              <w:spacing w:after="0"/>
              <w:rPr>
                <w:sz w:val="17"/>
                <w:szCs w:val="17"/>
                <w:color w:val="auto"/>
              </w:rPr>
            </w:pPr>
          </w:p>
        </w:tc>
        <w:tc>
          <w:tcPr>
            <w:tcW w:w="710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57">
              <w:r>
                <w:rPr>
                  <w:rFonts w:ascii="Arial" w:cs="Arial" w:eastAsia="Arial" w:hAnsi="Arial"/>
                  <w:sz w:val="18"/>
                  <w:szCs w:val="18"/>
                  <w:color w:val="0000EE"/>
                  <w:w w:val="83"/>
                </w:rPr>
                <w:t>Item 1B.</w:t>
              </w:r>
            </w:hyperlink>
          </w:p>
        </w:tc>
        <w:tc>
          <w:tcPr>
            <w:tcW w:w="600" w:type="dxa"/>
            <w:vAlign w:val="bottom"/>
            <w:gridSpan w:val="4"/>
          </w:tcPr>
          <w:p>
            <w:pPr>
              <w:spacing w:after="0"/>
              <w:rPr>
                <w:sz w:val="17"/>
                <w:szCs w:val="17"/>
                <w:color w:val="auto"/>
              </w:rPr>
            </w:pPr>
          </w:p>
        </w:tc>
        <w:tc>
          <w:tcPr>
            <w:tcW w:w="710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Unresolved Staff Comments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83"/>
              </w:rPr>
            </w:pPr>
            <w:hyperlink w:anchor="page57">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17"/>
                <w:szCs w:val="17"/>
                <w:color w:val="auto"/>
              </w:rPr>
            </w:pPr>
          </w:p>
        </w:tc>
        <w:tc>
          <w:tcPr>
            <w:tcW w:w="600" w:type="dxa"/>
            <w:vAlign w:val="bottom"/>
            <w:gridSpan w:val="4"/>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Properties</w:t>
              </w:r>
            </w:hyperlink>
          </w:p>
        </w:tc>
        <w:tc>
          <w:tcPr>
            <w:tcW w:w="506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57">
              <w:r>
                <w:rPr>
                  <w:rFonts w:ascii="Arial" w:cs="Arial" w:eastAsia="Arial" w:hAnsi="Arial"/>
                  <w:sz w:val="18"/>
                  <w:szCs w:val="18"/>
                  <w:color w:val="0000EE"/>
                  <w:w w:val="83"/>
                </w:rPr>
                <w:t>Item 3.</w:t>
              </w:r>
            </w:hyperlink>
          </w:p>
        </w:tc>
        <w:tc>
          <w:tcPr>
            <w:tcW w:w="700" w:type="dxa"/>
            <w:vAlign w:val="bottom"/>
            <w:gridSpan w:val="6"/>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Legal Proceedings</w:t>
              </w:r>
            </w:hyperlink>
          </w:p>
        </w:tc>
        <w:tc>
          <w:tcPr>
            <w:tcW w:w="576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4.</w:t>
              </w:r>
            </w:hyperlink>
          </w:p>
        </w:tc>
        <w:tc>
          <w:tcPr>
            <w:tcW w:w="710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PART II</w:t>
              </w:r>
            </w:hyperlink>
          </w:p>
        </w:tc>
        <w:tc>
          <w:tcPr>
            <w:tcW w:w="5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7100" w:type="dxa"/>
            <w:vAlign w:val="bottom"/>
            <w:gridSpan w:val="22"/>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Market for Registrant’s Common Equity, Related Stockholder Matters and Issuer Purchases</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of Equity Securities</w:t>
              </w:r>
            </w:hyperlink>
          </w:p>
        </w:tc>
        <w:tc>
          <w:tcPr>
            <w:tcW w:w="5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60">
              <w:r>
                <w:rPr>
                  <w:rFonts w:ascii="Arial" w:cs="Arial" w:eastAsia="Arial" w:hAnsi="Arial"/>
                  <w:sz w:val="18"/>
                  <w:szCs w:val="18"/>
                  <w:color w:val="0000EE"/>
                  <w:w w:val="83"/>
                </w:rPr>
                <w:t>Item 6.</w:t>
              </w:r>
            </w:hyperlink>
          </w:p>
        </w:tc>
        <w:tc>
          <w:tcPr>
            <w:tcW w:w="700" w:type="dxa"/>
            <w:vAlign w:val="bottom"/>
            <w:gridSpan w:val="6"/>
          </w:tcPr>
          <w:p>
            <w:pPr>
              <w:spacing w:after="0"/>
              <w:rPr>
                <w:sz w:val="17"/>
                <w:szCs w:val="17"/>
                <w:color w:val="auto"/>
              </w:rPr>
            </w:pPr>
          </w:p>
        </w:tc>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Reserved</w:t>
              </w:r>
            </w:hyperlink>
          </w:p>
        </w:tc>
        <w:tc>
          <w:tcPr>
            <w:tcW w:w="568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60">
              <w:r>
                <w:rPr>
                  <w:rFonts w:ascii="Arial" w:cs="Arial" w:eastAsia="Arial" w:hAnsi="Arial"/>
                  <w:sz w:val="18"/>
                  <w:szCs w:val="18"/>
                  <w:color w:val="0000EE"/>
                  <w:w w:val="83"/>
                </w:rPr>
                <w:t>Item 7.</w:t>
              </w:r>
            </w:hyperlink>
          </w:p>
        </w:tc>
        <w:tc>
          <w:tcPr>
            <w:tcW w:w="700" w:type="dxa"/>
            <w:vAlign w:val="bottom"/>
            <w:gridSpan w:val="6"/>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Management’s Discussion and Analysis of Financial Condition and Results of Operations</w:t>
              </w:r>
            </w:hyperlink>
          </w:p>
        </w:tc>
        <w:tc>
          <w:tcPr>
            <w:tcW w:w="64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73">
              <w:r>
                <w:rPr>
                  <w:rFonts w:ascii="Arial" w:cs="Arial" w:eastAsia="Arial" w:hAnsi="Arial"/>
                  <w:sz w:val="18"/>
                  <w:szCs w:val="18"/>
                  <w:color w:val="0000EE"/>
                  <w:w w:val="83"/>
                </w:rPr>
                <w:t>Item 7A.</w:t>
              </w:r>
            </w:hyperlink>
          </w:p>
        </w:tc>
        <w:tc>
          <w:tcPr>
            <w:tcW w:w="600" w:type="dxa"/>
            <w:vAlign w:val="bottom"/>
            <w:gridSpan w:val="4"/>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Quantitative and Qualitative Disclosures About Market Risk</w:t>
              </w:r>
            </w:hyperlink>
          </w:p>
        </w:tc>
        <w:tc>
          <w:tcPr>
            <w:tcW w:w="27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74">
              <w:r>
                <w:rPr>
                  <w:rFonts w:ascii="Arial" w:cs="Arial" w:eastAsia="Arial" w:hAnsi="Arial"/>
                  <w:sz w:val="18"/>
                  <w:szCs w:val="18"/>
                  <w:color w:val="0000EE"/>
                  <w:w w:val="83"/>
                </w:rPr>
                <w:t>Item 8.</w:t>
              </w:r>
            </w:hyperlink>
          </w:p>
        </w:tc>
        <w:tc>
          <w:tcPr>
            <w:tcW w:w="700" w:type="dxa"/>
            <w:vAlign w:val="bottom"/>
            <w:gridSpan w:val="6"/>
          </w:tcPr>
          <w:p>
            <w:pPr>
              <w:spacing w:after="0"/>
              <w:rPr>
                <w:sz w:val="17"/>
                <w:szCs w:val="17"/>
                <w:color w:val="auto"/>
              </w:rPr>
            </w:pPr>
          </w:p>
        </w:tc>
        <w:tc>
          <w:tcPr>
            <w:tcW w:w="710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29">
              <w:r>
                <w:rPr>
                  <w:rFonts w:ascii="Arial" w:cs="Arial" w:eastAsia="Arial" w:hAnsi="Arial"/>
                  <w:sz w:val="18"/>
                  <w:szCs w:val="18"/>
                  <w:color w:val="0000EE"/>
                  <w:w w:val="83"/>
                </w:rPr>
                <w:t>Item 9.</w:t>
              </w:r>
            </w:hyperlink>
          </w:p>
        </w:tc>
        <w:tc>
          <w:tcPr>
            <w:tcW w:w="700" w:type="dxa"/>
            <w:vAlign w:val="bottom"/>
            <w:gridSpan w:val="6"/>
          </w:tcPr>
          <w:p>
            <w:pPr>
              <w:spacing w:after="0"/>
              <w:rPr>
                <w:sz w:val="17"/>
                <w:szCs w:val="17"/>
                <w:color w:val="auto"/>
              </w:rPr>
            </w:pP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Changes in and Disagreements with Accountants on Accounting and Financial Disclosure</w:t>
              </w:r>
            </w:hyperlink>
          </w:p>
        </w:tc>
        <w:tc>
          <w:tcPr>
            <w:tcW w:w="6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129">
              <w:r>
                <w:rPr>
                  <w:rFonts w:ascii="Arial" w:cs="Arial" w:eastAsia="Arial" w:hAnsi="Arial"/>
                  <w:sz w:val="18"/>
                  <w:szCs w:val="18"/>
                  <w:color w:val="0000EE"/>
                  <w:w w:val="83"/>
                </w:rPr>
                <w:t>Item 9A.</w:t>
              </w:r>
            </w:hyperlink>
          </w:p>
        </w:tc>
        <w:tc>
          <w:tcPr>
            <w:tcW w:w="600" w:type="dxa"/>
            <w:vAlign w:val="bottom"/>
            <w:gridSpan w:val="4"/>
          </w:tcPr>
          <w:p>
            <w:pPr>
              <w:spacing w:after="0"/>
              <w:rPr>
                <w:sz w:val="17"/>
                <w:szCs w:val="17"/>
                <w:color w:val="auto"/>
              </w:rPr>
            </w:pPr>
          </w:p>
        </w:tc>
        <w:tc>
          <w:tcPr>
            <w:tcW w:w="7100" w:type="dxa"/>
            <w:vAlign w:val="bottom"/>
            <w:gridSpan w:val="2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131">
              <w:r>
                <w:rPr>
                  <w:rFonts w:ascii="Arial" w:cs="Arial" w:eastAsia="Arial" w:hAnsi="Arial"/>
                  <w:sz w:val="18"/>
                  <w:szCs w:val="18"/>
                  <w:color w:val="0000EE"/>
                  <w:w w:val="83"/>
                </w:rPr>
                <w:t>Item 9B.</w:t>
              </w:r>
            </w:hyperlink>
          </w:p>
        </w:tc>
        <w:tc>
          <w:tcPr>
            <w:tcW w:w="600" w:type="dxa"/>
            <w:vAlign w:val="bottom"/>
            <w:gridSpan w:val="4"/>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Other Information</w:t>
              </w:r>
            </w:hyperlink>
          </w:p>
        </w:tc>
        <w:tc>
          <w:tcPr>
            <w:tcW w:w="534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PART III</w:t>
              </w:r>
            </w:hyperlink>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Item 10.</w:t>
              </w:r>
            </w:hyperlink>
          </w:p>
        </w:tc>
        <w:tc>
          <w:tcPr>
            <w:tcW w:w="600" w:type="dxa"/>
            <w:vAlign w:val="bottom"/>
            <w:gridSpan w:val="4"/>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Directors, Executive Officers and Corporate Governance</w:t>
              </w:r>
            </w:hyperlink>
          </w:p>
        </w:tc>
        <w:tc>
          <w:tcPr>
            <w:tcW w:w="300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Item 11.</w:t>
              </w:r>
            </w:hyperlink>
          </w:p>
        </w:tc>
        <w:tc>
          <w:tcPr>
            <w:tcW w:w="7100" w:type="dxa"/>
            <w:vAlign w:val="bottom"/>
            <w:gridSpan w:val="22"/>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Executive Compensation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Item 12.</w:t>
              </w:r>
            </w:hyperlink>
          </w:p>
        </w:tc>
        <w:tc>
          <w:tcPr>
            <w:tcW w:w="600" w:type="dxa"/>
            <w:vAlign w:val="bottom"/>
            <w:gridSpan w:val="4"/>
          </w:tcPr>
          <w:p>
            <w:pPr>
              <w:spacing w:after="0"/>
              <w:rPr>
                <w:sz w:val="17"/>
                <w:szCs w:val="17"/>
                <w:color w:val="auto"/>
              </w:rPr>
            </w:pPr>
          </w:p>
        </w:tc>
        <w:tc>
          <w:tcPr>
            <w:tcW w:w="5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Security Ownership of Certain Beneficial Owners and Management and Related</w:t>
              </w:r>
            </w:hyperlink>
          </w:p>
        </w:tc>
        <w:tc>
          <w:tcPr>
            <w:tcW w:w="13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00" w:type="dxa"/>
            <w:vAlign w:val="bottom"/>
            <w:gridSpan w:val="22"/>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Stockholder Matters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Item 13.</w:t>
              </w:r>
            </w:hyperlink>
          </w:p>
        </w:tc>
        <w:tc>
          <w:tcPr>
            <w:tcW w:w="600" w:type="dxa"/>
            <w:vAlign w:val="bottom"/>
            <w:gridSpan w:val="4"/>
          </w:tcPr>
          <w:p>
            <w:pPr>
              <w:spacing w:after="0"/>
              <w:rPr>
                <w:sz w:val="17"/>
                <w:szCs w:val="17"/>
                <w:color w:val="auto"/>
              </w:rPr>
            </w:pPr>
          </w:p>
        </w:tc>
        <w:tc>
          <w:tcPr>
            <w:tcW w:w="7100" w:type="dxa"/>
            <w:vAlign w:val="bottom"/>
            <w:gridSpan w:val="22"/>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Certain Relationships and Related Transactions, and Director Independence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Item 14.</w:t>
              </w:r>
            </w:hyperlink>
          </w:p>
        </w:tc>
        <w:tc>
          <w:tcPr>
            <w:tcW w:w="600" w:type="dxa"/>
            <w:vAlign w:val="bottom"/>
            <w:gridSpan w:val="4"/>
          </w:tcPr>
          <w:p>
            <w:pPr>
              <w:spacing w:after="0"/>
              <w:rPr>
                <w:sz w:val="17"/>
                <w:szCs w:val="17"/>
                <w:color w:val="auto"/>
              </w:rPr>
            </w:pP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Accounting Fees and Services</w:t>
              </w:r>
            </w:hyperlink>
          </w:p>
        </w:tc>
        <w:tc>
          <w:tcPr>
            <w:tcW w:w="16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8"/>
              </w:rPr>
            </w:pPr>
            <w:hyperlink w:anchor="page135">
              <w:r>
                <w:rPr>
                  <w:rFonts w:ascii="Arial" w:cs="Arial" w:eastAsia="Arial" w:hAnsi="Arial"/>
                  <w:sz w:val="18"/>
                  <w:szCs w:val="18"/>
                  <w:b w:val="1"/>
                  <w:bCs w:val="1"/>
                  <w:color w:val="0000EE"/>
                  <w:w w:val="98"/>
                </w:rPr>
                <w:t>PART IV</w:t>
              </w:r>
            </w:hyperlink>
          </w:p>
        </w:tc>
        <w:tc>
          <w:tcPr>
            <w:tcW w:w="4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Item 15.</w:t>
              </w:r>
            </w:hyperlink>
          </w:p>
        </w:tc>
        <w:tc>
          <w:tcPr>
            <w:tcW w:w="600" w:type="dxa"/>
            <w:vAlign w:val="bottom"/>
            <w:gridSpan w:val="4"/>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Exhibits, Financial Statement Schedules</w:t>
              </w:r>
            </w:hyperlink>
          </w:p>
        </w:tc>
        <w:tc>
          <w:tcPr>
            <w:tcW w:w="420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including, but not limited to, “may,” “will,” “should,” “could,” “targets,” “projects,” “predicts,” “contemplates,” “anticipates,” “believes,” “estimates,” “expects,” “intends,” “plans,” “forecasts,” “seeks”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168"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unexpected technical and marketing difficulties inherent in major research and product development efforts;</w:t>
      </w:r>
    </w:p>
    <w:p>
      <w:pPr>
        <w:spacing w:after="0" w:line="248" w:lineRule="exact"/>
        <w:rPr>
          <w:rFonts w:ascii="Arial" w:cs="Arial" w:eastAsia="Arial" w:hAnsi="Arial"/>
          <w:sz w:val="16"/>
          <w:szCs w:val="16"/>
          <w:color w:val="auto"/>
        </w:rPr>
      </w:pPr>
    </w:p>
    <w:p>
      <w:pPr>
        <w:ind w:left="1040" w:right="379" w:hanging="315"/>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of U.S. government and allied government funding for defense procurement and research and development programs and the changes in the timing and/or amount of government spending;</w:t>
      </w:r>
    </w:p>
    <w:p>
      <w:pPr>
        <w:spacing w:after="0" w:line="146" w:lineRule="exact"/>
        <w:rPr>
          <w:rFonts w:ascii="Arial" w:cs="Arial" w:eastAsia="Arial" w:hAnsi="Arial"/>
          <w:sz w:val="17"/>
          <w:szCs w:val="17"/>
          <w:color w:val="auto"/>
        </w:rPr>
      </w:pPr>
    </w:p>
    <w:p>
      <w:pPr>
        <w:ind w:left="1040" w:right="2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certain customers, including the U.S. government, allied foreign governments and SoftBank Corp., for a significant portion of our revenues;</w:t>
      </w:r>
    </w:p>
    <w:p>
      <w:pPr>
        <w:spacing w:after="0" w:line="170"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international customers and the results of any audit or investigation of our compliance therewith;</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 market innovator, to create new market opportunities and/or to expand into new markets;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long-term strategy in response to future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skilled employees;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disruptions or threatened disruptions to our relationships with our distributors, suppliers, customers and employees, including shortages in components for our products;</w:t>
      </w:r>
    </w:p>
    <w:p>
      <w:pPr>
        <w:spacing w:after="0" w:line="170"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 and services and our ability to perform under existing contracts and obtain new contracts;</w:t>
      </w:r>
    </w:p>
    <w:p>
      <w:pPr>
        <w:spacing w:after="0" w:line="170" w:lineRule="exact"/>
        <w:rPr>
          <w:rFonts w:ascii="Arial" w:cs="Arial" w:eastAsia="Arial" w:hAnsi="Arial"/>
          <w:sz w:val="18"/>
          <w:szCs w:val="18"/>
          <w:color w:val="auto"/>
        </w:rPr>
      </w:pPr>
    </w:p>
    <w:p>
      <w:pPr>
        <w:ind w:left="1040" w:right="79" w:hanging="315"/>
        <w:spacing w:after="0" w:line="26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 and, in the unmanned aircraft systems segments from lower-cost consumer drone manufacturers who may seek to enhance their systems’ capabilities over time;</w:t>
      </w:r>
    </w:p>
    <w:p>
      <w:pPr>
        <w:spacing w:after="0" w:line="183"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complexities and uncertainty of obtaining and conducting international business, including export compliance and other reporting and compliance requirements;</w:t>
      </w:r>
    </w:p>
    <w:p>
      <w:pPr>
        <w:spacing w:after="0" w:line="170"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potential security and cyber threats or the risk of unauthorized access to our, our customers’ and/or our suppliers’ information and systems;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in the customer adoption rate of commercial use unmanned aircraft systems;</w:t>
      </w:r>
    </w:p>
    <w:p>
      <w:pPr>
        <w:spacing w:after="0" w:line="225" w:lineRule="exact"/>
        <w:rPr>
          <w:rFonts w:ascii="Arial" w:cs="Arial" w:eastAsia="Arial" w:hAnsi="Arial"/>
          <w:sz w:val="18"/>
          <w:szCs w:val="18"/>
          <w:color w:val="auto"/>
        </w:rPr>
      </w:pPr>
    </w:p>
    <w:p>
      <w:pPr>
        <w:ind w:left="1040" w:right="819" w:hanging="315"/>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regulatory environment and the consequences to our financial position, business and reputation that could result from failing to comply with such regulatory requirements;</w:t>
      </w:r>
    </w:p>
    <w:p>
      <w:pPr>
        <w:spacing w:after="0" w:line="123" w:lineRule="exact"/>
        <w:rPr>
          <w:rFonts w:ascii="Arial" w:cs="Arial" w:eastAsia="Arial" w:hAnsi="Arial"/>
          <w:sz w:val="16"/>
          <w:szCs w:val="16"/>
          <w:color w:val="auto"/>
        </w:rPr>
      </w:pPr>
    </w:p>
    <w:p>
      <w:pPr>
        <w:ind w:left="1040" w:right="1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successfully integrate acquired companies into our operations, including the ability to timely and sufficiently integrate international operations into our ongoing business and compliance programs;</w:t>
      </w:r>
    </w:p>
    <w:p>
      <w:pPr>
        <w:spacing w:after="0" w:line="183" w:lineRule="exact"/>
        <w:rPr>
          <w:rFonts w:ascii="Arial" w:cs="Arial" w:eastAsia="Arial" w:hAnsi="Arial"/>
          <w:sz w:val="18"/>
          <w:szCs w:val="18"/>
          <w:color w:val="auto"/>
        </w:rPr>
      </w:pPr>
    </w:p>
    <w:p>
      <w:pPr>
        <w:ind w:left="1040" w:right="239" w:hanging="315"/>
        <w:spacing w:after="0" w:line="25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respond and adapt to unexpected legal, regulatory and government budgetary changes, including those resulting from the ongoing COVID-19 pandemic, such as supply chain disruptions, vaccine mandates, the threat of future variants and resulting governmentally-mandated shutdowns, quarantine policies, travel restrictions and social distancing, curtailment of trade, diversion of government resources to non-defense priorities, and other business restrictions affecting our ability to manufacture and sell our products and provide our services;</w:t>
      </w:r>
    </w:p>
    <w:p>
      <w:pPr>
        <w:spacing w:after="0" w:line="192"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develop new products or integrate new technology into current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in legal proceedings;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the covenants in our loan documents;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and maintain effective internal control over financial reporting; and</w:t>
      </w:r>
    </w:p>
    <w:p>
      <w:pPr>
        <w:spacing w:after="0" w:line="225"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in the United States and elsewhere in the world, including the impact of inflation.</w:t>
      </w:r>
    </w:p>
    <w:p>
      <w:pPr>
        <w:spacing w:after="0" w:line="17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design, develop, produce, deliver and support a technologically-advanced portfolio of intelligent, multi-domain robotic systems and related services for government agencies and businesses. We supply unmanned aircraft systems (“UAS”), tactical missile systems (“TMS”), unmanned ground vehicles (“UGV”) and related services primarily to organizations within the U.S. Department of Defense (“DoD”) and to international allied governments. We derive the majority of our revenue from these business areas, and we believe that the markets for these solutions offer the potential for significant long-term growth. Additionally, we believe that some of the innovative potential products, services and technologies in our research and development pipeline will emerge as new growth platforms in the future, creating additional market opportunities.</w:t>
      </w:r>
    </w:p>
    <w:p>
      <w:pPr>
        <w:spacing w:after="0" w:line="19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success of our current product and service offering stems from our investments in research and development to invent and deliver advanced solutions, utilizing proprietary and commercially available technologies, and in acquiring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through more than 45 years of innovation, include robotics and robotics systems autonomy; sensor design, development, miniaturization and integration; embedded software and firmware; miniature, low power, secure wireless digital communications and networks; lightweight aerostructures; high-altitude systems design, integration and operations; machine vision, machine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learning and autonomy; land, maritime and air deployment of missile and aircraft systems; design and qualification for robotics in extreme terrestrial and space environments; miniature internal combustion engine propulsion design and integration; missile systems warhead integration; low SWaP (Size, Weight and Power) system design and integration; manned-unmanned teaming and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or extreme environments.</w:t>
      </w:r>
    </w:p>
    <w:p>
      <w:pPr>
        <w:spacing w:after="0" w:line="192"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Our business focuses primarily on the design, development, production, marketing, support and operation of innovative UAS, TMS and UGV that provide situational awareness, remote sensing, multi-band communications, force protection and other information and mission effects to increase the safety and effectiveness of our customers’ operations.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As a technology solutions provider, our strategy is to grow our business by delivering innovative, safe and reliable multi-domain solutions that provide customers with valuable capabilities. Delivering these capabilities will enable us to create new markets or market segments, gain share in existing markets and grow as market adoption increases. We believe that by introducing new solutions, or acquiring differentiated solutions developed by others, that provide customers with compelling value, we can grow our business profitably, both in new and existing markets. By providing differentiated solutions we believe we can compete effectively against large, incumbent competitors that may possess advantages in scope, scale, resources and relationships.</w:t>
      </w:r>
    </w:p>
    <w:p>
      <w:pPr>
        <w:spacing w:after="0" w:line="177"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We intend to grow our business by preserving a leadership position in our core UAS, TMS and UGV markets, and by creating or acquiring new solutions and capabilities that enable us to establish leadership positions in new markets. Key components of this strategy include the following:</w:t>
      </w:r>
    </w:p>
    <w:p>
      <w:pPr>
        <w:spacing w:after="0" w:line="184" w:lineRule="exact"/>
        <w:rPr>
          <w:sz w:val="20"/>
          <w:szCs w:val="20"/>
          <w:color w:val="auto"/>
        </w:rPr>
      </w:pPr>
    </w:p>
    <w:p>
      <w:pPr>
        <w:ind w:left="60" w:right="59" w:firstLine="972"/>
        <w:spacing w:after="0" w:line="271" w:lineRule="auto"/>
        <w:rPr>
          <w:sz w:val="20"/>
          <w:szCs w:val="20"/>
          <w:color w:val="auto"/>
        </w:rPr>
      </w:pPr>
      <w:r>
        <w:rPr>
          <w:rFonts w:ascii="Arial" w:cs="Arial" w:eastAsia="Arial" w:hAnsi="Arial"/>
          <w:sz w:val="17"/>
          <w:szCs w:val="17"/>
          <w:b w:val="1"/>
          <w:bCs w:val="1"/>
          <w:i w:val="1"/>
          <w:iCs w:val="1"/>
          <w:color w:val="auto"/>
        </w:rPr>
        <w:t xml:space="preserve">Expand the market penetration of existing products and services. </w:t>
      </w:r>
      <w:r>
        <w:rPr>
          <w:rFonts w:ascii="Arial" w:cs="Arial" w:eastAsia="Arial" w:hAnsi="Arial"/>
          <w:sz w:val="17"/>
          <w:szCs w:val="17"/>
          <w:color w:val="auto"/>
        </w:rPr>
        <w:t>Our small UAS and medium UAS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(“MUAS”), TMS and UGV enjoy leading positions in their respective markets. We intend to increase the penetration of our small UAS and MUAS and UGV products and services within the U.S. military, the military forces of allied nations, other government agencies and non-government organizations, including commercial entities, and to increase the penetration of our TMS within the U.S. military and within the military forces of allied nations. We believe that the broad adoption of our small UAS and MUAS and TMS by the U.S. military will continue to spur demand by allied nations, and that our efforts to pursue new applications are creating opportunities beyond the early adopter military market. Similarly, we expect the adoption of our UGV solutions to expand our presence in the U.S. military market.</w:t>
      </w:r>
    </w:p>
    <w:p>
      <w:pPr>
        <w:spacing w:after="0" w:line="178" w:lineRule="exact"/>
        <w:rPr>
          <w:sz w:val="20"/>
          <w:szCs w:val="20"/>
          <w:color w:val="auto"/>
        </w:rPr>
      </w:pPr>
    </w:p>
    <w:p>
      <w:pPr>
        <w:ind w:left="60" w:right="79" w:firstLine="972"/>
        <w:spacing w:after="0" w:line="269" w:lineRule="auto"/>
        <w:rPr>
          <w:sz w:val="20"/>
          <w:szCs w:val="20"/>
          <w:color w:val="auto"/>
        </w:rPr>
      </w:pPr>
      <w:r>
        <w:rPr>
          <w:rFonts w:ascii="Arial" w:cs="Arial" w:eastAsia="Arial" w:hAnsi="Arial"/>
          <w:sz w:val="17"/>
          <w:szCs w:val="17"/>
          <w:b w:val="1"/>
          <w:bCs w:val="1"/>
          <w:i w:val="1"/>
          <w:iCs w:val="1"/>
          <w:color w:val="auto"/>
        </w:rPr>
        <w:t xml:space="preserve">Deliver innovative new solutions into existing and new markets. </w:t>
      </w:r>
      <w:r>
        <w:rPr>
          <w:rFonts w:ascii="Arial" w:cs="Arial" w:eastAsia="Arial" w:hAnsi="Arial"/>
          <w:sz w:val="17"/>
          <w:szCs w:val="17"/>
          <w:color w:val="auto"/>
        </w:rPr>
        <w:t>Customer-focused innovation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primary driver of our growth. We plan to continue investing in internally-funded research and development projects while expanding our pursuit of customer-funded research and development projects to generate revenue and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partnerships as means by which to further the reach of our innovative solutions through access to new markets, customers and complementary capabilities. We also consider acquisitions as a method to obtain valuable products, capabilities or technologies that can further enable our growth strategy.</w:t>
      </w:r>
    </w:p>
    <w:p>
      <w:pPr>
        <w:spacing w:after="0" w:line="179" w:lineRule="exact"/>
        <w:rPr>
          <w:sz w:val="20"/>
          <w:szCs w:val="20"/>
          <w:color w:val="auto"/>
        </w:rPr>
      </w:pPr>
    </w:p>
    <w:p>
      <w:pPr>
        <w:ind w:left="60" w:right="239" w:firstLine="972"/>
        <w:spacing w:after="0" w:line="301" w:lineRule="auto"/>
        <w:rPr>
          <w:sz w:val="20"/>
          <w:szCs w:val="20"/>
          <w:color w:val="auto"/>
        </w:rPr>
      </w:pPr>
      <w:r>
        <w:rPr>
          <w:rFonts w:ascii="Arial" w:cs="Arial" w:eastAsia="Arial" w:hAnsi="Arial"/>
          <w:sz w:val="16"/>
          <w:szCs w:val="16"/>
          <w:b w:val="1"/>
          <w:bCs w:val="1"/>
          <w:i w:val="1"/>
          <w:iCs w:val="1"/>
          <w:color w:val="auto"/>
        </w:rPr>
        <w:t xml:space="preserve">Foster our entrepreneurial culture and continue to attract, develop and retain highly-skilled personnel. </w:t>
      </w:r>
      <w:r>
        <w:rPr>
          <w:rFonts w:ascii="Arial" w:cs="Arial" w:eastAsia="Arial" w:hAnsi="Arial"/>
          <w:sz w:val="16"/>
          <w:szCs w:val="16"/>
          <w:color w:val="auto"/>
        </w:rPr>
        <w:t>Our company culture encourages innovation and entrepreneurialism, which helps to attract and retain highly-skilled professionals. We intend to preserve this culture to encourage the development of the innovative, highly technical system solutions and business models that give us our competitive advantage. Our values of “customer commitment,”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“trust and teamwork,” “innovate and simplify,” and “ownership and results” serve as the foundation of our culture. We believe that our values help to guide the behavior of our team members and serve to maintain a positive work environment that inspires loyalty among our personnel and customers. We also believe that our values facilitate the integration of new team members who join us as a result of acquisitions.</w:t>
      </w:r>
    </w:p>
    <w:p>
      <w:pPr>
        <w:spacing w:after="0" w:line="187" w:lineRule="exact"/>
        <w:rPr>
          <w:sz w:val="20"/>
          <w:szCs w:val="20"/>
          <w:color w:val="auto"/>
        </w:rPr>
      </w:pPr>
    </w:p>
    <w:p>
      <w:pPr>
        <w:ind w:left="60" w:right="99" w:firstLine="972"/>
        <w:spacing w:after="0" w:line="257" w:lineRule="auto"/>
        <w:rPr>
          <w:sz w:val="20"/>
          <w:szCs w:val="20"/>
          <w:color w:val="auto"/>
        </w:rPr>
      </w:pPr>
      <w:r>
        <w:rPr>
          <w:rFonts w:ascii="Arial" w:cs="Arial" w:eastAsia="Arial" w:hAnsi="Arial"/>
          <w:sz w:val="18"/>
          <w:szCs w:val="18"/>
          <w:b w:val="1"/>
          <w:bCs w:val="1"/>
          <w:i w:val="1"/>
          <w:iCs w:val="1"/>
          <w:color w:val="auto"/>
        </w:rPr>
        <w:t xml:space="preserve">Preserve our agility and flexibility. </w:t>
      </w:r>
      <w:r>
        <w:rPr>
          <w:rFonts w:ascii="Arial" w:cs="Arial" w:eastAsia="Arial" w:hAnsi="Arial"/>
          <w:sz w:val="18"/>
          <w:szCs w:val="18"/>
          <w:color w:val="auto"/>
        </w:rPr>
        <w:t>We respond rapidly to evolving markets, solve complicated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problems, and strive to deliver new products, services and 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188" w:lineRule="exact"/>
        <w:rPr>
          <w:sz w:val="20"/>
          <w:szCs w:val="20"/>
          <w:color w:val="auto"/>
        </w:rPr>
      </w:pPr>
    </w:p>
    <w:p>
      <w:pPr>
        <w:ind w:left="60" w:right="139" w:firstLine="972"/>
        <w:spacing w:after="0" w:line="271" w:lineRule="auto"/>
        <w:rPr>
          <w:sz w:val="20"/>
          <w:szCs w:val="20"/>
          <w:color w:val="auto"/>
        </w:rPr>
      </w:pPr>
      <w:r>
        <w:rPr>
          <w:rFonts w:ascii="Arial" w:cs="Arial" w:eastAsia="Arial" w:hAnsi="Arial"/>
          <w:sz w:val="17"/>
          <w:szCs w:val="17"/>
          <w:b w:val="1"/>
          <w:bCs w:val="1"/>
          <w:i w:val="1"/>
          <w:iCs w:val="1"/>
          <w:color w:val="auto"/>
        </w:rPr>
        <w:t xml:space="preserve">Effectively manage our growth portfolio for long-term value creation. </w:t>
      </w:r>
      <w:r>
        <w:rPr>
          <w:rFonts w:ascii="Arial" w:cs="Arial" w:eastAsia="Arial" w:hAnsi="Arial"/>
          <w:sz w:val="17"/>
          <w:szCs w:val="17"/>
          <w:color w:val="auto"/>
        </w:rPr>
        <w:t>Our production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and services present numerous investment opportunities that we believe will deliver long-term growth by providing our customers with valuable new capabilities. We evaluate each opportunity independently, as well as within the context of other investment opportunities, to determine its relative cost, timing and potential for generation of returns, and thereby its priority. This process helps us to make informed decisions regarding potential growth capital requirements and supports our allocation of resources based on relative risks and returns to maximize long-term value creation, which is the key objective of our growth strategy. We also review our portfolio on a regular basis to determine if and when to narrow our focus on the highest potential growth opportunities.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We sell the majority of our UAS and services to organizations within the U.S. DoD, including the U.S. Army, Marine Corps, Special Operations Command, Air Force and Navy, and to allied governments. We sell our TMS and services to organizations within the U.S. DoD and allied military forces. We sell our UGV and services to U.S. and allied government military and public safety agencies as well as to commercial entities. We also develop High Altitude Pseudo-Satellite (“HAPS”) systems in conjunction with SoftBank Corp (“SoftBank”).</w:t>
      </w:r>
    </w:p>
    <w:p>
      <w:pPr>
        <w:spacing w:after="0" w:line="1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During our fiscal year ended April 30, 2022, we generated approximately 21% of our revenue from the U.S. Army pursuant to orders placed under contract by the U.S. Army on behalf of itself as well as for several other organizations within the DoD. Other U.S. government agencies and government subcontractors accounted for 37% of our sales revenue, and HAPSMobile Inc. (“HAPSMobile”) and SoftBank together accounted for 10% of our sales revenue. Sales revenue to foreign customers other than HAPSMobile and Softbank, inclusive of foreign military sales made through the DoD, commercial and consumer customers accounted for the remaining 32% of sales revenue during our fiscal year ended April 30, 2022.</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Environmental</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subject to various federal, state, local and non-U.S. laws and regulations relating to environmental protection, including the discharge, treatment, storage, disposal and remediation of hazardous substances and wastes. We could also be affected by future laws and regulations relating to climate change, including laws related to greenhouse gas emissions and regulating energy efficiency. These laws and regulations could lead to increased environmental compliance expenditures, increased energy and raw materials costs and new and/or additional investment in designs and technologies. We continually assess our compliance status and management of environmental matters to ensure our operations are in compliance with all applicable environmental laws and regulations. Investigation, remediation and operation and maintenance costs associated with environmental compliance and management of sites are a normal, recurring part of our operations. These costs often are allowable costs under our contracts with the U.S. government. While environmental protection regulations have not had a significant adverse effect on our overall operations, it is reasonably possible that costs incurred to ensure continued environmental compliance in the future could have a material impact on our results of operations, financial condition or cash flows if additional work requirements or more stringent clean-up standards are imposed by regulators, new areas of soil, air and groundwater contamination are discovered and/or expansions of work scope are prompted by the results of investigations.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company was founded by the late Dr. Paul B. MacCready, the former Chairman of our board of directors and an internationally renowned innovator who was instrumental in establishing our entrepreneurial and creative culture. This culture has consistently enabled us to attract and retain highly-motivated, talented employees and has established our reputation as an innovative leader in the industries in which we compete.</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innovations developed by our company and our founder include, among others: the world’s first effective human-powered and manned solar-powered airplanes; the first modern passenger electric car, the EV1 prototype for General Motors; the world’s highest flying airplane in level flight, Helios™, a solar-powered unmanned aircraft system that reached over 96,000 feet above sea level in 2001; Global Observer, the world’s first liquid hydrogen-fueled unmanned aircraft system; the Nano Hummingbird™, the world’s first flapping wing unmanned aircraft system capable of precise hover and omni-directional flight; and Blackwing™, the first submarine-launched unmanned aircraft system deployed by the U.S. Navy and a considerable portion of JPL/NASA’s Mars Ingenuity Helicopter, the first aircraft to perform a powered flight on another planet. The Smithsonian Institution possesses seven vehicles developed by our company or our founder in its permanent collection. Our history of innovation excellence is the result of our talented, creative and skilled employees whom we encourage to invent and develop innovative new solutions.</w:t>
      </w:r>
    </w:p>
    <w:p>
      <w:pPr>
        <w:spacing w:after="0" w:line="18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Through this process we revisit our customer requirement assumptions to evaluate continued investment and to seek to ensure that our products and services deliver high value.</w:t>
      </w:r>
    </w:p>
    <w:p>
      <w:pPr>
        <w:spacing w:after="0" w:line="16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As of April 30, 2022, we had issued and retained 256 U.S. patents, as well as 63 pending U.S. patent applications; 15 active Patent Cooperation Treaty applications; and numerous foreign patents and pending applications. In many cases, when appropriate and to preserve confidentiality, we opt to protect our intellectual property through trade secrets as opposed to filing for patent protection.</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U.S. government has licenses to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229"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A core component of our business strategy is the focused development and commercialization of innovative solutions that we believe can become new products or services that enable us to create large new markets or accelerate the growth of our current markets.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359" w:firstLine="648"/>
        <w:spacing w:after="0" w:line="311" w:lineRule="auto"/>
        <w:rPr>
          <w:sz w:val="20"/>
          <w:szCs w:val="20"/>
          <w:color w:val="auto"/>
        </w:rPr>
      </w:pPr>
      <w:r>
        <w:rPr>
          <w:rFonts w:ascii="Arial" w:cs="Arial" w:eastAsia="Arial" w:hAnsi="Arial"/>
          <w:sz w:val="16"/>
          <w:szCs w:val="16"/>
          <w:color w:val="auto"/>
        </w:rPr>
        <w:t>Our marketing strategy is based on establishing leadership positions in new markets that we create through the introduction or acquisition of innovation solutions that improve customer operational effectiveness and efficiency. Our ability to operate in an agile, flexible manner helps us achieve first mover advantage and work closely with early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customers to achieve the successful adoption of our solutions. Once we establish a market position, we work to maintain our leadership, while seeking to grow our revenue by expanding sales and through continuous innovation and customer support. Our reputation for innovation is a key component of our brand and has been acknowledged through a variety of awards and recognized in numerous articles in domestic and international publications. We have many U.S. registered trademarks including those for AeroVironment, AV, Switchblade, Raven, Wasp, Quantix, VAPOR, Arcturus UAV, Crysalis and Jump and have several pending applications for trademark registration.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International Sales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contract with international sales representatives and team with domestic organizations in a number of foreign markets and believe that these markets represent growth opportunities for our business. Our international sales, inclusive of foreign military sales, accounted for approximately 41%, 39% and 45%, of our revenue for the fiscal years ended April 30, 2022, 2021 and 2020, respectively.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and brand and reputation.</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while minimizing time to market. As a result, we believe that we significantly reduce the time required to move a product from its design phase to full rate production, while achieving high reliability, quality and yields.</w:t>
      </w:r>
    </w:p>
    <w:p>
      <w:pPr>
        <w:spacing w:after="0" w:line="19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outsource certain production activities, such as the fabrication of certain aerostructures, the manufacture and assembly of electronic printed circuit boards, and payload components to qualified suppliers, with many of whom we have long-term relationships. This outsourcing enables us to focus on our core expertise of final assembly, system integration and test processes for our products, ensuring high levels of quality and reliability. We forge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Part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 A majority of our production systems operate in accordance with our AS9100D registered Quality Management System, which focuses on continuous improvement in order to increase acceptance rates, reduce lead times and lower cost.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actively pursue externally funded projects that help us to strengthen our technological capabilities. We submit bids to large research customers, such as the Defense Advanced Research Projects Agency, the U.S. Air Force, the U.S. Army and the U.S. Special Operations Command, for projects that we believe have the potential for future procurement. In some cases, commercial enterprises may fund our research and development activities, as with our HAPS UAS development program. Providing these services contributes to the development and enhancement of our technical competencies. We carefully manage the volume of customer funded research and development projects based on projects’ available resources and expect to expand our team to support growth in this area of our business.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No material portion of our business is considered to be seasonal. Historically, our revenue in the second half of our fiscal years has exceeded our revenue in the first half of our fiscal years. The factors that affect our revenue recognition between accounting periods include the timing of new contract awards, the availability of U.S. government and international government funding, lead time to manufacture our family of systems to customer specification, customer acceptance and other regulatory requirements.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are dependent upon the availability of materials and major components and the performance of our suppliers. Historically, we have been successful in obtaining the materials required in our manufacturing processes. We seek to manage materials supply risk through long term non-binding contracts with certain key suppliers that establish pricing, minimize lead times and to some degree mitigate risk. We have recently experienced supply chain challenges including shortages of certain electronic and other components, increased lead times, increased costs for components, and increased shipping, warehousing and inventory costs. We believe all of these raw materials and components are available to meet our needs from various suppliers; however, we expect inflationary and supply chain constraint trends to continue throughout our fiscal year 2023, which could cause delays in production and development programs and negatively impact our operating results. (See Part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Mix</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shows our revenue for the periods indicated by segment:</w:t>
      </w:r>
    </w:p>
    <w:p>
      <w:pPr>
        <w:spacing w:after="0" w:line="244"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Fiscal Year Ended</w:t>
      </w:r>
    </w:p>
    <w:p>
      <w:pPr>
        <w:jc w:val="center"/>
        <w:ind w:left="614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2022</w:t>
            </w:r>
          </w:p>
        </w:tc>
        <w:tc>
          <w:tcPr>
            <w:tcW w:w="4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4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UAS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MUAS</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21 %</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4 %</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TMS</w:t>
            </w: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17 %</w:t>
            </w: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22 %</w:t>
            </w: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17 %</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HAPS</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10 %</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11 %</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17 %</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12 %</w:t>
            </w: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3 %</w:t>
            </w: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5 %</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Mix</w:t>
      </w:r>
    </w:p>
    <w:p>
      <w:pPr>
        <w:spacing w:after="0" w:line="229"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p>
      <w:pPr>
        <w:spacing w:after="0" w:line="175"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Fiscal Year Ended</w:t>
      </w:r>
    </w:p>
    <w:p>
      <w:pPr>
        <w:jc w:val="center"/>
        <w:ind w:left="498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2022</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Cost-reimbursable contracts</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21 %</w:t>
            </w:r>
          </w:p>
        </w:tc>
        <w:tc>
          <w:tcPr>
            <w:tcW w:w="720" w:type="dxa"/>
            <w:vAlign w:val="bottom"/>
            <w:gridSpan w:val="3"/>
          </w:tcPr>
          <w:p>
            <w:pPr>
              <w:jc w:val="right"/>
              <w:ind w:right="90"/>
              <w:spacing w:after="0"/>
              <w:rPr>
                <w:sz w:val="20"/>
                <w:szCs w:val="20"/>
                <w:color w:val="auto"/>
              </w:rPr>
            </w:pPr>
            <w:r>
              <w:rPr>
                <w:rFonts w:ascii="Arial" w:cs="Arial" w:eastAsia="Arial" w:hAnsi="Arial"/>
                <w:sz w:val="18"/>
                <w:szCs w:val="18"/>
                <w:color w:val="auto"/>
              </w:rPr>
              <w:t>22 %</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26 %</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60" w:right="519" w:firstLine="648"/>
        <w:spacing w:after="0" w:line="301" w:lineRule="auto"/>
        <w:rPr>
          <w:sz w:val="20"/>
          <w:szCs w:val="20"/>
          <w:color w:val="auto"/>
        </w:rPr>
      </w:pPr>
      <w:r>
        <w:rPr>
          <w:rFonts w:ascii="Arial" w:cs="Arial" w:eastAsia="Arial" w:hAnsi="Arial"/>
          <w:sz w:val="16"/>
          <w:szCs w:val="16"/>
          <w:color w:val="auto"/>
        </w:rPr>
        <w:t>We acknowledge that our employees are the company’s most valuable asset and the driving force behind our success. For this reason, we aspire to be an employer that is known for cultivating a positive and welcoming work environment – one that fosters growth, provides a safe place to work, supports diversity and embraces inclusion. We believe that this kind of corporate culture results in employees who are happier, more creative, and more productive,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supporting our ongoing innovation. We work to make our employees’ experience a priority, and we take tremendous pride in being certified by Great Place to Work Institute, Inc. as a Great Place to Work.</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Workforce Demographics</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As of April 30, 2022, we had 1,214 full time employees and 9 part time employees, of whom 434 were in research and development and engineering, 53 were in sales and marketing, 521 were in operations and 206 were general and administrative personnel.</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Talent Acquisition, Retention and Development</w:t>
      </w:r>
    </w:p>
    <w:p>
      <w:pPr>
        <w:spacing w:after="0" w:line="229"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Our ability to attract, develop and retain top talent, particularly those with technical and engineering backgrounds or experience, is critical for us to execute our strategy and grow our businesses. We continuously monitor the hiring, retention and management of our employees. An integral part of our people strategy is early career hiring through college and intern pipelines, particularly in technical fields. We regularly conduct confidential surveys to seek feedback from our employees and use those results to improve our workplace. We attract and reward our employees by providing market competitive compensation and benefits, including incentives and recognition plans that extend to all levels in our organization. We invest in our workforce through education, training and development programs and offer tuition assistance programs for continuing education or industry certifications. Additionally, we regularly conduct succession planning for management to ensure that we continue to cultivate the leadership pipeline of talent needed to execute our strategy.</w:t>
      </w:r>
    </w:p>
    <w:p>
      <w:pPr>
        <w:spacing w:after="0" w:line="18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Diversity and Inclusion</w:t>
      </w:r>
    </w:p>
    <w:p>
      <w:pPr>
        <w:spacing w:after="0" w:line="22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At AeroVironment, creating a culture of diversity and inclusion is something we work on every day. We believe that a diverse workforce and an inclusive workplace is a major catalyst for driving innovation. We have focused our diversity and inclusion initiatives on employee recruitment, including investments in minority-serving institutions and outreach, employee training and development, such as efforts focused on expanding the diverse talent pipeline, and employee engagement, including through participation in employee focus groups on various topics related to diversity and inclusion.</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Employee Safety and Health</w:t>
      </w:r>
    </w:p>
    <w:p>
      <w:pPr>
        <w:spacing w:after="0" w:line="229"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Our safety and health program seeks to optimize our operations through targeted safety, health and wellness opportunities designed to ensure safe work conditions, create a healthy work environment, promote workforce resiliency and enhance business value. We monitor employee health and safety measures, including monthly and yearly targets for employee injury and illness incidents, incidents that result in work days lost, and the number of work days lost due to workplace injuries and illness. We also provide our employees with health and wellness benefits.</w:t>
      </w:r>
    </w:p>
    <w:p>
      <w:pPr>
        <w:spacing w:after="0" w:line="16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We took and continue to take various measures to protect our workforce in response to the ongoing COVID-19 pandemic. We implemented and continue to maintain extensive safety protocols to support our employees working onsite, such as enhanced cleaning of common areas. Additionally, in mid-March 2020, a significant portion of our workforce began teleworking in accordance with the implementation of government orders and guidance affecting our facilities. We have implemented a COVID-19 reporting mechanism for illness or exposure and positive COVID-19 tests. As part of that reporting process, we have a robust contact tracing program to identify employees who were in close contact with the ill employee in the workplace. In addition, we implemented a COVID-19 vaccination requirement for our employees, allowing for exceptions as required under applicable law and regulations, and continue to monitor potential vaccine mandates. We provide several channels for all employees to speak up, ask for guidance, and report concerns related ethics or safety concerns, including identifying areas for improvement. We address employee concerns and take appropriate actions that uphold our AeroVironment values. We have also implemented a flexible work location policy to allow employees who can meet our customer commitments while working remotely to continue to work remotely. We continue to ensure that employees working remotely have the technology, office equipment and other services needed to enable them to work effectively.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 xml:space="preserve">Consistent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we define backlog as remaining unsatisfied performance obligations under firm orders for which work has not been performed. As of April 30, 2022 and 2021, our backlog was approximately $210.8 million and $211.8 million, respectively. We expect that approximately 93% of our backlog will be recognized as revenue during our fiscal year ending April 30, 2023.</w:t>
      </w:r>
    </w:p>
    <w:p>
      <w:pPr>
        <w:spacing w:after="0" w:line="171"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6"/>
          <w:szCs w:val="16"/>
          <w:color w:val="auto"/>
        </w:rPr>
        <w:t>In addition to our funded backlog, we also had unfunded backlog of $358.1 million and $143.2 million as of April 30, 2022 and 2021, respectively.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w:t>
      </w:r>
    </w:p>
    <w:p>
      <w:pPr>
        <w:spacing w:after="0" w:line="1" w:lineRule="exact"/>
        <w:rPr>
          <w:sz w:val="20"/>
          <w:szCs w:val="20"/>
          <w:color w:val="auto"/>
        </w:rPr>
      </w:pPr>
    </w:p>
    <w:p>
      <w:pPr>
        <w:ind w:left="60" w:right="139" w:hanging="10"/>
        <w:spacing w:after="0" w:line="287" w:lineRule="auto"/>
        <w:tabs>
          <w:tab w:leader="none" w:pos="32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 Additionally, unfunded backlog on the SOCOM MEUAS contract reflects only those sites which have been awarded to Arcturus UAV, Inc. (“Arcturus”) and does not include the remaining potential value associated with the entire SOCOM MEUAV III/IV contract.</w:t>
      </w:r>
    </w:p>
    <w:p>
      <w:pPr>
        <w:spacing w:after="0" w:line="170"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AeroVironment, Inc. was originally incorporated in California in July 1971 and reincorporated in Delaware in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2006.</w:t>
      </w:r>
    </w:p>
    <w:p>
      <w:pPr>
        <w:spacing w:after="0" w:line="201" w:lineRule="exact"/>
        <w:rPr>
          <w:sz w:val="20"/>
          <w:szCs w:val="20"/>
          <w:color w:val="auto"/>
        </w:rPr>
      </w:pPr>
    </w:p>
    <w:p>
      <w:pPr>
        <w:ind w:left="60" w:right="459" w:firstLine="648"/>
        <w:spacing w:after="0" w:line="231" w:lineRule="auto"/>
        <w:rPr>
          <w:sz w:val="20"/>
          <w:szCs w:val="20"/>
          <w:color w:val="auto"/>
        </w:rPr>
      </w:pPr>
      <w:r>
        <w:rPr>
          <w:rFonts w:ascii="Arial" w:cs="Arial" w:eastAsia="Arial" w:hAnsi="Arial"/>
          <w:sz w:val="18"/>
          <w:szCs w:val="18"/>
          <w:color w:val="auto"/>
        </w:rPr>
        <w:t>Our principal executive offices are located at 241 18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South, Suite 415 Arlington, Virginia 22202. Our telephone number is (805) 520-8350. Our website home page is </w:t>
      </w:r>
      <w:r>
        <w:rPr>
          <w:rFonts w:ascii="Arial" w:cs="Arial" w:eastAsia="Arial" w:hAnsi="Arial"/>
          <w:sz w:val="18"/>
          <w:szCs w:val="18"/>
          <w:i w:val="1"/>
          <w:iCs w:val="1"/>
          <w:color w:val="auto"/>
        </w:rPr>
        <w:t>http://www.avinc.com</w:t>
      </w:r>
      <w:r>
        <w:rPr>
          <w:rFonts w:ascii="Arial" w:cs="Arial" w:eastAsia="Arial" w:hAnsi="Arial"/>
          <w:sz w:val="18"/>
          <w:szCs w:val="18"/>
          <w:color w:val="auto"/>
        </w:rPr>
        <w:t>. We make our website content available for information purposes only. It should not be relied upon for investment purposes, nor is it incorporated by reference into this Annual Report.</w:t>
      </w:r>
    </w:p>
    <w:p>
      <w:pPr>
        <w:spacing w:after="0" w:line="205"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 xml:space="preserve">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 site at </w:t>
      </w:r>
      <w:r>
        <w:rPr>
          <w:rFonts w:ascii="Arial" w:cs="Arial" w:eastAsia="Arial" w:hAnsi="Arial"/>
          <w:sz w:val="16"/>
          <w:szCs w:val="16"/>
          <w:i w:val="1"/>
          <w:iCs w:val="1"/>
          <w:color w:val="auto"/>
        </w:rPr>
        <w:t>http://investor.avinc.com</w:t>
      </w:r>
      <w:r>
        <w:rPr>
          <w:rFonts w:ascii="Arial" w:cs="Arial" w:eastAsia="Arial" w:hAnsi="Arial"/>
          <w:sz w:val="16"/>
          <w:szCs w:val="16"/>
          <w:color w:val="auto"/>
        </w:rPr>
        <w:t>. The SEC also maintains a web site at www.sec.gov that contains our reports, proxy statements and other information regarding us.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business addresses the increasing value of intelligent, multi-domain robotic systems providing distributed, network-centric intelligence, surveillance and reconnaissance (“ISR”), communications, remote sensing, effects delivery and remote materials handling with innovative UAS, TMS and UGV solutions. With respect to the defense applications for these technologies, nearly 20 years of counterinsurgency operations in regions where U.S. and allied forces benefit from air and technical superiority have driven the demand for a variety of unmanned systems in the air and on the ground. The recent shift of U.S. and allied defense planning toward countering peer and near-peer adversaries requires a portfolio of capabilities that can operate effectively in areas where the battlespace, including the air, radio frequency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spectrum and Global Positioning Satellite (“GPS”) signals, may be contested, driving the need for more intelligent robotic systems capable of autonomous operation.</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Small UAS and MUAS</w:t>
      </w:r>
    </w:p>
    <w:p>
      <w:pPr>
        <w:spacing w:after="0" w:line="22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defense market for small UAS and MUAS has grown significantly since the early 2000s, driven largely by the demands associated with the global threat environment and resulting procurement by military customers, the early adopters for this technology. Small UAS and MUAS now represent accepted and enduring capabilities for military forces around the world. The U.S. military’s transformation into a smaller, more agile force that operates via a network of observation, communication and precision targeting technologies accelerated following the terrorist attacks of September 11, 2001, as it required improved, distributed observation and targeting of enemy combatants who operate in small groups, often embedded in dense population centers or dispersed in remote locations, to operate effectively in a counterinsurgency threat environment. We believe that UAS, which range from large systems, such as Northrop Grumman’s Global Hawk and General Atomics’ Predator, Sky Warrior, Reaper and Gray Eagle, to medium systems such as our Puma LE, T-20 and JUMP 20, Boeing’s ScanEagle and Integrator and Textron’s Shadow, to small systems, such as our Raven, Wasp AE, Puma AE, and VAPOR, serve as integral components of today’s military force. These systems provide critical observation and communications capabilities serving the increasing demand for actionable intelligence, while reducing risk to individual “warfighters.” Small UAS and MUAS can provide real-time observation and communication capabilities to commanders and directly to the small units who control them. As airspace regulations in the U.S. and other nations evolve to accommodate the commercial use of small UAS, significant growth in the number of entities developing small UAS solutions is taking place.</w:t>
      </w:r>
    </w:p>
    <w:p>
      <w:pPr>
        <w:spacing w:after="0" w:line="17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Tactical Missile Systems</w:t>
      </w:r>
    </w:p>
    <w:p>
      <w:pPr>
        <w:spacing w:after="0" w:line="229" w:lineRule="exact"/>
        <w:rPr>
          <w:sz w:val="20"/>
          <w:szCs w:val="20"/>
          <w:color w:val="auto"/>
        </w:rPr>
      </w:pPr>
    </w:p>
    <w:p>
      <w:pPr>
        <w:ind w:left="60" w:right="259" w:firstLine="648"/>
        <w:spacing w:after="0" w:line="270" w:lineRule="auto"/>
        <w:rPr>
          <w:sz w:val="20"/>
          <w:szCs w:val="20"/>
          <w:color w:val="auto"/>
        </w:rPr>
      </w:pPr>
      <w:r>
        <w:rPr>
          <w:rFonts w:ascii="Arial" w:cs="Arial" w:eastAsia="Arial" w:hAnsi="Arial"/>
          <w:sz w:val="17"/>
          <w:szCs w:val="17"/>
          <w:color w:val="auto"/>
        </w:rPr>
        <w:t>The development of weapons capable of rapid deployment and precision strike that also minimize the risk to surrounding civilians, property and operators has accelerated due to advances in enabling technologies. Weapons such as laser-guided missiles, “smart” bombs and GPS-guided artillery shells have dramatically improved the accuracy of strikes against hostile targets. When ground forces find themselves engaged in a firefight or near a hostile target, their ability to employ a precision weapon system quickly and easily can mean the difference between mission success and failure. A rapidly deployable solution could address emerging requirements beyond ground engagements for use in other types of missions and from a variety of sea, air and land platforms. We believe that embedding a precision lethal payload into a remotely controlled, portable delivery system provides warfighters with a valuable and more cost-effective alternative to existing munition and missile systems.</w:t>
      </w: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Unmanned Ground Vehicles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In situations where improvised explosive devices, caustic chemicals, nuclear, radiological or biological hazards or violent individuals represent significant danger to humans, UGVs can help responders remove, contain or neutralize these hazards without putting people in harm’s way. We believe that as enabling technologies continue to advance, UGVs will become more autonomous, more capable and more effective in dealing with hazardous threats, expanding the market potential for this set of applications to include non-defense applications such as facility security, infrastructure inspection, delivery of goods and many others.</w:t>
      </w:r>
    </w:p>
    <w:p>
      <w:pPr>
        <w:spacing w:after="0" w:line="18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High-Altitude Pseudo-Satellite (“HAPS”) UAS</w:t>
      </w:r>
    </w:p>
    <w:p>
      <w:pPr>
        <w:spacing w:after="0" w:line="229"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We believe a market opportunity exists for HAPS UAS that can fly for months at a time to provide continuous remote sensing and communications in an affordable manner over great distances. Existing solutions such as terrestrial cellular towers, communications satellites and manned and unmanned aircraft address some of the emerging demand for this capability but do so at relatively high financial and resource costs. Next generation mobile telephony, referred to as 5G, can use higher frequencies than those currently employed by existing 4G and LTE networks. These higher frequencies are not capable of traveling long distances as compared to the frequencies associated with existing networks. As a result, 5G deployment requires the installation of a large number of base stations and cellular towers to complement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5" w:lineRule="auto"/>
        <w:rPr>
          <w:sz w:val="20"/>
          <w:szCs w:val="20"/>
          <w:color w:val="auto"/>
        </w:rPr>
      </w:pPr>
      <w:r>
        <w:rPr>
          <w:rFonts w:ascii="Arial" w:cs="Arial" w:eastAsia="Arial" w:hAnsi="Arial"/>
          <w:sz w:val="16"/>
          <w:szCs w:val="16"/>
          <w:color w:val="auto"/>
        </w:rPr>
        <w:t>existing infrastructure, resulting in a significant investment of time, resources and capital. Geosynchronous satellites provide fixed, continuous communications capabilities to large portions of the globe, but because they operate more than 20,000 miles from the surface of the earth, the bandwidth they can provide is limited, introducing latency in communications signals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A new category of constellations consisting of a large number of very small and low earth orbiting satellites is proposed to provide a lower cost alternative with more ubiquitous coverage for reconnaissance and communication but is only beginning to be deployed in meaningful quantities and may not be capable of providing the uninterrupted service and quality required by commercial mobile carriers. All satellites require special ground based receiving hardware that may further limit their telecommunication applications. High-altitude balloons carrying communication payloads are subject to wind direction and speed and, therefore, may not be able to deliver the continuous, uninterrupted service and connection quality required by commercial mobile carriers but may be suitable for other applications. UAS that are capable of operating in an affordable manner for extended periods of time over an area of interest while communicating directly with available handheld mobile devices without gaps in availability and carrying a communications or observation payload could help to satisfy this need.</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Advanced Artificial Intelligence and Autonomy</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Robotic systems designed to operate in complex environments, such as contested battlespaces or urban locations, will require advanced artificial intelligence capabilities to enable non-GPS navigation and higher levels of autonomy. For defense applications, this could require other navigation methods to ensure location accuracy and incorporating computer vision capabilities to respond to changes on the ground or in the air. Such higher levels of autonomy will become increasingly more valuable in enabling the effective use of robotic systems.</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supply our UAS, TMS and UGV products and services to multiple customers within and outside of the United States, as well as supply our TMS products and services to defense related organizations within the U.S. government and allied nations.</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Small UAS Products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Our small UAS, including Raven, Wasp AE, Puma AE, Puma LE, and VAPOR are designed to operate reliably at very low altitudes in a wide range of environmental conditions, providing a vantage point from which to collect and deliver valuable information. Military forces employ our small UAS to deliver ISR and communications, including real-time tactical reconnaissance, tracking, combat assessment and geographic data, directly to the small tactical unit or individual operator, thereby increasing flexibility in mission planning and execution. Our small UAS wirelessly transmit critical live video and other information generated by their payload of electro-optical, infrared or other sensors directly to a hand-held ground control unit, enabling the operator to view and capture images, during the day or at night, on the control unit. Our ground control systems allow the operator to control the aircraft by programming it for GPS-based autonomous navigation using operator-designated way-points, or by manual flight operation. The ground control systems are designed for durability and ease of use in harsh environments and incorporate a user-friendly, intuitive user interface. All of our fixed wing small UAS currently in production for military customers operate from our Crysalis common ground control system. Our VAPOR helicopter UAS currently employs a distinct portable ground control system.</w:t>
      </w:r>
    </w:p>
    <w:p>
      <w:pPr>
        <w:spacing w:after="0" w:line="168"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designed our small UAS to be transportable by a single person, assembled in minutes and launched and operated by one or two people, with limited training required. The efficient and reliable electric motors used in all of our small UAS are powered by modular battery packs that can be replaced quickly, enabling rapid return to flight. We designed all of our small UAS to be reusable for hundreds of flights under normal operating circumstances and to be recovered through an autonomous landing feature that enables a controlled descent to a designated location.</w:t>
      </w:r>
    </w:p>
    <w:p>
      <w:pPr>
        <w:spacing w:after="0" w:line="176" w:lineRule="exact"/>
        <w:rPr>
          <w:sz w:val="20"/>
          <w:szCs w:val="20"/>
          <w:color w:val="auto"/>
        </w:rPr>
      </w:pPr>
    </w:p>
    <w:p>
      <w:pPr>
        <w:ind w:left="60" w:right="599" w:firstLine="648"/>
        <w:spacing w:after="0" w:line="342" w:lineRule="auto"/>
        <w:rPr>
          <w:sz w:val="20"/>
          <w:szCs w:val="20"/>
          <w:color w:val="auto"/>
        </w:rPr>
      </w:pPr>
      <w:r>
        <w:rPr>
          <w:rFonts w:ascii="Arial" w:cs="Arial" w:eastAsia="Arial" w:hAnsi="Arial"/>
          <w:sz w:val="16"/>
          <w:szCs w:val="16"/>
          <w:color w:val="auto"/>
        </w:rPr>
        <w:t>In military applications, our small UAS provide forward aerial observation capabilities that enable tactical commanders to observe, for example, around the next corner, to the next intersection or past a ridgeline in real-time.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This information facilitates faster, safer movement through urban, rural, riverine and mountainous environments and can enable troops to be proactive based on field intelligence rather than reactive to attack.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altitudes of 300 to 500 feet above ground level, as a result of our efficient electric propulsion systems. Furthermore, their small size makes them difficult to see from the ground. In addition, the low cost of our small UAS relative to larger systems and alternatives makes it practical for customers to deploy these assets in large quantities, directly to warfighters.</w:t>
      </w:r>
    </w:p>
    <w:p>
      <w:pPr>
        <w:spacing w:after="0" w:line="18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emerging commercial applications, our small UAS enable enterprises to manage valuable assets such as crops, powerlines and railroad infrastructure, more effectively and safely than previously possible. Our VAPOR helicopter systems are designed to provide more accurate and timely information to individuals or organizations for more informed decision-making. Better and more timely information can translate into more efficient activities that facilitate more efficient use of resources such as maintenance operations.</w:t>
      </w:r>
    </w:p>
    <w:p>
      <w:pPr>
        <w:spacing w:after="0" w:line="188"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Our small UAS offering also includes spare equipment, alternative payload modules, batteries, chargers, repair services and customer support. We provide training by our highly-skilled instructors, who typically possess extensive military experience, and continuous refurbishment and repair services for our products. By maintaining close contact with our customers and users in the field, we gather critical feedback on our products and incorporate that information into ongoing product development and research and development efforts. This approach enables us to improve our solutions in response to, and in anticipation of, evolving customer needs.</w:t>
      </w:r>
    </w:p>
    <w:p>
      <w:pPr>
        <w:spacing w:after="0" w:line="178"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Certain systems within our small UAS portfolio include multiple aircraft, our common and interoperable hand-held Crysalis ground control system and an array of spare parts and accessories. Other systems, namely, Puma LE, and VAPOR, consist of a single air vehicle, as well as a ground control system, spare parts and accessories. Our current small UAS portfolio for defense applications consists of the following aircraft:</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Small</w:t>
            </w:r>
          </w:p>
        </w:tc>
        <w:tc>
          <w:tcPr>
            <w:tcW w:w="780" w:type="dxa"/>
            <w:vAlign w:val="bottom"/>
          </w:tcPr>
          <w:p>
            <w:pPr>
              <w:jc w:val="right"/>
              <w:ind w:right="46"/>
              <w:spacing w:after="0"/>
              <w:rPr>
                <w:sz w:val="20"/>
                <w:szCs w:val="20"/>
                <w:color w:val="auto"/>
              </w:rPr>
            </w:pPr>
            <w:r>
              <w:rPr>
                <w:rFonts w:ascii="Arial" w:cs="Arial" w:eastAsia="Arial" w:hAnsi="Arial"/>
                <w:sz w:val="11"/>
                <w:szCs w:val="11"/>
                <w:b w:val="1"/>
                <w:bCs w:val="1"/>
                <w:color w:val="auto"/>
              </w:rPr>
              <w:t>Wingspan /</w:t>
            </w:r>
          </w:p>
        </w:tc>
        <w:tc>
          <w:tcPr>
            <w:tcW w:w="3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UAS</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4"/>
              </w:rPr>
              <w:t>Rotor DiameterWeight</w:t>
            </w:r>
          </w:p>
        </w:tc>
        <w:tc>
          <w:tcPr>
            <w:tcW w:w="3120" w:type="dxa"/>
            <w:vAlign w:val="bottom"/>
          </w:tcPr>
          <w:p>
            <w:pPr>
              <w:spacing w:after="0"/>
              <w:rPr>
                <w:sz w:val="10"/>
                <w:szCs w:val="10"/>
                <w:color w:val="auto"/>
              </w:rPr>
            </w:pPr>
          </w:p>
        </w:tc>
        <w:tc>
          <w:tcPr>
            <w:tcW w:w="3200" w:type="dxa"/>
            <w:vAlign w:val="bottom"/>
          </w:tcPr>
          <w:p>
            <w:pPr>
              <w:ind w:left="1420"/>
              <w:spacing w:after="0" w:line="122" w:lineRule="exact"/>
              <w:rPr>
                <w:sz w:val="20"/>
                <w:szCs w:val="20"/>
                <w:color w:val="auto"/>
              </w:rPr>
            </w:pPr>
            <w:r>
              <w:rPr>
                <w:rFonts w:ascii="Arial" w:cs="Arial" w:eastAsia="Arial" w:hAnsi="Arial"/>
                <w:sz w:val="11"/>
                <w:szCs w:val="11"/>
                <w:b w:val="1"/>
                <w:bCs w:val="1"/>
                <w:color w:val="auto"/>
              </w:rPr>
              <w:t>Standard</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4"/>
              </w:rPr>
              <w:t>Range Flight Time</w:t>
            </w:r>
          </w:p>
        </w:tc>
        <w:tc>
          <w:tcPr>
            <w:tcW w:w="0" w:type="dxa"/>
            <w:vAlign w:val="bottom"/>
          </w:tcPr>
          <w:p>
            <w:pPr>
              <w:spacing w:after="0"/>
              <w:rPr>
                <w:sz w:val="1"/>
                <w:szCs w:val="1"/>
                <w:color w:val="auto"/>
              </w:rPr>
            </w:pPr>
          </w:p>
        </w:tc>
      </w:tr>
      <w:tr>
        <w:trPr>
          <w:trHeight w:val="13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Product</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(ft.)</w:t>
            </w: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8"/>
              </w:rPr>
              <w:t>(lbs.)</w:t>
            </w:r>
          </w:p>
        </w:tc>
        <w:tc>
          <w:tcPr>
            <w:tcW w:w="312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Launch and Recovery</w:t>
            </w:r>
          </w:p>
        </w:tc>
        <w:tc>
          <w:tcPr>
            <w:tcW w:w="3200" w:type="dxa"/>
            <w:vAlign w:val="bottom"/>
            <w:tcBorders>
              <w:bottom w:val="single" w:sz="8" w:color="auto"/>
            </w:tcBorders>
          </w:tcPr>
          <w:p>
            <w:pPr>
              <w:ind w:left="1460"/>
              <w:spacing w:after="0"/>
              <w:rPr>
                <w:sz w:val="20"/>
                <w:szCs w:val="20"/>
                <w:color w:val="auto"/>
              </w:rPr>
            </w:pPr>
            <w:r>
              <w:rPr>
                <w:rFonts w:ascii="Arial" w:cs="Arial" w:eastAsia="Arial" w:hAnsi="Arial"/>
                <w:sz w:val="11"/>
                <w:szCs w:val="11"/>
                <w:b w:val="1"/>
                <w:bCs w:val="1"/>
                <w:color w:val="auto"/>
              </w:rPr>
              <w:t>Sensors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2"/>
              </w:rPr>
              <w:t>(mi.)(1)</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(min.)(1)</w:t>
            </w:r>
          </w:p>
        </w:tc>
        <w:tc>
          <w:tcPr>
            <w:tcW w:w="0" w:type="dxa"/>
            <w:vAlign w:val="bottom"/>
          </w:tcPr>
          <w:p>
            <w:pPr>
              <w:spacing w:after="0"/>
              <w:rPr>
                <w:sz w:val="1"/>
                <w:szCs w:val="1"/>
                <w:color w:val="auto"/>
              </w:rPr>
            </w:pPr>
          </w:p>
        </w:tc>
      </w:tr>
      <w:tr>
        <w:trPr>
          <w:trHeight w:val="115"/>
        </w:trPr>
        <w:tc>
          <w:tcPr>
            <w:tcW w:w="5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Puma LE</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15.0</w:t>
            </w:r>
          </w:p>
        </w:tc>
        <w:tc>
          <w:tcPr>
            <w:tcW w:w="3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23.5</w:t>
            </w:r>
          </w:p>
        </w:tc>
        <w:tc>
          <w:tcPr>
            <w:tcW w:w="31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w w:val="89"/>
              </w:rPr>
              <w:t>Hand or bungee launch and autonomous skid landing (ground or water)</w:t>
            </w:r>
          </w:p>
        </w:tc>
        <w:tc>
          <w:tcPr>
            <w:tcW w:w="3200" w:type="dxa"/>
            <w:vAlign w:val="bottom"/>
            <w:shd w:val="clear" w:color="auto" w:fill="CCEEFF"/>
          </w:tcPr>
          <w:p>
            <w:pPr>
              <w:ind w:left="40"/>
              <w:spacing w:after="0" w:line="115" w:lineRule="exact"/>
              <w:rPr>
                <w:sz w:val="20"/>
                <w:szCs w:val="20"/>
                <w:color w:val="auto"/>
              </w:rPr>
            </w:pPr>
            <w:r>
              <w:rPr>
                <w:rFonts w:ascii="Arial" w:cs="Arial" w:eastAsia="Arial" w:hAnsi="Arial"/>
                <w:sz w:val="11"/>
                <w:szCs w:val="11"/>
                <w:color w:val="auto"/>
                <w:w w:val="91"/>
              </w:rPr>
              <w:t>Mechanical pan, tilt, zoom and digital zoom electro-optical and infrared</w:t>
            </w:r>
          </w:p>
        </w:tc>
        <w:tc>
          <w:tcPr>
            <w:tcW w:w="40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12</w:t>
            </w:r>
          </w:p>
        </w:tc>
        <w:tc>
          <w:tcPr>
            <w:tcW w:w="5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12"/>
        </w:trPr>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Puma AE</w:t>
            </w: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120" w:type="dxa"/>
            <w:vAlign w:val="bottom"/>
          </w:tcPr>
          <w:p>
            <w:pPr>
              <w:spacing w:after="0" w:line="112" w:lineRule="exact"/>
              <w:rPr>
                <w:sz w:val="20"/>
                <w:szCs w:val="20"/>
                <w:color w:val="auto"/>
              </w:rPr>
            </w:pPr>
            <w:r>
              <w:rPr>
                <w:rFonts w:ascii="Arial" w:cs="Arial" w:eastAsia="Arial" w:hAnsi="Arial"/>
                <w:sz w:val="11"/>
                <w:szCs w:val="11"/>
                <w:color w:val="auto"/>
                <w:w w:val="91"/>
              </w:rPr>
              <w:t>Hand, bungee, or mechanical launch and vertical autonomous landing</w:t>
            </w:r>
          </w:p>
        </w:tc>
        <w:tc>
          <w:tcPr>
            <w:tcW w:w="3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40" w:type="dxa"/>
            <w:vAlign w:val="bottom"/>
            <w:vMerge w:val="continue"/>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9.2</w:t>
            </w:r>
          </w:p>
        </w:tc>
        <w:tc>
          <w:tcPr>
            <w:tcW w:w="340" w:type="dxa"/>
            <w:vAlign w:val="bottom"/>
          </w:tcPr>
          <w:p>
            <w:pPr>
              <w:jc w:val="right"/>
              <w:spacing w:after="0"/>
              <w:rPr>
                <w:sz w:val="20"/>
                <w:szCs w:val="20"/>
                <w:color w:val="auto"/>
              </w:rPr>
            </w:pPr>
            <w:r>
              <w:rPr>
                <w:rFonts w:ascii="Arial" w:cs="Arial" w:eastAsia="Arial" w:hAnsi="Arial"/>
                <w:sz w:val="11"/>
                <w:szCs w:val="11"/>
                <w:color w:val="auto"/>
              </w:rPr>
              <w:t>15</w:t>
            </w:r>
          </w:p>
        </w:tc>
        <w:tc>
          <w:tcPr>
            <w:tcW w:w="3120" w:type="dxa"/>
            <w:vAlign w:val="bottom"/>
          </w:tcPr>
          <w:p>
            <w:pPr>
              <w:spacing w:after="0"/>
              <w:rPr>
                <w:sz w:val="20"/>
                <w:szCs w:val="20"/>
                <w:color w:val="auto"/>
              </w:rPr>
            </w:pPr>
            <w:r>
              <w:rPr>
                <w:rFonts w:ascii="Arial" w:cs="Arial" w:eastAsia="Arial" w:hAnsi="Arial"/>
                <w:sz w:val="11"/>
                <w:szCs w:val="11"/>
                <w:color w:val="auto"/>
              </w:rPr>
              <w:t>capable (ground or water)</w:t>
            </w:r>
          </w:p>
        </w:tc>
        <w:tc>
          <w:tcPr>
            <w:tcW w:w="3200" w:type="dxa"/>
            <w:vAlign w:val="bottom"/>
          </w:tcPr>
          <w:p>
            <w:pPr>
              <w:ind w:left="40"/>
              <w:spacing w:after="0"/>
              <w:rPr>
                <w:sz w:val="20"/>
                <w:szCs w:val="20"/>
                <w:color w:val="auto"/>
              </w:rPr>
            </w:pPr>
            <w:r>
              <w:rPr>
                <w:rFonts w:ascii="Arial" w:cs="Arial" w:eastAsia="Arial" w:hAnsi="Arial"/>
                <w:sz w:val="11"/>
                <w:szCs w:val="11"/>
                <w:color w:val="auto"/>
                <w:w w:val="91"/>
              </w:rPr>
              <w:t>Mechanical pan, tilt, zoom and digital zoom electro-optical and infrared</w:t>
            </w:r>
          </w:p>
        </w:tc>
        <w:tc>
          <w:tcPr>
            <w:tcW w:w="400" w:type="dxa"/>
            <w:vAlign w:val="bottom"/>
          </w:tcPr>
          <w:p>
            <w:pPr>
              <w:jc w:val="center"/>
              <w:spacing w:after="0"/>
              <w:rPr>
                <w:sz w:val="20"/>
                <w:szCs w:val="20"/>
                <w:color w:val="auto"/>
              </w:rPr>
            </w:pPr>
            <w:r>
              <w:rPr>
                <w:rFonts w:ascii="Arial" w:cs="Arial" w:eastAsia="Arial" w:hAnsi="Arial"/>
                <w:sz w:val="11"/>
                <w:szCs w:val="11"/>
                <w:color w:val="auto"/>
                <w:w w:val="97"/>
              </w:rPr>
              <w:t>12</w:t>
            </w:r>
          </w:p>
        </w:tc>
        <w:tc>
          <w:tcPr>
            <w:tcW w:w="520" w:type="dxa"/>
            <w:vAlign w:val="bottom"/>
          </w:tcPr>
          <w:p>
            <w:pPr>
              <w:jc w:val="right"/>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21"/>
        </w:trPr>
        <w:tc>
          <w:tcPr>
            <w:tcW w:w="5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Raven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w:t>
            </w:r>
          </w:p>
        </w:tc>
        <w:tc>
          <w:tcPr>
            <w:tcW w:w="31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Hand launch and vertical autonomous landing capable</w:t>
            </w:r>
          </w:p>
        </w:tc>
        <w:tc>
          <w:tcPr>
            <w:tcW w:w="320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1"/>
              </w:rPr>
              <w:t>Mechanical pan, tilt, zoom and digital zoom electro-optical and infrared</w:t>
            </w:r>
          </w:p>
        </w:tc>
        <w:tc>
          <w:tcPr>
            <w:tcW w:w="400" w:type="dxa"/>
            <w:vAlign w:val="bottom"/>
            <w:shd w:val="clear" w:color="auto" w:fill="CCEEFF"/>
          </w:tcPr>
          <w:p>
            <w:pPr>
              <w:jc w:val="center"/>
              <w:ind w:left="6"/>
              <w:spacing w:after="0" w:line="122" w:lineRule="exact"/>
              <w:rPr>
                <w:sz w:val="20"/>
                <w:szCs w:val="20"/>
                <w:color w:val="auto"/>
              </w:rPr>
            </w:pPr>
            <w:r>
              <w:rPr>
                <w:rFonts w:ascii="Arial" w:cs="Arial" w:eastAsia="Arial" w:hAnsi="Arial"/>
                <w:sz w:val="11"/>
                <w:szCs w:val="11"/>
                <w:color w:val="auto"/>
                <w:w w:val="97"/>
              </w:rPr>
              <w:t>6</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  -   90</w:t>
            </w:r>
          </w:p>
        </w:tc>
        <w:tc>
          <w:tcPr>
            <w:tcW w:w="0" w:type="dxa"/>
            <w:vAlign w:val="bottom"/>
          </w:tcPr>
          <w:p>
            <w:pPr>
              <w:spacing w:after="0"/>
              <w:rPr>
                <w:sz w:val="1"/>
                <w:szCs w:val="1"/>
                <w:color w:val="auto"/>
              </w:rPr>
            </w:pPr>
          </w:p>
        </w:tc>
      </w:tr>
      <w:tr>
        <w:trPr>
          <w:trHeight w:val="122"/>
        </w:trPr>
        <w:tc>
          <w:tcPr>
            <w:tcW w:w="540" w:type="dxa"/>
            <w:vAlign w:val="bottom"/>
          </w:tcPr>
          <w:p>
            <w:pPr>
              <w:spacing w:after="0" w:line="122" w:lineRule="exact"/>
              <w:rPr>
                <w:sz w:val="20"/>
                <w:szCs w:val="20"/>
                <w:color w:val="auto"/>
              </w:rPr>
            </w:pPr>
            <w:r>
              <w:rPr>
                <w:rFonts w:ascii="Arial" w:cs="Arial" w:eastAsia="Arial" w:hAnsi="Arial"/>
                <w:sz w:val="11"/>
                <w:szCs w:val="11"/>
                <w:b w:val="1"/>
                <w:bCs w:val="1"/>
                <w:color w:val="auto"/>
              </w:rPr>
              <w:t>Wasp AE</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3.3</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6320" w:type="dxa"/>
            <w:vAlign w:val="bottom"/>
            <w:gridSpan w:val="2"/>
          </w:tcPr>
          <w:p>
            <w:pPr>
              <w:spacing w:after="0" w:line="122" w:lineRule="exact"/>
              <w:rPr>
                <w:sz w:val="20"/>
                <w:szCs w:val="20"/>
                <w:color w:val="auto"/>
              </w:rPr>
            </w:pPr>
            <w:r>
              <w:rPr>
                <w:rFonts w:ascii="Arial" w:cs="Arial" w:eastAsia="Arial" w:hAnsi="Arial"/>
                <w:sz w:val="11"/>
                <w:szCs w:val="11"/>
                <w:color w:val="auto"/>
                <w:w w:val="90"/>
              </w:rPr>
              <w:t>Hand launch and vertical autonomous landing capable (ground or water) Mechanical pan, tilt, zoom and digital zoom electro-optical and infrared</w:t>
            </w:r>
          </w:p>
        </w:tc>
        <w:tc>
          <w:tcPr>
            <w:tcW w:w="400" w:type="dxa"/>
            <w:vAlign w:val="bottom"/>
          </w:tcPr>
          <w:p>
            <w:pPr>
              <w:jc w:val="center"/>
              <w:ind w:left="6"/>
              <w:spacing w:after="0" w:line="122" w:lineRule="exact"/>
              <w:rPr>
                <w:sz w:val="20"/>
                <w:szCs w:val="20"/>
                <w:color w:val="auto"/>
              </w:rPr>
            </w:pPr>
            <w:r>
              <w:rPr>
                <w:rFonts w:ascii="Arial" w:cs="Arial" w:eastAsia="Arial" w:hAnsi="Arial"/>
                <w:sz w:val="11"/>
                <w:szCs w:val="11"/>
                <w:color w:val="auto"/>
                <w:w w:val="97"/>
              </w:rPr>
              <w:t>3</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21"/>
        </w:trPr>
        <w:tc>
          <w:tcPr>
            <w:tcW w:w="5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w w:val="95"/>
              </w:rPr>
              <w:t>VAPOR 55</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55.0</w:t>
            </w:r>
          </w:p>
        </w:tc>
        <w:tc>
          <w:tcPr>
            <w:tcW w:w="31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Vertical take-off and landing</w:t>
            </w:r>
          </w:p>
        </w:tc>
        <w:tc>
          <w:tcPr>
            <w:tcW w:w="320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Ability to integrate multiple third party payloads</w:t>
            </w:r>
          </w:p>
        </w:tc>
        <w:tc>
          <w:tcPr>
            <w:tcW w:w="400" w:type="dxa"/>
            <w:vAlign w:val="bottom"/>
            <w:shd w:val="clear" w:color="auto" w:fill="CCEEFF"/>
          </w:tcPr>
          <w:p>
            <w:pPr>
              <w:jc w:val="center"/>
              <w:ind w:left="6"/>
              <w:spacing w:after="0" w:line="122" w:lineRule="exact"/>
              <w:rPr>
                <w:sz w:val="20"/>
                <w:szCs w:val="20"/>
                <w:color w:val="auto"/>
              </w:rPr>
            </w:pPr>
            <w:r>
              <w:rPr>
                <w:rFonts w:ascii="Arial" w:cs="Arial" w:eastAsia="Arial" w:hAnsi="Arial"/>
                <w:sz w:val="11"/>
                <w:szCs w:val="11"/>
                <w:color w:val="auto"/>
                <w:w w:val="97"/>
              </w:rPr>
              <w:t>5</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08"/>
        </w:trPr>
        <w:tc>
          <w:tcPr>
            <w:tcW w:w="540" w:type="dxa"/>
            <w:vAlign w:val="bottom"/>
          </w:tcPr>
          <w:p>
            <w:pPr>
              <w:spacing w:after="0" w:line="108" w:lineRule="exact"/>
              <w:rPr>
                <w:sz w:val="20"/>
                <w:szCs w:val="20"/>
                <w:color w:val="auto"/>
              </w:rPr>
            </w:pPr>
            <w:r>
              <w:rPr>
                <w:rFonts w:ascii="Arial" w:cs="Arial" w:eastAsia="Arial" w:hAnsi="Arial"/>
                <w:sz w:val="11"/>
                <w:szCs w:val="11"/>
                <w:b w:val="1"/>
                <w:bCs w:val="1"/>
                <w:color w:val="auto"/>
              </w:rPr>
              <w:t>Quantix</w:t>
            </w: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20"/>
                <w:szCs w:val="20"/>
                <w:color w:val="auto"/>
              </w:rPr>
            </w:pPr>
            <w:r>
              <w:rPr>
                <w:rFonts w:ascii="Arial" w:cs="Arial" w:eastAsia="Arial" w:hAnsi="Arial"/>
                <w:sz w:val="11"/>
                <w:szCs w:val="11"/>
                <w:b w:val="1"/>
                <w:bCs w:val="1"/>
                <w:color w:val="auto"/>
              </w:rPr>
              <w:t>Recon</w:t>
            </w:r>
          </w:p>
        </w:tc>
        <w:tc>
          <w:tcPr>
            <w:tcW w:w="780" w:type="dxa"/>
            <w:vAlign w:val="bottom"/>
          </w:tcPr>
          <w:p>
            <w:pPr>
              <w:jc w:val="right"/>
              <w:spacing w:after="0"/>
              <w:rPr>
                <w:sz w:val="20"/>
                <w:szCs w:val="20"/>
                <w:color w:val="auto"/>
              </w:rPr>
            </w:pPr>
            <w:r>
              <w:rPr>
                <w:rFonts w:ascii="Arial" w:cs="Arial" w:eastAsia="Arial" w:hAnsi="Arial"/>
                <w:sz w:val="11"/>
                <w:szCs w:val="11"/>
                <w:color w:val="auto"/>
              </w:rPr>
              <w:t>3.2</w:t>
            </w:r>
          </w:p>
        </w:tc>
        <w:tc>
          <w:tcPr>
            <w:tcW w:w="340" w:type="dxa"/>
            <w:vAlign w:val="bottom"/>
          </w:tcPr>
          <w:p>
            <w:pPr>
              <w:jc w:val="right"/>
              <w:spacing w:after="0"/>
              <w:rPr>
                <w:sz w:val="20"/>
                <w:szCs w:val="20"/>
                <w:color w:val="auto"/>
              </w:rPr>
            </w:pPr>
            <w:r>
              <w:rPr>
                <w:rFonts w:ascii="Arial" w:cs="Arial" w:eastAsia="Arial" w:hAnsi="Arial"/>
                <w:sz w:val="11"/>
                <w:szCs w:val="11"/>
                <w:color w:val="auto"/>
              </w:rPr>
              <w:t>5.0</w:t>
            </w:r>
          </w:p>
        </w:tc>
        <w:tc>
          <w:tcPr>
            <w:tcW w:w="3120" w:type="dxa"/>
            <w:vAlign w:val="bottom"/>
          </w:tcPr>
          <w:p>
            <w:pPr>
              <w:spacing w:after="0"/>
              <w:rPr>
                <w:sz w:val="20"/>
                <w:szCs w:val="20"/>
                <w:color w:val="auto"/>
              </w:rPr>
            </w:pPr>
            <w:r>
              <w:rPr>
                <w:rFonts w:ascii="Arial" w:cs="Arial" w:eastAsia="Arial" w:hAnsi="Arial"/>
                <w:sz w:val="11"/>
                <w:szCs w:val="11"/>
                <w:color w:val="auto"/>
              </w:rPr>
              <w:t>Vertical take-off and landing</w:t>
            </w:r>
          </w:p>
        </w:tc>
        <w:tc>
          <w:tcPr>
            <w:tcW w:w="3200" w:type="dxa"/>
            <w:vAlign w:val="bottom"/>
          </w:tcPr>
          <w:p>
            <w:pPr>
              <w:ind w:left="40"/>
              <w:spacing w:after="0"/>
              <w:rPr>
                <w:sz w:val="20"/>
                <w:szCs w:val="20"/>
                <w:color w:val="auto"/>
              </w:rPr>
            </w:pPr>
            <w:r>
              <w:rPr>
                <w:rFonts w:ascii="Arial" w:cs="Arial" w:eastAsia="Arial" w:hAnsi="Arial"/>
                <w:sz w:val="11"/>
                <w:szCs w:val="11"/>
                <w:color w:val="auto"/>
              </w:rPr>
              <w:t>Dual 18 megapixel high-resolution RGB and multispectral</w:t>
            </w:r>
          </w:p>
        </w:tc>
        <w:tc>
          <w:tcPr>
            <w:tcW w:w="400" w:type="dxa"/>
            <w:vAlign w:val="bottom"/>
          </w:tcPr>
          <w:p>
            <w:pPr>
              <w:jc w:val="center"/>
              <w:spacing w:after="0"/>
              <w:rPr>
                <w:sz w:val="20"/>
                <w:szCs w:val="20"/>
                <w:color w:val="auto"/>
              </w:rPr>
            </w:pPr>
            <w:r>
              <w:rPr>
                <w:rFonts w:ascii="Arial" w:cs="Arial" w:eastAsia="Arial" w:hAnsi="Arial"/>
                <w:sz w:val="11"/>
                <w:szCs w:val="11"/>
                <w:color w:val="auto"/>
                <w:w w:val="97"/>
              </w:rPr>
              <w:t>12</w:t>
            </w:r>
          </w:p>
        </w:tc>
        <w:tc>
          <w:tcPr>
            <w:tcW w:w="520" w:type="dxa"/>
            <w:vAlign w:val="bottom"/>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65405</wp:posOffset>
            </wp:positionV>
            <wp:extent cx="1414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7" w:lineRule="exact"/>
        <w:rPr>
          <w:sz w:val="20"/>
          <w:szCs w:val="20"/>
          <w:color w:val="auto"/>
        </w:rPr>
      </w:pPr>
    </w:p>
    <w:p>
      <w:pPr>
        <w:ind w:left="380" w:right="579" w:hanging="330"/>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point-to-point minimum customer-mandated specifications for all operating conditions. In optimal conditions, the performance of our products may significantly exceed these specifications. Our digital data links (“DDL”) relay can enable operational modes that can extend range significantly.</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ground control system serves as the primary interface between the operator and our small UAS and allows the operator of each system to control the direction, speed and altitude of the aircraft as well as the orientation of the sensors to view the visual information they produce through real-time, streaming video and metadata. Our common ground control system interfaces with each of our fixed wing air vehicles, providing a common user experience. In addition to the thousands of air vehicles delivered to our customers, thousands of ground control systems are also in our customers’ hands.</w:t>
      </w:r>
    </w:p>
    <w:p>
      <w:pPr>
        <w:spacing w:after="0" w:line="161"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Our line of miniature gimbaled sensor payloads provides small UAS operators with enhanced observation and target tracking functionality. Our DDL is integrated into Puma LE, Puma AE, Raven and Wasp AE systems, enhancing their capabilities, and ultimately, the utility of our small UAS by enabling more efficient radio spectrum utilization and communications security. Small UAS incorporating our DDL are optimized for the low-power, low-latency, and streaming bandwidth efficiency required for UAS. Additionally, our DDL enables each air vehicle to operate as an Internet-Protocol addressable hub capable of routing and relaying video, voice and data to and from multiple other nodes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i w:val="1"/>
          <w:iCs w:val="1"/>
          <w:color w:val="auto"/>
        </w:rPr>
        <w:t>ad hoc</w:t>
      </w:r>
      <w:r>
        <w:rPr>
          <w:rFonts w:ascii="Arial" w:cs="Arial" w:eastAsia="Arial" w:hAnsi="Arial"/>
          <w:sz w:val="18"/>
          <w:szCs w:val="18"/>
          <w:color w:val="auto"/>
        </w:rPr>
        <w:t xml:space="preserve"> network. This capability enables beyond line-of-sight operation of our small UAS, further enhancing their value proposition to our customers.</w:t>
      </w:r>
    </w:p>
    <w:p>
      <w:pPr>
        <w:spacing w:after="0" w:line="16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MUAS Products</w:t>
      </w:r>
    </w:p>
    <w:p>
      <w:pPr>
        <w:spacing w:after="0" w:line="229"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Providing similar capabilities to our small UAS, our field-deployable MUAS, including T-20 and JUMP 20, deliver extended endurance and expanded payload capacity to support a broader set of missions that benefit from aerial surveillance and the use of specialized payloads. The internal combustion-powered T-20 and JUMP 20 offer significantly greater endurance and payload capacity than our small UAS, with larger airframes that can also accommodate a wider variety of payloads. The JUMP 20 launches and lands vertically as a result of its vertical take-off and landing (“VTOL”) rotors, minimizing the amount of space required for its operation. The T-20 launches from a catapult, lands on a short runway and provides more than 24 hours of endurance.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T-20 and JUMP 20 operate from their own portable common ground control system.</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00" w:type="dxa"/>
            <w:vAlign w:val="bottom"/>
          </w:tcPr>
          <w:p>
            <w:pPr>
              <w:jc w:val="center"/>
              <w:ind w:left="466"/>
              <w:spacing w:after="0"/>
              <w:rPr>
                <w:sz w:val="20"/>
                <w:szCs w:val="20"/>
                <w:color w:val="auto"/>
              </w:rPr>
            </w:pPr>
            <w:r>
              <w:rPr>
                <w:rFonts w:ascii="Arial" w:cs="Arial" w:eastAsia="Arial" w:hAnsi="Arial"/>
                <w:sz w:val="11"/>
                <w:szCs w:val="11"/>
                <w:b w:val="1"/>
                <w:bCs w:val="1"/>
                <w:color w:val="auto"/>
                <w:w w:val="91"/>
              </w:rPr>
              <w:t>Medium</w:t>
            </w:r>
          </w:p>
        </w:tc>
        <w:tc>
          <w:tcPr>
            <w:tcW w:w="1220" w:type="dxa"/>
            <w:vAlign w:val="bottom"/>
          </w:tcPr>
          <w:p>
            <w:pPr>
              <w:jc w:val="center"/>
              <w:ind w:left="446"/>
              <w:spacing w:after="0"/>
              <w:rPr>
                <w:sz w:val="20"/>
                <w:szCs w:val="20"/>
                <w:color w:val="auto"/>
              </w:rPr>
            </w:pPr>
            <w:r>
              <w:rPr>
                <w:rFonts w:ascii="Arial" w:cs="Arial" w:eastAsia="Arial" w:hAnsi="Arial"/>
                <w:sz w:val="11"/>
                <w:szCs w:val="11"/>
                <w:b w:val="1"/>
                <w:bCs w:val="1"/>
                <w:color w:val="auto"/>
                <w:w w:val="88"/>
              </w:rPr>
              <w:t>Wingspan /</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5"/>
              </w:rPr>
              <w:t>Useable</w:t>
            </w: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jc w:val="center"/>
              <w:ind w:left="466"/>
              <w:spacing w:after="0" w:line="122" w:lineRule="exact"/>
              <w:rPr>
                <w:sz w:val="20"/>
                <w:szCs w:val="20"/>
                <w:color w:val="auto"/>
              </w:rPr>
            </w:pPr>
            <w:r>
              <w:rPr>
                <w:rFonts w:ascii="Arial" w:cs="Arial" w:eastAsia="Arial" w:hAnsi="Arial"/>
                <w:sz w:val="11"/>
                <w:szCs w:val="11"/>
                <w:b w:val="1"/>
                <w:bCs w:val="1"/>
                <w:color w:val="auto"/>
                <w:w w:val="94"/>
              </w:rPr>
              <w:t>UAS</w:t>
            </w:r>
          </w:p>
        </w:tc>
        <w:tc>
          <w:tcPr>
            <w:tcW w:w="1220" w:type="dxa"/>
            <w:vAlign w:val="bottom"/>
          </w:tcPr>
          <w:p>
            <w:pPr>
              <w:jc w:val="center"/>
              <w:ind w:left="446"/>
              <w:spacing w:after="0" w:line="122" w:lineRule="exact"/>
              <w:rPr>
                <w:sz w:val="20"/>
                <w:szCs w:val="20"/>
                <w:color w:val="auto"/>
              </w:rPr>
            </w:pPr>
            <w:r>
              <w:rPr>
                <w:rFonts w:ascii="Arial" w:cs="Arial" w:eastAsia="Arial" w:hAnsi="Arial"/>
                <w:sz w:val="11"/>
                <w:szCs w:val="11"/>
                <w:b w:val="1"/>
                <w:bCs w:val="1"/>
                <w:color w:val="auto"/>
                <w:w w:val="90"/>
              </w:rPr>
              <w:t>Rotor Diameter</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Payload</w:t>
            </w:r>
          </w:p>
        </w:tc>
        <w:tc>
          <w:tcPr>
            <w:tcW w:w="840" w:type="dxa"/>
            <w:vAlign w:val="bottom"/>
          </w:tcPr>
          <w:p>
            <w:pPr>
              <w:jc w:val="right"/>
              <w:ind w:right="386"/>
              <w:spacing w:after="0" w:line="122" w:lineRule="exact"/>
              <w:rPr>
                <w:sz w:val="20"/>
                <w:szCs w:val="20"/>
                <w:color w:val="auto"/>
              </w:rPr>
            </w:pPr>
            <w:r>
              <w:rPr>
                <w:rFonts w:ascii="Arial" w:cs="Arial" w:eastAsia="Arial" w:hAnsi="Arial"/>
                <w:sz w:val="11"/>
                <w:szCs w:val="11"/>
                <w:b w:val="1"/>
                <w:bCs w:val="1"/>
                <w:color w:val="auto"/>
              </w:rPr>
              <w:t>Weight</w:t>
            </w:r>
          </w:p>
        </w:tc>
        <w:tc>
          <w:tcPr>
            <w:tcW w:w="1380" w:type="dxa"/>
            <w:vAlign w:val="bottom"/>
          </w:tcPr>
          <w:p>
            <w:pPr>
              <w:spacing w:after="0"/>
              <w:rPr>
                <w:sz w:val="10"/>
                <w:szCs w:val="10"/>
                <w:color w:val="auto"/>
              </w:rPr>
            </w:pPr>
          </w:p>
        </w:tc>
        <w:tc>
          <w:tcPr>
            <w:tcW w:w="1860" w:type="dxa"/>
            <w:vAlign w:val="bottom"/>
          </w:tcPr>
          <w:p>
            <w:pPr>
              <w:ind w:left="880"/>
              <w:spacing w:after="0" w:line="122" w:lineRule="exact"/>
              <w:rPr>
                <w:sz w:val="20"/>
                <w:szCs w:val="20"/>
                <w:color w:val="auto"/>
              </w:rPr>
            </w:pPr>
            <w:r>
              <w:rPr>
                <w:rFonts w:ascii="Arial" w:cs="Arial" w:eastAsia="Arial" w:hAnsi="Arial"/>
                <w:sz w:val="11"/>
                <w:szCs w:val="11"/>
                <w:b w:val="1"/>
                <w:bCs w:val="1"/>
                <w:color w:val="auto"/>
              </w:rPr>
              <w:t>Standard</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Range Flight Time</w:t>
            </w:r>
          </w:p>
        </w:tc>
        <w:tc>
          <w:tcPr>
            <w:tcW w:w="0" w:type="dxa"/>
            <w:vAlign w:val="bottom"/>
          </w:tcPr>
          <w:p>
            <w:pPr>
              <w:spacing w:after="0"/>
              <w:rPr>
                <w:sz w:val="1"/>
                <w:szCs w:val="1"/>
                <w:color w:val="auto"/>
              </w:rPr>
            </w:pPr>
          </w:p>
        </w:tc>
      </w:tr>
      <w:tr>
        <w:trPr>
          <w:trHeight w:val="135"/>
        </w:trPr>
        <w:tc>
          <w:tcPr>
            <w:tcW w:w="1900" w:type="dxa"/>
            <w:vAlign w:val="bottom"/>
            <w:tcBorders>
              <w:bottom w:val="single" w:sz="8" w:color="auto"/>
            </w:tcBorders>
          </w:tcPr>
          <w:p>
            <w:pPr>
              <w:jc w:val="center"/>
              <w:ind w:left="466"/>
              <w:spacing w:after="0"/>
              <w:rPr>
                <w:sz w:val="20"/>
                <w:szCs w:val="20"/>
                <w:color w:val="auto"/>
              </w:rPr>
            </w:pPr>
            <w:r>
              <w:rPr>
                <w:rFonts w:ascii="Arial" w:cs="Arial" w:eastAsia="Arial" w:hAnsi="Arial"/>
                <w:sz w:val="11"/>
                <w:szCs w:val="11"/>
                <w:b w:val="1"/>
                <w:bCs w:val="1"/>
                <w:color w:val="auto"/>
                <w:w w:val="91"/>
              </w:rPr>
              <w:t>Product</w:t>
            </w:r>
          </w:p>
        </w:tc>
        <w:tc>
          <w:tcPr>
            <w:tcW w:w="1220" w:type="dxa"/>
            <w:vAlign w:val="bottom"/>
            <w:tcBorders>
              <w:bottom w:val="single" w:sz="8" w:color="auto"/>
            </w:tcBorders>
          </w:tcPr>
          <w:p>
            <w:pPr>
              <w:jc w:val="center"/>
              <w:ind w:left="466"/>
              <w:spacing w:after="0"/>
              <w:rPr>
                <w:sz w:val="20"/>
                <w:szCs w:val="20"/>
                <w:color w:val="auto"/>
              </w:rPr>
            </w:pPr>
            <w:r>
              <w:rPr>
                <w:rFonts w:ascii="Arial" w:cs="Arial" w:eastAsia="Arial" w:hAnsi="Arial"/>
                <w:sz w:val="11"/>
                <w:szCs w:val="11"/>
                <w:b w:val="1"/>
                <w:bCs w:val="1"/>
                <w:color w:val="auto"/>
              </w:rPr>
              <w:t>(ft.)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Capacity (lbs.)</w:t>
            </w:r>
          </w:p>
        </w:tc>
        <w:tc>
          <w:tcPr>
            <w:tcW w:w="84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(lbs.)</w:t>
            </w: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Launch and Recovery</w:t>
            </w:r>
          </w:p>
        </w:tc>
        <w:tc>
          <w:tcPr>
            <w:tcW w:w="1860" w:type="dxa"/>
            <w:vAlign w:val="bottom"/>
            <w:tcBorders>
              <w:bottom w:val="single" w:sz="8" w:color="auto"/>
            </w:tcBorders>
          </w:tcPr>
          <w:p>
            <w:pPr>
              <w:ind w:left="920"/>
              <w:spacing w:after="0"/>
              <w:rPr>
                <w:sz w:val="20"/>
                <w:szCs w:val="20"/>
                <w:color w:val="auto"/>
              </w:rPr>
            </w:pPr>
            <w:r>
              <w:rPr>
                <w:rFonts w:ascii="Arial" w:cs="Arial" w:eastAsia="Arial" w:hAnsi="Arial"/>
                <w:sz w:val="11"/>
                <w:szCs w:val="11"/>
                <w:b w:val="1"/>
                <w:bCs w:val="1"/>
                <w:color w:val="auto"/>
              </w:rPr>
              <w:t>Sensors</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(mi.)(1)</w:t>
            </w: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(min.)(1)</w:t>
            </w:r>
          </w:p>
        </w:tc>
        <w:tc>
          <w:tcPr>
            <w:tcW w:w="0" w:type="dxa"/>
            <w:vAlign w:val="bottom"/>
          </w:tcPr>
          <w:p>
            <w:pPr>
              <w:spacing w:after="0"/>
              <w:rPr>
                <w:sz w:val="1"/>
                <w:szCs w:val="1"/>
                <w:color w:val="auto"/>
              </w:rPr>
            </w:pPr>
          </w:p>
        </w:tc>
      </w:tr>
      <w:tr>
        <w:trPr>
          <w:trHeight w:val="105"/>
        </w:trPr>
        <w:tc>
          <w:tcPr>
            <w:tcW w:w="19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386"/>
              <w:spacing w:after="0" w:line="105" w:lineRule="exact"/>
              <w:rPr>
                <w:sz w:val="20"/>
                <w:szCs w:val="20"/>
                <w:color w:val="auto"/>
              </w:rPr>
            </w:pPr>
            <w:r>
              <w:rPr>
                <w:rFonts w:ascii="Arial" w:cs="Arial" w:eastAsia="Arial" w:hAnsi="Arial"/>
                <w:sz w:val="11"/>
                <w:szCs w:val="11"/>
                <w:color w:val="auto"/>
              </w:rPr>
              <w:t>225</w:t>
            </w:r>
          </w:p>
        </w:tc>
        <w:tc>
          <w:tcPr>
            <w:tcW w:w="13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86"/>
              </w:rPr>
              <w:t>(includes</w:t>
            </w:r>
          </w:p>
        </w:tc>
        <w:tc>
          <w:tcPr>
            <w:tcW w:w="1380" w:type="dxa"/>
            <w:vAlign w:val="bottom"/>
            <w:shd w:val="clear" w:color="auto" w:fill="CCEEFF"/>
          </w:tcPr>
          <w:p>
            <w:pPr>
              <w:spacing w:after="0"/>
              <w:rPr>
                <w:sz w:val="10"/>
                <w:szCs w:val="10"/>
                <w:color w:val="auto"/>
              </w:rPr>
            </w:pPr>
          </w:p>
        </w:tc>
        <w:tc>
          <w:tcPr>
            <w:tcW w:w="18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3"/>
              </w:rPr>
              <w:t>Multiple EO, IR and other payloads</w:t>
            </w:r>
          </w:p>
        </w:tc>
        <w:tc>
          <w:tcPr>
            <w:tcW w:w="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T-20</w:t>
            </w:r>
          </w:p>
        </w:tc>
        <w:tc>
          <w:tcPr>
            <w:tcW w:w="1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96"/>
              </w:rPr>
              <w:t>fuel and</w:t>
            </w:r>
          </w:p>
        </w:tc>
        <w:tc>
          <w:tcPr>
            <w:tcW w:w="1380" w:type="dxa"/>
            <w:vAlign w:val="bottom"/>
            <w:shd w:val="clear" w:color="auto" w:fill="CCEEFF"/>
          </w:tcPr>
          <w:p>
            <w:pPr>
              <w:spacing w:after="0"/>
              <w:rPr>
                <w:sz w:val="10"/>
                <w:szCs w:val="10"/>
                <w:color w:val="auto"/>
              </w:rPr>
            </w:pPr>
          </w:p>
        </w:tc>
        <w:tc>
          <w:tcPr>
            <w:tcW w:w="18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available based on mission</w:t>
            </w:r>
          </w:p>
        </w:tc>
        <w:tc>
          <w:tcPr>
            <w:tcW w:w="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00" w:type="dxa"/>
            <w:vAlign w:val="bottom"/>
            <w:vMerge w:val="continue"/>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payload) Catapult launch, skid landing</w:t>
            </w:r>
          </w:p>
        </w:tc>
        <w:tc>
          <w:tcPr>
            <w:tcW w:w="1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requirements</w:t>
            </w:r>
          </w:p>
        </w:tc>
        <w:tc>
          <w:tcPr>
            <w:tcW w:w="48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76"/>
              </w:rPr>
              <w:t>115</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1,440+</w:t>
            </w:r>
          </w:p>
        </w:tc>
        <w:tc>
          <w:tcPr>
            <w:tcW w:w="0" w:type="dxa"/>
            <w:vAlign w:val="bottom"/>
          </w:tcPr>
          <w:p>
            <w:pPr>
              <w:spacing w:after="0"/>
              <w:rPr>
                <w:sz w:val="1"/>
                <w:szCs w:val="1"/>
                <w:color w:val="auto"/>
              </w:rPr>
            </w:pPr>
          </w:p>
        </w:tc>
      </w:tr>
      <w:tr>
        <w:trPr>
          <w:trHeight w:val="112"/>
        </w:trPr>
        <w:tc>
          <w:tcPr>
            <w:tcW w:w="1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jc w:val="right"/>
              <w:ind w:right="386"/>
              <w:spacing w:after="0" w:line="112" w:lineRule="exact"/>
              <w:rPr>
                <w:sz w:val="20"/>
                <w:szCs w:val="20"/>
                <w:color w:val="auto"/>
              </w:rPr>
            </w:pPr>
            <w:r>
              <w:rPr>
                <w:rFonts w:ascii="Arial" w:cs="Arial" w:eastAsia="Arial" w:hAnsi="Arial"/>
                <w:sz w:val="11"/>
                <w:szCs w:val="11"/>
                <w:color w:val="auto"/>
              </w:rPr>
              <w:t>215</w:t>
            </w:r>
          </w:p>
        </w:tc>
        <w:tc>
          <w:tcPr>
            <w:tcW w:w="1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jc w:val="right"/>
              <w:ind w:right="386"/>
              <w:spacing w:after="0" w:line="122" w:lineRule="exact"/>
              <w:rPr>
                <w:sz w:val="20"/>
                <w:szCs w:val="20"/>
                <w:color w:val="auto"/>
              </w:rPr>
            </w:pPr>
            <w:r>
              <w:rPr>
                <w:rFonts w:ascii="Arial" w:cs="Arial" w:eastAsia="Arial" w:hAnsi="Arial"/>
                <w:sz w:val="11"/>
                <w:szCs w:val="11"/>
                <w:color w:val="auto"/>
                <w:w w:val="86"/>
              </w:rPr>
              <w:t>(includes</w:t>
            </w:r>
          </w:p>
        </w:tc>
        <w:tc>
          <w:tcPr>
            <w:tcW w:w="1380" w:type="dxa"/>
            <w:vAlign w:val="bottom"/>
          </w:tcPr>
          <w:p>
            <w:pPr>
              <w:spacing w:after="0"/>
              <w:rPr>
                <w:sz w:val="10"/>
                <w:szCs w:val="10"/>
                <w:color w:val="auto"/>
              </w:rPr>
            </w:pPr>
          </w:p>
        </w:tc>
        <w:tc>
          <w:tcPr>
            <w:tcW w:w="1860" w:type="dxa"/>
            <w:vAlign w:val="bottom"/>
          </w:tcPr>
          <w:p>
            <w:pPr>
              <w:ind w:left="240"/>
              <w:spacing w:after="0" w:line="122" w:lineRule="exact"/>
              <w:rPr>
                <w:sz w:val="20"/>
                <w:szCs w:val="20"/>
                <w:color w:val="auto"/>
              </w:rPr>
            </w:pPr>
            <w:r>
              <w:rPr>
                <w:rFonts w:ascii="Arial" w:cs="Arial" w:eastAsia="Arial" w:hAnsi="Arial"/>
                <w:sz w:val="11"/>
                <w:szCs w:val="11"/>
                <w:color w:val="auto"/>
                <w:w w:val="93"/>
              </w:rPr>
              <w:t>Multiple EO, IR and other payloads</w:t>
            </w: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JUMP 20</w:t>
            </w: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jc w:val="right"/>
              <w:ind w:right="386"/>
              <w:spacing w:after="0" w:line="122" w:lineRule="exact"/>
              <w:rPr>
                <w:sz w:val="20"/>
                <w:szCs w:val="20"/>
                <w:color w:val="auto"/>
              </w:rPr>
            </w:pPr>
            <w:r>
              <w:rPr>
                <w:rFonts w:ascii="Arial" w:cs="Arial" w:eastAsia="Arial" w:hAnsi="Arial"/>
                <w:sz w:val="11"/>
                <w:szCs w:val="11"/>
                <w:color w:val="auto"/>
                <w:w w:val="96"/>
              </w:rPr>
              <w:t>fuel and</w:t>
            </w:r>
          </w:p>
        </w:tc>
        <w:tc>
          <w:tcPr>
            <w:tcW w:w="1380" w:type="dxa"/>
            <w:vAlign w:val="bottom"/>
          </w:tcPr>
          <w:p>
            <w:pPr>
              <w:spacing w:after="0"/>
              <w:rPr>
                <w:sz w:val="10"/>
                <w:szCs w:val="10"/>
                <w:color w:val="auto"/>
              </w:rPr>
            </w:pPr>
          </w:p>
        </w:tc>
        <w:tc>
          <w:tcPr>
            <w:tcW w:w="1860" w:type="dxa"/>
            <w:vAlign w:val="bottom"/>
          </w:tcPr>
          <w:p>
            <w:pPr>
              <w:ind w:left="240"/>
              <w:spacing w:after="0" w:line="122" w:lineRule="exact"/>
              <w:rPr>
                <w:sz w:val="20"/>
                <w:szCs w:val="20"/>
                <w:color w:val="auto"/>
              </w:rPr>
            </w:pPr>
            <w:r>
              <w:rPr>
                <w:rFonts w:ascii="Arial" w:cs="Arial" w:eastAsia="Arial" w:hAnsi="Arial"/>
                <w:sz w:val="11"/>
                <w:szCs w:val="11"/>
                <w:color w:val="auto"/>
              </w:rPr>
              <w:t>available based on mission</w:t>
            </w: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900" w:type="dxa"/>
            <w:vAlign w:val="bottom"/>
            <w:vMerge w:val="continue"/>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18.8</w:t>
            </w:r>
          </w:p>
        </w:tc>
        <w:tc>
          <w:tcPr>
            <w:tcW w:w="680" w:type="dxa"/>
            <w:vAlign w:val="bottom"/>
          </w:tcPr>
          <w:p>
            <w:pPr>
              <w:jc w:val="right"/>
              <w:spacing w:after="0"/>
              <w:rPr>
                <w:sz w:val="20"/>
                <w:szCs w:val="20"/>
                <w:color w:val="auto"/>
              </w:rPr>
            </w:pPr>
            <w:r>
              <w:rPr>
                <w:rFonts w:ascii="Arial" w:cs="Arial" w:eastAsia="Arial" w:hAnsi="Arial"/>
                <w:sz w:val="11"/>
                <w:szCs w:val="11"/>
                <w:color w:val="auto"/>
              </w:rPr>
              <w:t>30</w:t>
            </w:r>
          </w:p>
        </w:tc>
        <w:tc>
          <w:tcPr>
            <w:tcW w:w="840" w:type="dxa"/>
            <w:vAlign w:val="bottom"/>
          </w:tcPr>
          <w:p>
            <w:pPr>
              <w:ind w:left="40"/>
              <w:spacing w:after="0"/>
              <w:rPr>
                <w:sz w:val="20"/>
                <w:szCs w:val="20"/>
                <w:color w:val="auto"/>
              </w:rPr>
            </w:pPr>
            <w:r>
              <w:rPr>
                <w:rFonts w:ascii="Arial" w:cs="Arial" w:eastAsia="Arial" w:hAnsi="Arial"/>
                <w:sz w:val="11"/>
                <w:szCs w:val="11"/>
                <w:color w:val="auto"/>
              </w:rPr>
              <w:t>payload) VTOL</w:t>
            </w:r>
          </w:p>
        </w:tc>
        <w:tc>
          <w:tcPr>
            <w:tcW w:w="1380" w:type="dxa"/>
            <w:vAlign w:val="bottom"/>
          </w:tcPr>
          <w:p>
            <w:pPr>
              <w:spacing w:after="0"/>
              <w:rPr>
                <w:sz w:val="11"/>
                <w:szCs w:val="11"/>
                <w:color w:val="auto"/>
              </w:rPr>
            </w:pPr>
          </w:p>
        </w:tc>
        <w:tc>
          <w:tcPr>
            <w:tcW w:w="1860" w:type="dxa"/>
            <w:vAlign w:val="bottom"/>
          </w:tcPr>
          <w:p>
            <w:pPr>
              <w:ind w:left="240"/>
              <w:spacing w:after="0"/>
              <w:rPr>
                <w:sz w:val="20"/>
                <w:szCs w:val="20"/>
                <w:color w:val="auto"/>
              </w:rPr>
            </w:pPr>
            <w:r>
              <w:rPr>
                <w:rFonts w:ascii="Arial" w:cs="Arial" w:eastAsia="Arial" w:hAnsi="Arial"/>
                <w:sz w:val="11"/>
                <w:szCs w:val="11"/>
                <w:color w:val="auto"/>
              </w:rPr>
              <w:t>requirements</w:t>
            </w:r>
          </w:p>
        </w:tc>
        <w:tc>
          <w:tcPr>
            <w:tcW w:w="480" w:type="dxa"/>
            <w:vAlign w:val="bottom"/>
          </w:tcPr>
          <w:p>
            <w:pPr>
              <w:jc w:val="center"/>
              <w:ind w:left="6"/>
              <w:spacing w:after="0"/>
              <w:rPr>
                <w:sz w:val="20"/>
                <w:szCs w:val="20"/>
                <w:color w:val="auto"/>
              </w:rPr>
            </w:pPr>
            <w:r>
              <w:rPr>
                <w:rFonts w:ascii="Arial" w:cs="Arial" w:eastAsia="Arial" w:hAnsi="Arial"/>
                <w:sz w:val="11"/>
                <w:szCs w:val="11"/>
                <w:color w:val="auto"/>
                <w:w w:val="76"/>
              </w:rPr>
              <w:t>115</w:t>
            </w:r>
          </w:p>
        </w:tc>
        <w:tc>
          <w:tcPr>
            <w:tcW w:w="540" w:type="dxa"/>
            <w:vAlign w:val="bottom"/>
          </w:tcPr>
          <w:p>
            <w:pPr>
              <w:jc w:val="right"/>
              <w:spacing w:after="0"/>
              <w:rPr>
                <w:sz w:val="20"/>
                <w:szCs w:val="20"/>
                <w:color w:val="auto"/>
              </w:rPr>
            </w:pPr>
            <w:r>
              <w:rPr>
                <w:rFonts w:ascii="Arial" w:cs="Arial" w:eastAsia="Arial" w:hAnsi="Arial"/>
                <w:sz w:val="11"/>
                <w:szCs w:val="11"/>
                <w:color w:val="auto"/>
              </w:rPr>
              <w:t>840+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Tactical Missile Systems Products</w:t>
      </w:r>
    </w:p>
    <w:p>
      <w:pPr>
        <w:spacing w:after="0" w:line="22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Our TMS consist of tube-launched aircraft that deploy with the push of a button, fly at higher speeds than our small UAS, and perform either effects delivery or reconnaissance missions. Switchblade 300, the first of our TMS products, can be transported in its launch tube, within a backpack, and deployed within minutes to defend against lethal threats such as snipers and mortar launchers. With a high level of precision, including a customized warhead, patented wave-off, loiter and re-engagement capabilities, Switchblade 300 can neutralize a target rapidly and accurately without causing collateral damage. Furthermore, because it streams live electro-optical and thermal video to its operator, Switchblade 300 can be called off in the final moments prior to a strike should the situation require, potentially eliminating damage to non-combatants. Switchblade 600 is a larger version of Switchblade 300 that can fly for a longer period of time and over a longer distance while carrying a larger, more powerful, anti-armor warhead. Blackwing, a variant of Switchblade 300, launches from a submerged submarine and carries extra batteries instead of a warhead, providing longer flight time for extended maritime reconnaissance operations.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320" w:type="dxa"/>
            <w:vAlign w:val="bottom"/>
          </w:tcPr>
          <w:p>
            <w:pPr>
              <w:jc w:val="center"/>
              <w:ind w:left="146"/>
              <w:spacing w:after="0"/>
              <w:rPr>
                <w:sz w:val="20"/>
                <w:szCs w:val="20"/>
                <w:color w:val="auto"/>
              </w:rPr>
            </w:pPr>
            <w:r>
              <w:rPr>
                <w:rFonts w:ascii="Arial" w:cs="Arial" w:eastAsia="Arial" w:hAnsi="Arial"/>
                <w:sz w:val="11"/>
                <w:szCs w:val="11"/>
                <w:b w:val="1"/>
                <w:bCs w:val="1"/>
                <w:color w:val="auto"/>
                <w:w w:val="87"/>
              </w:rPr>
              <w:t>Tactical</w:t>
            </w:r>
          </w:p>
        </w:tc>
        <w:tc>
          <w:tcPr>
            <w:tcW w:w="1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auto"/>
                <w:w w:val="86"/>
              </w:rPr>
              <w:t>Missile System</w:t>
            </w:r>
          </w:p>
        </w:tc>
        <w:tc>
          <w:tcPr>
            <w:tcW w:w="1840" w:type="dxa"/>
            <w:vAlign w:val="bottom"/>
          </w:tcPr>
          <w:p>
            <w:pPr>
              <w:spacing w:after="0"/>
              <w:rPr>
                <w:sz w:val="10"/>
                <w:szCs w:val="10"/>
                <w:color w:val="auto"/>
              </w:rPr>
            </w:pPr>
          </w:p>
        </w:tc>
        <w:tc>
          <w:tcPr>
            <w:tcW w:w="44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2"/>
              </w:rPr>
              <w:t>Weight</w:t>
            </w:r>
          </w:p>
        </w:tc>
        <w:tc>
          <w:tcPr>
            <w:tcW w:w="2760" w:type="dxa"/>
            <w:vAlign w:val="bottom"/>
          </w:tcPr>
          <w:p>
            <w:pPr>
              <w:spacing w:after="0"/>
              <w:rPr>
                <w:sz w:val="10"/>
                <w:szCs w:val="10"/>
                <w:color w:val="auto"/>
              </w:rPr>
            </w:pPr>
          </w:p>
        </w:tc>
        <w:tc>
          <w:tcPr>
            <w:tcW w:w="136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Standard</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Range</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Flight Time</w:t>
            </w:r>
          </w:p>
        </w:tc>
        <w:tc>
          <w:tcPr>
            <w:tcW w:w="0" w:type="dxa"/>
            <w:vAlign w:val="bottom"/>
          </w:tcPr>
          <w:p>
            <w:pPr>
              <w:spacing w:after="0"/>
              <w:rPr>
                <w:sz w:val="1"/>
                <w:szCs w:val="1"/>
                <w:color w:val="auto"/>
              </w:rPr>
            </w:pPr>
          </w:p>
        </w:tc>
      </w:tr>
      <w:tr>
        <w:trPr>
          <w:trHeight w:val="135"/>
        </w:trPr>
        <w:tc>
          <w:tcPr>
            <w:tcW w:w="132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1"/>
              </w:rPr>
              <w:t>Product</w:t>
            </w:r>
          </w:p>
        </w:tc>
        <w:tc>
          <w:tcPr>
            <w:tcW w:w="1840" w:type="dxa"/>
            <w:vAlign w:val="bottom"/>
            <w:tcBorders>
              <w:bottom w:val="single" w:sz="8" w:color="auto"/>
            </w:tcBorders>
          </w:tcPr>
          <w:p>
            <w:pPr>
              <w:ind w:left="700"/>
              <w:spacing w:after="0"/>
              <w:rPr>
                <w:sz w:val="20"/>
                <w:szCs w:val="20"/>
                <w:color w:val="auto"/>
              </w:rPr>
            </w:pPr>
            <w:r>
              <w:rPr>
                <w:rFonts w:ascii="Arial" w:cs="Arial" w:eastAsia="Arial" w:hAnsi="Arial"/>
                <w:sz w:val="11"/>
                <w:szCs w:val="11"/>
                <w:b w:val="1"/>
                <w:bCs w:val="1"/>
                <w:color w:val="auto"/>
              </w:rPr>
              <w:t>Differentiators</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(lbs.)</w:t>
            </w:r>
          </w:p>
        </w:tc>
        <w:tc>
          <w:tcPr>
            <w:tcW w:w="276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Launch and Recovery</w:t>
            </w: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Sensors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(mi.)(1)</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(min.)(1)</w:t>
            </w:r>
          </w:p>
        </w:tc>
        <w:tc>
          <w:tcPr>
            <w:tcW w:w="0" w:type="dxa"/>
            <w:vAlign w:val="bottom"/>
          </w:tcPr>
          <w:p>
            <w:pPr>
              <w:spacing w:after="0"/>
              <w:rPr>
                <w:sz w:val="1"/>
                <w:szCs w:val="1"/>
                <w:color w:val="auto"/>
              </w:rPr>
            </w:pPr>
          </w:p>
        </w:tc>
      </w:tr>
      <w:tr>
        <w:trPr>
          <w:trHeight w:val="105"/>
        </w:trPr>
        <w:tc>
          <w:tcPr>
            <w:tcW w:w="132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4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5.5</w:t>
            </w:r>
          </w:p>
        </w:tc>
        <w:tc>
          <w:tcPr>
            <w:tcW w:w="276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0"/>
              </w:rPr>
              <w:t>(includes</w:t>
            </w:r>
          </w:p>
        </w:tc>
        <w:tc>
          <w:tcPr>
            <w:tcW w:w="27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89"/>
              </w:rPr>
              <w:t>munition,</w:t>
            </w:r>
          </w:p>
        </w:tc>
        <w:tc>
          <w:tcPr>
            <w:tcW w:w="27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6"/>
              </w:rPr>
              <w:t>payload,</w:t>
            </w:r>
          </w:p>
        </w:tc>
        <w:tc>
          <w:tcPr>
            <w:tcW w:w="27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4"/>
              </w:rPr>
              <w:t>launcher</w:t>
            </w:r>
          </w:p>
        </w:tc>
        <w:tc>
          <w:tcPr>
            <w:tcW w:w="2760" w:type="dxa"/>
            <w:vAlign w:val="bottom"/>
            <w:shd w:val="clear" w:color="auto" w:fill="CCEEFF"/>
          </w:tcPr>
          <w:p>
            <w:pPr>
              <w:spacing w:after="0"/>
              <w:rPr>
                <w:sz w:val="10"/>
                <w:szCs w:val="10"/>
                <w:color w:val="auto"/>
              </w:rPr>
            </w:pPr>
          </w:p>
        </w:tc>
        <w:tc>
          <w:tcPr>
            <w:tcW w:w="13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6"/>
              </w:rPr>
              <w:t>Dual front and side look EO</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and</w:t>
            </w:r>
          </w:p>
        </w:tc>
        <w:tc>
          <w:tcPr>
            <w:tcW w:w="2760" w:type="dxa"/>
            <w:vAlign w:val="bottom"/>
            <w:shd w:val="clear" w:color="auto" w:fill="CCEEFF"/>
          </w:tcPr>
          <w:p>
            <w:pPr>
              <w:spacing w:after="0"/>
              <w:rPr>
                <w:sz w:val="10"/>
                <w:szCs w:val="10"/>
                <w:color w:val="auto"/>
              </w:rPr>
            </w:pPr>
          </w:p>
        </w:tc>
        <w:tc>
          <w:tcPr>
            <w:tcW w:w="13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0"/>
              </w:rPr>
              <w:t>cameras and IR nose camera</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Switchblade 300</w:t>
            </w:r>
          </w:p>
        </w:tc>
        <w:tc>
          <w:tcPr>
            <w:tcW w:w="18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Patented wave-off and recommit</w:t>
            </w: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2"/>
              </w:rPr>
              <w:t>transport</w:t>
            </w:r>
          </w:p>
        </w:tc>
        <w:tc>
          <w:tcPr>
            <w:tcW w:w="2760" w:type="dxa"/>
            <w:vAlign w:val="bottom"/>
            <w:shd w:val="clear" w:color="auto" w:fill="CCEEFF"/>
          </w:tcPr>
          <w:p>
            <w:pPr>
              <w:spacing w:after="0"/>
              <w:rPr>
                <w:sz w:val="10"/>
                <w:szCs w:val="10"/>
                <w:color w:val="auto"/>
              </w:rPr>
            </w:pPr>
          </w:p>
        </w:tc>
        <w:tc>
          <w:tcPr>
            <w:tcW w:w="13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0"/>
              </w:rPr>
              <w:t>with stabilized electronic pan-</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vMerge w:val="continue"/>
            <w:shd w:val="clear" w:color="auto" w:fill="CCEEFF"/>
          </w:tcPr>
          <w:p>
            <w:pPr>
              <w:spacing w:after="0"/>
              <w:rPr>
                <w:sz w:val="11"/>
                <w:szCs w:val="11"/>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1"/>
                <w:szCs w:val="11"/>
                <w:color w:val="auto"/>
                <w:w w:val="93"/>
              </w:rPr>
              <w:t>Direct fire weapon with 10km range</w:t>
            </w:r>
          </w:p>
        </w:tc>
        <w:tc>
          <w:tcPr>
            <w:tcW w:w="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bag)</w:t>
            </w:r>
          </w:p>
        </w:tc>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Single or multi-pack tube launch, single use loitering munition</w:t>
            </w:r>
          </w:p>
        </w:tc>
        <w:tc>
          <w:tcPr>
            <w:tcW w:w="1360" w:type="dxa"/>
            <w:vAlign w:val="bottom"/>
            <w:shd w:val="clear" w:color="auto" w:fill="CCEEFF"/>
          </w:tcPr>
          <w:p>
            <w:pPr>
              <w:ind w:left="40"/>
              <w:spacing w:after="0"/>
              <w:rPr>
                <w:sz w:val="20"/>
                <w:szCs w:val="20"/>
                <w:color w:val="auto"/>
              </w:rPr>
            </w:pPr>
            <w:r>
              <w:rPr>
                <w:rFonts w:ascii="Arial" w:cs="Arial" w:eastAsia="Arial" w:hAnsi="Arial"/>
                <w:sz w:val="11"/>
                <w:szCs w:val="11"/>
                <w:color w:val="auto"/>
              </w:rPr>
              <w:t>tilt-zoom</w:t>
            </w:r>
          </w:p>
        </w:tc>
        <w:tc>
          <w:tcPr>
            <w:tcW w:w="5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40" w:type="dxa"/>
            <w:vAlign w:val="bottom"/>
          </w:tcPr>
          <w:p>
            <w:pPr>
              <w:ind w:left="20"/>
              <w:spacing w:after="0" w:line="112" w:lineRule="exact"/>
              <w:rPr>
                <w:sz w:val="20"/>
                <w:szCs w:val="20"/>
                <w:color w:val="auto"/>
              </w:rPr>
            </w:pPr>
            <w:r>
              <w:rPr>
                <w:rFonts w:ascii="Arial" w:cs="Arial" w:eastAsia="Arial" w:hAnsi="Arial"/>
                <w:sz w:val="11"/>
                <w:szCs w:val="11"/>
                <w:color w:val="auto"/>
              </w:rPr>
              <w:t>68</w:t>
            </w:r>
          </w:p>
        </w:tc>
        <w:tc>
          <w:tcPr>
            <w:tcW w:w="27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840" w:type="dxa"/>
            <w:vAlign w:val="bottom"/>
          </w:tcPr>
          <w:p>
            <w:pPr>
              <w:ind w:left="200"/>
              <w:spacing w:after="0" w:line="122" w:lineRule="exact"/>
              <w:rPr>
                <w:sz w:val="20"/>
                <w:szCs w:val="20"/>
                <w:color w:val="auto"/>
              </w:rPr>
            </w:pPr>
            <w:r>
              <w:rPr>
                <w:rFonts w:ascii="Arial" w:cs="Arial" w:eastAsia="Arial" w:hAnsi="Arial"/>
                <w:sz w:val="11"/>
                <w:szCs w:val="11"/>
                <w:color w:val="auto"/>
              </w:rPr>
              <w:t>Patented wave-off and recommit;</w:t>
            </w:r>
          </w:p>
        </w:tc>
        <w:tc>
          <w:tcPr>
            <w:tcW w:w="440" w:type="dxa"/>
            <w:vAlign w:val="bottom"/>
          </w:tcPr>
          <w:p>
            <w:pPr>
              <w:ind w:left="20"/>
              <w:spacing w:after="0" w:line="122" w:lineRule="exact"/>
              <w:rPr>
                <w:sz w:val="20"/>
                <w:szCs w:val="20"/>
                <w:color w:val="auto"/>
              </w:rPr>
            </w:pPr>
            <w:r>
              <w:rPr>
                <w:rFonts w:ascii="Arial" w:cs="Arial" w:eastAsia="Arial" w:hAnsi="Arial"/>
                <w:sz w:val="11"/>
                <w:szCs w:val="11"/>
                <w:color w:val="auto"/>
                <w:w w:val="90"/>
              </w:rPr>
              <w:t>(includes</w:t>
            </w:r>
          </w:p>
        </w:tc>
        <w:tc>
          <w:tcPr>
            <w:tcW w:w="2760" w:type="dxa"/>
            <w:vAlign w:val="bottom"/>
          </w:tcPr>
          <w:p>
            <w:pPr>
              <w:spacing w:after="0"/>
              <w:rPr>
                <w:sz w:val="10"/>
                <w:szCs w:val="10"/>
                <w:color w:val="auto"/>
              </w:rPr>
            </w:pPr>
          </w:p>
        </w:tc>
        <w:tc>
          <w:tcPr>
            <w:tcW w:w="1360" w:type="dxa"/>
            <w:vAlign w:val="bottom"/>
          </w:tcPr>
          <w:p>
            <w:pPr>
              <w:ind w:left="40"/>
              <w:spacing w:after="0" w:line="122" w:lineRule="exact"/>
              <w:rPr>
                <w:sz w:val="20"/>
                <w:szCs w:val="20"/>
                <w:color w:val="auto"/>
              </w:rPr>
            </w:pPr>
            <w:r>
              <w:rPr>
                <w:rFonts w:ascii="Arial" w:cs="Arial" w:eastAsia="Arial" w:hAnsi="Arial"/>
                <w:sz w:val="11"/>
                <w:szCs w:val="11"/>
                <w:color w:val="auto"/>
                <w:w w:val="90"/>
              </w:rPr>
              <w:t>2-axis, 4-sensor gimbal (Dual</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Switchblade 600</w:t>
            </w:r>
          </w:p>
        </w:tc>
        <w:tc>
          <w:tcPr>
            <w:tcW w:w="1840" w:type="dxa"/>
            <w:vAlign w:val="bottom"/>
          </w:tcPr>
          <w:p>
            <w:pPr>
              <w:ind w:left="200"/>
              <w:spacing w:after="0" w:line="122" w:lineRule="exact"/>
              <w:rPr>
                <w:sz w:val="20"/>
                <w:szCs w:val="20"/>
                <w:color w:val="auto"/>
              </w:rPr>
            </w:pPr>
            <w:r>
              <w:rPr>
                <w:rFonts w:ascii="Arial" w:cs="Arial" w:eastAsia="Arial" w:hAnsi="Arial"/>
                <w:sz w:val="11"/>
                <w:szCs w:val="11"/>
                <w:color w:val="auto"/>
              </w:rPr>
              <w:t>anti-armor warhead</w:t>
            </w:r>
          </w:p>
        </w:tc>
        <w:tc>
          <w:tcPr>
            <w:tcW w:w="440" w:type="dxa"/>
            <w:vAlign w:val="bottom"/>
          </w:tcPr>
          <w:p>
            <w:pPr>
              <w:ind w:left="20"/>
              <w:spacing w:after="0" w:line="122" w:lineRule="exact"/>
              <w:rPr>
                <w:sz w:val="20"/>
                <w:szCs w:val="20"/>
                <w:color w:val="auto"/>
              </w:rPr>
            </w:pPr>
            <w:r>
              <w:rPr>
                <w:rFonts w:ascii="Arial" w:cs="Arial" w:eastAsia="Arial" w:hAnsi="Arial"/>
                <w:sz w:val="11"/>
                <w:szCs w:val="11"/>
                <w:color w:val="auto"/>
                <w:w w:val="88"/>
              </w:rPr>
              <w:t>launcher,</w:t>
            </w:r>
          </w:p>
        </w:tc>
        <w:tc>
          <w:tcPr>
            <w:tcW w:w="2760" w:type="dxa"/>
            <w:vAlign w:val="bottom"/>
          </w:tcPr>
          <w:p>
            <w:pPr>
              <w:spacing w:after="0"/>
              <w:rPr>
                <w:sz w:val="10"/>
                <w:szCs w:val="10"/>
                <w:color w:val="auto"/>
              </w:rPr>
            </w:pPr>
          </w:p>
        </w:tc>
        <w:tc>
          <w:tcPr>
            <w:tcW w:w="1360" w:type="dxa"/>
            <w:vAlign w:val="bottom"/>
          </w:tcPr>
          <w:p>
            <w:pPr>
              <w:ind w:left="40"/>
              <w:spacing w:after="0" w:line="122" w:lineRule="exact"/>
              <w:rPr>
                <w:sz w:val="20"/>
                <w:szCs w:val="20"/>
                <w:color w:val="auto"/>
              </w:rPr>
            </w:pPr>
            <w:r>
              <w:rPr>
                <w:rFonts w:ascii="Arial" w:cs="Arial" w:eastAsia="Arial" w:hAnsi="Arial"/>
                <w:sz w:val="11"/>
                <w:szCs w:val="11"/>
                <w:color w:val="auto"/>
                <w:w w:val="90"/>
              </w:rPr>
              <w:t>EO and IR) integrated sensor</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840" w:type="dxa"/>
            <w:vAlign w:val="bottom"/>
          </w:tcPr>
          <w:p>
            <w:pPr>
              <w:ind w:left="200"/>
              <w:spacing w:after="0"/>
              <w:rPr>
                <w:sz w:val="20"/>
                <w:szCs w:val="20"/>
                <w:color w:val="auto"/>
              </w:rPr>
            </w:pPr>
            <w:r>
              <w:rPr>
                <w:rFonts w:ascii="Arial" w:cs="Arial" w:eastAsia="Arial" w:hAnsi="Arial"/>
                <w:sz w:val="11"/>
                <w:szCs w:val="11"/>
                <w:color w:val="auto"/>
                <w:w w:val="93"/>
              </w:rPr>
              <w:t>Direct fire weapon with 40km range</w:t>
            </w:r>
          </w:p>
        </w:tc>
        <w:tc>
          <w:tcPr>
            <w:tcW w:w="3200" w:type="dxa"/>
            <w:vAlign w:val="bottom"/>
            <w:gridSpan w:val="2"/>
          </w:tcPr>
          <w:p>
            <w:pPr>
              <w:ind w:left="20"/>
              <w:spacing w:after="0"/>
              <w:rPr>
                <w:sz w:val="20"/>
                <w:szCs w:val="20"/>
                <w:color w:val="auto"/>
              </w:rPr>
            </w:pPr>
            <w:r>
              <w:rPr>
                <w:rFonts w:ascii="Arial" w:cs="Arial" w:eastAsia="Arial" w:hAnsi="Arial"/>
                <w:sz w:val="11"/>
                <w:szCs w:val="11"/>
                <w:color w:val="auto"/>
                <w:w w:val="91"/>
              </w:rPr>
              <w:t>munition)Single or multi-pack tube launch, single use loitering munition</w:t>
            </w:r>
          </w:p>
        </w:tc>
        <w:tc>
          <w:tcPr>
            <w:tcW w:w="1360" w:type="dxa"/>
            <w:vAlign w:val="bottom"/>
          </w:tcPr>
          <w:p>
            <w:pPr>
              <w:ind w:left="40"/>
              <w:spacing w:after="0"/>
              <w:rPr>
                <w:sz w:val="20"/>
                <w:szCs w:val="20"/>
                <w:color w:val="auto"/>
              </w:rPr>
            </w:pPr>
            <w:r>
              <w:rPr>
                <w:rFonts w:ascii="Arial" w:cs="Arial" w:eastAsia="Arial" w:hAnsi="Arial"/>
                <w:sz w:val="11"/>
                <w:szCs w:val="11"/>
                <w:color w:val="auto"/>
              </w:rPr>
              <w:t>suite</w:t>
            </w: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24</w:t>
            </w:r>
          </w:p>
        </w:tc>
        <w:tc>
          <w:tcPr>
            <w:tcW w:w="64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Blackwing</w:t>
            </w:r>
          </w:p>
        </w:tc>
        <w:tc>
          <w:tcPr>
            <w:tcW w:w="18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88"/>
              </w:rPr>
              <w:t>Deployed from submerged submarine</w:t>
            </w:r>
          </w:p>
        </w:tc>
        <w:tc>
          <w:tcPr>
            <w:tcW w:w="456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1"/>
                <w:szCs w:val="11"/>
                <w:color w:val="auto"/>
              </w:rPr>
              <w:t>4.0 Underwater-to-surface delivery canister; launch tube, single use EO/IR sensor suite</w:t>
            </w:r>
          </w:p>
        </w:tc>
        <w:tc>
          <w:tcPr>
            <w:tcW w:w="11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7"/>
              </w:rPr>
              <w:t>Not disclosedNot disclosed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ISR Services</w:t>
      </w:r>
    </w:p>
    <w:p>
      <w:pPr>
        <w:spacing w:after="0" w:line="229"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We currently operate our MUAS, such as JUMP 20, in overseas locations to support U.S. military operations under ISR services contracts. Under these services contracts we deliver the information our MUAS produce to our customers, who use that information to support their missions. These contracts specify a location and number of hours per month of services to perform. This contractor-owned, contractor-operated (“COCO”) arrangement represents a new</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business model for the company as a result of the acquisition of Arcturus and provides access to alternative customer funding sources, while also providing a way for customers who may not wish to own and operate their UAS to benefit from their differentiated capabilities. This COCO business model may expand to include other AeroVironment solutions in the future.</w:t>
      </w:r>
    </w:p>
    <w:p>
      <w:pPr>
        <w:spacing w:after="0" w:line="18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Unmanned Ground Vehicle Products</w:t>
      </w:r>
    </w:p>
    <w:p>
      <w:pPr>
        <w:spacing w:after="0" w:line="229"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Our UGV support a variety of missions and applications, ranging from explosive ordnance disposal to hazardous materials handling and law enforcement operations. All of our UGVs feature secure communications, multi-axis manipulators and automatic tool exchange, which eliminates the need for the UGV to return to its operator to switch the tool attached to its manipulator arm. We also offer fully equipped service vehicles for the transport, service and operation of our UGV solutions. All of our UGVs feature the intuitive and operationally simplified Robo Command Ground control stations with multi-touch screen, pre-programmed motion sequences and ergonomically designed hand controllers for precision control of the robot, manipulator and accessories.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360" w:type="dxa"/>
            <w:vAlign w:val="bottom"/>
          </w:tcPr>
          <w:p>
            <w:pPr>
              <w:jc w:val="center"/>
              <w:ind w:left="446"/>
              <w:spacing w:after="0"/>
              <w:rPr>
                <w:sz w:val="20"/>
                <w:szCs w:val="20"/>
                <w:color w:val="auto"/>
              </w:rPr>
            </w:pPr>
            <w:r>
              <w:rPr>
                <w:rFonts w:ascii="Arial" w:cs="Arial" w:eastAsia="Arial" w:hAnsi="Arial"/>
                <w:sz w:val="11"/>
                <w:szCs w:val="11"/>
                <w:b w:val="1"/>
                <w:bCs w:val="1"/>
                <w:color w:val="auto"/>
                <w:w w:val="88"/>
              </w:rPr>
              <w:t>Select Unmanned</w:t>
            </w:r>
          </w:p>
        </w:tc>
        <w:tc>
          <w:tcPr>
            <w:tcW w:w="900" w:type="dxa"/>
            <w:vAlign w:val="bottom"/>
          </w:tcPr>
          <w:p>
            <w:pPr>
              <w:spacing w:after="0"/>
              <w:rPr>
                <w:sz w:val="10"/>
                <w:szCs w:val="10"/>
                <w:color w:val="auto"/>
              </w:rPr>
            </w:pPr>
          </w:p>
        </w:tc>
        <w:tc>
          <w:tcPr>
            <w:tcW w:w="50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Lifting</w:t>
            </w:r>
          </w:p>
        </w:tc>
        <w:tc>
          <w:tcPr>
            <w:tcW w:w="18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Pr>
          <w:p>
            <w:pPr>
              <w:jc w:val="center"/>
              <w:ind w:left="426"/>
              <w:spacing w:after="0" w:line="122" w:lineRule="exact"/>
              <w:rPr>
                <w:sz w:val="20"/>
                <w:szCs w:val="20"/>
                <w:color w:val="auto"/>
              </w:rPr>
            </w:pPr>
            <w:r>
              <w:rPr>
                <w:rFonts w:ascii="Arial" w:cs="Arial" w:eastAsia="Arial" w:hAnsi="Arial"/>
                <w:sz w:val="11"/>
                <w:szCs w:val="11"/>
                <w:b w:val="1"/>
                <w:bCs w:val="1"/>
                <w:color w:val="auto"/>
                <w:w w:val="88"/>
              </w:rPr>
              <w:t>Ground Vehicle</w:t>
            </w:r>
          </w:p>
        </w:tc>
        <w:tc>
          <w:tcPr>
            <w:tcW w:w="9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Weight</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Capacity</w:t>
            </w:r>
          </w:p>
        </w:tc>
        <w:tc>
          <w:tcPr>
            <w:tcW w:w="182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Accessory</w:t>
            </w:r>
          </w:p>
        </w:tc>
        <w:tc>
          <w:tcPr>
            <w:tcW w:w="2380" w:type="dxa"/>
            <w:vAlign w:val="bottom"/>
          </w:tcPr>
          <w:p>
            <w:pPr>
              <w:ind w:left="1160"/>
              <w:spacing w:after="0" w:line="122" w:lineRule="exact"/>
              <w:rPr>
                <w:sz w:val="20"/>
                <w:szCs w:val="20"/>
                <w:color w:val="auto"/>
              </w:rPr>
            </w:pPr>
            <w:r>
              <w:rPr>
                <w:rFonts w:ascii="Arial" w:cs="Arial" w:eastAsia="Arial" w:hAnsi="Arial"/>
                <w:sz w:val="11"/>
                <w:szCs w:val="11"/>
                <w:b w:val="1"/>
                <w:bCs w:val="1"/>
                <w:color w:val="auto"/>
              </w:rPr>
              <w:t>Drive</w:t>
            </w:r>
          </w:p>
        </w:tc>
        <w:tc>
          <w:tcPr>
            <w:tcW w:w="94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w w:val="87"/>
              </w:rPr>
              <w:t>Mission</w:t>
            </w:r>
          </w:p>
        </w:tc>
        <w:tc>
          <w:tcPr>
            <w:tcW w:w="0" w:type="dxa"/>
            <w:vAlign w:val="bottom"/>
          </w:tcPr>
          <w:p>
            <w:pPr>
              <w:spacing w:after="0"/>
              <w:rPr>
                <w:sz w:val="1"/>
                <w:szCs w:val="1"/>
                <w:color w:val="auto"/>
              </w:rPr>
            </w:pPr>
          </w:p>
        </w:tc>
      </w:tr>
      <w:tr>
        <w:trPr>
          <w:trHeight w:val="135"/>
        </w:trPr>
        <w:tc>
          <w:tcPr>
            <w:tcW w:w="2360" w:type="dxa"/>
            <w:vAlign w:val="bottom"/>
            <w:tcBorders>
              <w:bottom w:val="single" w:sz="8" w:color="auto"/>
            </w:tcBorders>
          </w:tcPr>
          <w:p>
            <w:pPr>
              <w:jc w:val="center"/>
              <w:ind w:left="446"/>
              <w:spacing w:after="0"/>
              <w:rPr>
                <w:sz w:val="20"/>
                <w:szCs w:val="20"/>
                <w:color w:val="auto"/>
              </w:rPr>
            </w:pPr>
            <w:r>
              <w:rPr>
                <w:rFonts w:ascii="Arial" w:cs="Arial" w:eastAsia="Arial" w:hAnsi="Arial"/>
                <w:sz w:val="11"/>
                <w:szCs w:val="11"/>
                <w:b w:val="1"/>
                <w:bCs w:val="1"/>
                <w:color w:val="auto"/>
                <w:w w:val="91"/>
              </w:rPr>
              <w:t>Product</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(lbs.)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(lbs.)</w:t>
            </w:r>
          </w:p>
        </w:tc>
        <w:tc>
          <w:tcPr>
            <w:tcW w:w="182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Sensors</w:t>
            </w:r>
          </w:p>
        </w:tc>
        <w:tc>
          <w:tcPr>
            <w:tcW w:w="2380" w:type="dxa"/>
            <w:vAlign w:val="bottom"/>
            <w:tcBorders>
              <w:bottom w:val="single" w:sz="8" w:color="auto"/>
            </w:tcBorders>
          </w:tcPr>
          <w:p>
            <w:pPr>
              <w:ind w:left="1020"/>
              <w:spacing w:after="0"/>
              <w:rPr>
                <w:sz w:val="20"/>
                <w:szCs w:val="20"/>
                <w:color w:val="auto"/>
              </w:rPr>
            </w:pPr>
            <w:r>
              <w:rPr>
                <w:rFonts w:ascii="Arial" w:cs="Arial" w:eastAsia="Arial" w:hAnsi="Arial"/>
                <w:sz w:val="11"/>
                <w:szCs w:val="11"/>
                <w:b w:val="1"/>
                <w:bCs w:val="1"/>
                <w:color w:val="auto"/>
              </w:rPr>
              <w:t>Mechanism</w:t>
            </w:r>
          </w:p>
        </w:tc>
        <w:tc>
          <w:tcPr>
            <w:tcW w:w="94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89"/>
              </w:rPr>
              <w:t>Duration (hrs.)</w:t>
            </w:r>
          </w:p>
        </w:tc>
        <w:tc>
          <w:tcPr>
            <w:tcW w:w="0" w:type="dxa"/>
            <w:vAlign w:val="bottom"/>
          </w:tcPr>
          <w:p>
            <w:pPr>
              <w:spacing w:after="0"/>
              <w:rPr>
                <w:sz w:val="1"/>
                <w:szCs w:val="1"/>
                <w:color w:val="auto"/>
              </w:rPr>
            </w:pPr>
          </w:p>
        </w:tc>
      </w:tr>
      <w:tr>
        <w:trPr>
          <w:trHeight w:val="105"/>
        </w:trPr>
        <w:tc>
          <w:tcPr>
            <w:tcW w:w="23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20" w:type="dxa"/>
            <w:vAlign w:val="bottom"/>
            <w:shd w:val="clear" w:color="auto" w:fill="CCEEFF"/>
          </w:tcPr>
          <w:p>
            <w:pPr>
              <w:ind w:left="40"/>
              <w:spacing w:after="0" w:line="105" w:lineRule="exact"/>
              <w:rPr>
                <w:sz w:val="20"/>
                <w:szCs w:val="20"/>
                <w:color w:val="auto"/>
              </w:rPr>
            </w:pPr>
            <w:r>
              <w:rPr>
                <w:rFonts w:ascii="Arial" w:cs="Arial" w:eastAsia="Arial" w:hAnsi="Arial"/>
                <w:sz w:val="11"/>
                <w:szCs w:val="11"/>
                <w:color w:val="auto"/>
                <w:w w:val="97"/>
              </w:rPr>
              <w:t>HD pan/tilt/zoom cameras; four video</w:t>
            </w:r>
          </w:p>
        </w:tc>
        <w:tc>
          <w:tcPr>
            <w:tcW w:w="23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tEODor EVO</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2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1"/>
              </w:rPr>
              <w:t>feeds; various EOD, CBRN and tactical</w:t>
            </w:r>
          </w:p>
        </w:tc>
        <w:tc>
          <w:tcPr>
            <w:tcW w:w="23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6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844</w:t>
            </w:r>
          </w:p>
        </w:tc>
        <w:tc>
          <w:tcPr>
            <w:tcW w:w="500" w:type="dxa"/>
            <w:vAlign w:val="bottom"/>
            <w:shd w:val="clear" w:color="auto" w:fill="CCEEFF"/>
          </w:tcPr>
          <w:p>
            <w:pPr>
              <w:ind w:left="40"/>
              <w:spacing w:after="0"/>
              <w:rPr>
                <w:sz w:val="20"/>
                <w:szCs w:val="20"/>
                <w:color w:val="auto"/>
              </w:rPr>
            </w:pPr>
            <w:r>
              <w:rPr>
                <w:rFonts w:ascii="Arial" w:cs="Arial" w:eastAsia="Arial" w:hAnsi="Arial"/>
                <w:sz w:val="11"/>
                <w:szCs w:val="11"/>
                <w:color w:val="auto"/>
              </w:rPr>
              <w:t>220</w:t>
            </w:r>
          </w:p>
        </w:tc>
        <w:tc>
          <w:tcPr>
            <w:tcW w:w="1820" w:type="dxa"/>
            <w:vAlign w:val="bottom"/>
            <w:shd w:val="clear" w:color="auto" w:fill="CCEEFF"/>
          </w:tcPr>
          <w:p>
            <w:pPr>
              <w:ind w:left="40"/>
              <w:spacing w:after="0"/>
              <w:rPr>
                <w:sz w:val="20"/>
                <w:szCs w:val="20"/>
                <w:color w:val="auto"/>
              </w:rPr>
            </w:pPr>
            <w:r>
              <w:rPr>
                <w:rFonts w:ascii="Arial" w:cs="Arial" w:eastAsia="Arial" w:hAnsi="Arial"/>
                <w:sz w:val="11"/>
                <w:szCs w:val="11"/>
                <w:color w:val="auto"/>
              </w:rPr>
              <w:t>sensors</w:t>
            </w:r>
          </w:p>
        </w:tc>
        <w:tc>
          <w:tcPr>
            <w:tcW w:w="2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Dual-track independent high-torque motors</w:t>
            </w:r>
          </w:p>
        </w:tc>
        <w:tc>
          <w:tcPr>
            <w:tcW w:w="940" w:type="dxa"/>
            <w:vAlign w:val="bottom"/>
            <w:shd w:val="clear" w:color="auto" w:fill="CCEEFF"/>
          </w:tcPr>
          <w:p>
            <w:pPr>
              <w:jc w:val="center"/>
              <w:ind w:left="106"/>
              <w:spacing w:after="0"/>
              <w:rPr>
                <w:sz w:val="20"/>
                <w:szCs w:val="20"/>
                <w:color w:val="auto"/>
              </w:rPr>
            </w:pPr>
            <w:r>
              <w:rPr>
                <w:rFonts w:ascii="Arial" w:cs="Arial" w:eastAsia="Arial" w:hAnsi="Arial"/>
                <w:sz w:val="11"/>
                <w:szCs w:val="11"/>
                <w:color w:val="auto"/>
                <w:w w:val="97"/>
              </w:rPr>
              <w:t>4</w:t>
            </w:r>
          </w:p>
        </w:tc>
        <w:tc>
          <w:tcPr>
            <w:tcW w:w="0" w:type="dxa"/>
            <w:vAlign w:val="bottom"/>
          </w:tcPr>
          <w:p>
            <w:pPr>
              <w:spacing w:after="0"/>
              <w:rPr>
                <w:sz w:val="1"/>
                <w:szCs w:val="1"/>
                <w:color w:val="auto"/>
              </w:rPr>
            </w:pPr>
          </w:p>
        </w:tc>
      </w:tr>
      <w:tr>
        <w:trPr>
          <w:trHeight w:val="112"/>
        </w:trPr>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20" w:type="dxa"/>
            <w:vAlign w:val="bottom"/>
          </w:tcPr>
          <w:p>
            <w:pPr>
              <w:ind w:left="40"/>
              <w:spacing w:after="0" w:line="112" w:lineRule="exact"/>
              <w:rPr>
                <w:sz w:val="20"/>
                <w:szCs w:val="20"/>
                <w:color w:val="auto"/>
              </w:rPr>
            </w:pPr>
            <w:r>
              <w:rPr>
                <w:rFonts w:ascii="Arial" w:cs="Arial" w:eastAsia="Arial" w:hAnsi="Arial"/>
                <w:sz w:val="11"/>
                <w:szCs w:val="11"/>
                <w:color w:val="auto"/>
                <w:w w:val="97"/>
              </w:rPr>
              <w:t>HD pan/tilt/zoom cameras; four video</w:t>
            </w:r>
          </w:p>
        </w:tc>
        <w:tc>
          <w:tcPr>
            <w:tcW w:w="2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telemax EVO PLUS</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20" w:type="dxa"/>
            <w:vAlign w:val="bottom"/>
          </w:tcPr>
          <w:p>
            <w:pPr>
              <w:ind w:left="40"/>
              <w:spacing w:after="0" w:line="122" w:lineRule="exact"/>
              <w:rPr>
                <w:sz w:val="20"/>
                <w:szCs w:val="20"/>
                <w:color w:val="auto"/>
              </w:rPr>
            </w:pPr>
            <w:r>
              <w:rPr>
                <w:rFonts w:ascii="Arial" w:cs="Arial" w:eastAsia="Arial" w:hAnsi="Arial"/>
                <w:sz w:val="11"/>
                <w:szCs w:val="11"/>
                <w:color w:val="auto"/>
                <w:w w:val="91"/>
              </w:rPr>
              <w:t>feeds; various EOD, CBRN and tactical</w:t>
            </w:r>
          </w:p>
        </w:tc>
        <w:tc>
          <w:tcPr>
            <w:tcW w:w="2380" w:type="dxa"/>
            <w:vAlign w:val="bottom"/>
          </w:tcPr>
          <w:p>
            <w:pPr>
              <w:ind w:left="80"/>
              <w:spacing w:after="0" w:line="122" w:lineRule="exact"/>
              <w:rPr>
                <w:sz w:val="20"/>
                <w:szCs w:val="20"/>
                <w:color w:val="auto"/>
              </w:rPr>
            </w:pPr>
            <w:r>
              <w:rPr>
                <w:rFonts w:ascii="Arial" w:cs="Arial" w:eastAsia="Arial" w:hAnsi="Arial"/>
                <w:sz w:val="11"/>
                <w:szCs w:val="11"/>
                <w:color w:val="auto"/>
                <w:w w:val="98"/>
              </w:rPr>
              <w:t>4-track running gear with individually adjustable</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60" w:type="dxa"/>
            <w:vAlign w:val="bottom"/>
            <w:vMerge w:val="continue"/>
          </w:tcPr>
          <w:p>
            <w:pPr>
              <w:spacing w:after="0"/>
              <w:rPr>
                <w:sz w:val="11"/>
                <w:szCs w:val="11"/>
                <w:color w:val="auto"/>
              </w:rPr>
            </w:pP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249</w:t>
            </w:r>
          </w:p>
        </w:tc>
        <w:tc>
          <w:tcPr>
            <w:tcW w:w="500" w:type="dxa"/>
            <w:vAlign w:val="bottom"/>
          </w:tcPr>
          <w:p>
            <w:pPr>
              <w:ind w:left="40"/>
              <w:spacing w:after="0"/>
              <w:rPr>
                <w:sz w:val="20"/>
                <w:szCs w:val="20"/>
                <w:color w:val="auto"/>
              </w:rPr>
            </w:pPr>
            <w:r>
              <w:rPr>
                <w:rFonts w:ascii="Arial" w:cs="Arial" w:eastAsia="Arial" w:hAnsi="Arial"/>
                <w:sz w:val="11"/>
                <w:szCs w:val="11"/>
                <w:color w:val="auto"/>
              </w:rPr>
              <w:t>176</w:t>
            </w:r>
          </w:p>
        </w:tc>
        <w:tc>
          <w:tcPr>
            <w:tcW w:w="1820" w:type="dxa"/>
            <w:vAlign w:val="bottom"/>
          </w:tcPr>
          <w:p>
            <w:pPr>
              <w:ind w:left="40"/>
              <w:spacing w:after="0"/>
              <w:rPr>
                <w:sz w:val="20"/>
                <w:szCs w:val="20"/>
                <w:color w:val="auto"/>
              </w:rPr>
            </w:pPr>
            <w:r>
              <w:rPr>
                <w:rFonts w:ascii="Arial" w:cs="Arial" w:eastAsia="Arial" w:hAnsi="Arial"/>
                <w:sz w:val="11"/>
                <w:szCs w:val="11"/>
                <w:color w:val="auto"/>
              </w:rPr>
              <w:t>sensors</w:t>
            </w:r>
          </w:p>
        </w:tc>
        <w:tc>
          <w:tcPr>
            <w:tcW w:w="2380" w:type="dxa"/>
            <w:vAlign w:val="bottom"/>
          </w:tcPr>
          <w:p>
            <w:pPr>
              <w:ind w:left="80"/>
              <w:spacing w:after="0"/>
              <w:rPr>
                <w:sz w:val="20"/>
                <w:szCs w:val="20"/>
                <w:color w:val="auto"/>
              </w:rPr>
            </w:pPr>
            <w:r>
              <w:rPr>
                <w:rFonts w:ascii="Arial" w:cs="Arial" w:eastAsia="Arial" w:hAnsi="Arial"/>
                <w:sz w:val="11"/>
                <w:szCs w:val="11"/>
                <w:color w:val="auto"/>
              </w:rPr>
              <w:t>flippers</w:t>
            </w:r>
          </w:p>
        </w:tc>
        <w:tc>
          <w:tcPr>
            <w:tcW w:w="940" w:type="dxa"/>
            <w:vAlign w:val="bottom"/>
          </w:tcPr>
          <w:p>
            <w:pPr>
              <w:jc w:val="center"/>
              <w:ind w:left="106"/>
              <w:spacing w:after="0"/>
              <w:rPr>
                <w:sz w:val="20"/>
                <w:szCs w:val="20"/>
                <w:color w:val="auto"/>
              </w:rPr>
            </w:pPr>
            <w:r>
              <w:rPr>
                <w:rFonts w:ascii="Arial" w:cs="Arial" w:eastAsia="Arial" w:hAnsi="Arial"/>
                <w:sz w:val="11"/>
                <w:szCs w:val="11"/>
                <w:color w:val="auto"/>
                <w:w w:val="81"/>
              </w:rPr>
              <w:t>12</w:t>
            </w:r>
          </w:p>
        </w:tc>
        <w:tc>
          <w:tcPr>
            <w:tcW w:w="0" w:type="dxa"/>
            <w:vAlign w:val="bottom"/>
          </w:tcPr>
          <w:p>
            <w:pPr>
              <w:spacing w:after="0"/>
              <w:rPr>
                <w:sz w:val="1"/>
                <w:szCs w:val="1"/>
                <w:color w:val="auto"/>
              </w:rPr>
            </w:pPr>
          </w:p>
        </w:tc>
      </w:tr>
      <w:tr>
        <w:trPr>
          <w:trHeight w:val="112"/>
        </w:trPr>
        <w:tc>
          <w:tcPr>
            <w:tcW w:w="23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2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w w:val="97"/>
              </w:rPr>
              <w:t>HD pan/tilt/zoom cameras; four video</w:t>
            </w:r>
          </w:p>
        </w:tc>
        <w:tc>
          <w:tcPr>
            <w:tcW w:w="23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telemax EVO HYBRID</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2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1"/>
              </w:rPr>
              <w:t>feeds; various EOD, CBRN and tactical</w:t>
            </w:r>
          </w:p>
        </w:tc>
        <w:tc>
          <w:tcPr>
            <w:tcW w:w="238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8"/>
              </w:rPr>
              <w:t>4-track running gear with individually adjustable</w:t>
            </w: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6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176</w:t>
            </w:r>
          </w:p>
        </w:tc>
        <w:tc>
          <w:tcPr>
            <w:tcW w:w="500" w:type="dxa"/>
            <w:vAlign w:val="bottom"/>
            <w:shd w:val="clear" w:color="auto" w:fill="CCEEFF"/>
          </w:tcPr>
          <w:p>
            <w:pPr>
              <w:ind w:left="40"/>
              <w:spacing w:after="0"/>
              <w:rPr>
                <w:sz w:val="20"/>
                <w:szCs w:val="20"/>
                <w:color w:val="auto"/>
              </w:rPr>
            </w:pPr>
            <w:r>
              <w:rPr>
                <w:rFonts w:ascii="Arial" w:cs="Arial" w:eastAsia="Arial" w:hAnsi="Arial"/>
                <w:sz w:val="11"/>
                <w:szCs w:val="11"/>
                <w:color w:val="auto"/>
              </w:rPr>
              <w:t>82</w:t>
            </w:r>
          </w:p>
        </w:tc>
        <w:tc>
          <w:tcPr>
            <w:tcW w:w="1820" w:type="dxa"/>
            <w:vAlign w:val="bottom"/>
            <w:shd w:val="clear" w:color="auto" w:fill="CCEEFF"/>
          </w:tcPr>
          <w:p>
            <w:pPr>
              <w:ind w:left="40"/>
              <w:spacing w:after="0"/>
              <w:rPr>
                <w:sz w:val="20"/>
                <w:szCs w:val="20"/>
                <w:color w:val="auto"/>
              </w:rPr>
            </w:pPr>
            <w:r>
              <w:rPr>
                <w:rFonts w:ascii="Arial" w:cs="Arial" w:eastAsia="Arial" w:hAnsi="Arial"/>
                <w:sz w:val="11"/>
                <w:szCs w:val="11"/>
                <w:color w:val="auto"/>
              </w:rPr>
              <w:t>sensors</w:t>
            </w:r>
          </w:p>
        </w:tc>
        <w:tc>
          <w:tcPr>
            <w:tcW w:w="2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flippers and optional wheels</w:t>
            </w:r>
          </w:p>
        </w:tc>
        <w:tc>
          <w:tcPr>
            <w:tcW w:w="940" w:type="dxa"/>
            <w:vAlign w:val="bottom"/>
            <w:shd w:val="clear" w:color="auto" w:fill="CCEEFF"/>
          </w:tcPr>
          <w:p>
            <w:pPr>
              <w:jc w:val="center"/>
              <w:ind w:left="106"/>
              <w:spacing w:after="0"/>
              <w:rPr>
                <w:sz w:val="20"/>
                <w:szCs w:val="20"/>
                <w:color w:val="auto"/>
              </w:rPr>
            </w:pPr>
            <w:r>
              <w:rPr>
                <w:rFonts w:ascii="Arial" w:cs="Arial" w:eastAsia="Arial" w:hAnsi="Arial"/>
                <w:sz w:val="11"/>
                <w:szCs w:val="11"/>
                <w:color w:val="auto"/>
                <w:w w:val="81"/>
              </w:rPr>
              <w:t>10</w:t>
            </w:r>
          </w:p>
        </w:tc>
        <w:tc>
          <w:tcPr>
            <w:tcW w:w="0" w:type="dxa"/>
            <w:vAlign w:val="bottom"/>
          </w:tcPr>
          <w:p>
            <w:pPr>
              <w:spacing w:after="0"/>
              <w:rPr>
                <w:sz w:val="1"/>
                <w:szCs w:val="1"/>
                <w:color w:val="auto"/>
              </w:rPr>
            </w:pPr>
          </w:p>
        </w:tc>
      </w:tr>
      <w:tr>
        <w:trPr>
          <w:trHeight w:val="112"/>
        </w:trPr>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20" w:type="dxa"/>
            <w:vAlign w:val="bottom"/>
          </w:tcPr>
          <w:p>
            <w:pPr>
              <w:ind w:left="40"/>
              <w:spacing w:after="0" w:line="112" w:lineRule="exact"/>
              <w:rPr>
                <w:sz w:val="20"/>
                <w:szCs w:val="20"/>
                <w:color w:val="auto"/>
              </w:rPr>
            </w:pPr>
            <w:r>
              <w:rPr>
                <w:rFonts w:ascii="Arial" w:cs="Arial" w:eastAsia="Arial" w:hAnsi="Arial"/>
                <w:sz w:val="11"/>
                <w:szCs w:val="11"/>
                <w:color w:val="auto"/>
                <w:w w:val="97"/>
              </w:rPr>
              <w:t>HD pan/tilt/zoom cameras; four video</w:t>
            </w:r>
          </w:p>
        </w:tc>
        <w:tc>
          <w:tcPr>
            <w:tcW w:w="2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telemax EVO PRO</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20" w:type="dxa"/>
            <w:vAlign w:val="bottom"/>
          </w:tcPr>
          <w:p>
            <w:pPr>
              <w:ind w:left="40"/>
              <w:spacing w:after="0" w:line="122" w:lineRule="exact"/>
              <w:rPr>
                <w:sz w:val="20"/>
                <w:szCs w:val="20"/>
                <w:color w:val="auto"/>
              </w:rPr>
            </w:pPr>
            <w:r>
              <w:rPr>
                <w:rFonts w:ascii="Arial" w:cs="Arial" w:eastAsia="Arial" w:hAnsi="Arial"/>
                <w:sz w:val="11"/>
                <w:szCs w:val="11"/>
                <w:color w:val="auto"/>
                <w:w w:val="91"/>
              </w:rPr>
              <w:t>feeds; various EOD, CBRN and tactical</w:t>
            </w:r>
          </w:p>
        </w:tc>
        <w:tc>
          <w:tcPr>
            <w:tcW w:w="2380" w:type="dxa"/>
            <w:vAlign w:val="bottom"/>
          </w:tcPr>
          <w:p>
            <w:pPr>
              <w:ind w:left="80"/>
              <w:spacing w:after="0" w:line="122" w:lineRule="exact"/>
              <w:rPr>
                <w:sz w:val="20"/>
                <w:szCs w:val="20"/>
                <w:color w:val="auto"/>
              </w:rPr>
            </w:pPr>
            <w:r>
              <w:rPr>
                <w:rFonts w:ascii="Arial" w:cs="Arial" w:eastAsia="Arial" w:hAnsi="Arial"/>
                <w:sz w:val="11"/>
                <w:szCs w:val="11"/>
                <w:color w:val="auto"/>
                <w:w w:val="98"/>
              </w:rPr>
              <w:t>4-track running gear with individually adjustable</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360" w:type="dxa"/>
            <w:vAlign w:val="bottom"/>
            <w:vMerge w:val="continue"/>
          </w:tcPr>
          <w:p>
            <w:pPr>
              <w:spacing w:after="0"/>
              <w:rPr>
                <w:sz w:val="11"/>
                <w:szCs w:val="11"/>
                <w:color w:val="auto"/>
              </w:rPr>
            </w:pP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169</w:t>
            </w:r>
          </w:p>
        </w:tc>
        <w:tc>
          <w:tcPr>
            <w:tcW w:w="500" w:type="dxa"/>
            <w:vAlign w:val="bottom"/>
          </w:tcPr>
          <w:p>
            <w:pPr>
              <w:ind w:left="40"/>
              <w:spacing w:after="0"/>
              <w:rPr>
                <w:sz w:val="20"/>
                <w:szCs w:val="20"/>
                <w:color w:val="auto"/>
              </w:rPr>
            </w:pPr>
            <w:r>
              <w:rPr>
                <w:rFonts w:ascii="Arial" w:cs="Arial" w:eastAsia="Arial" w:hAnsi="Arial"/>
                <w:sz w:val="11"/>
                <w:szCs w:val="11"/>
                <w:color w:val="auto"/>
              </w:rPr>
              <w:t>44</w:t>
            </w:r>
          </w:p>
        </w:tc>
        <w:tc>
          <w:tcPr>
            <w:tcW w:w="1820" w:type="dxa"/>
            <w:vAlign w:val="bottom"/>
          </w:tcPr>
          <w:p>
            <w:pPr>
              <w:ind w:left="40"/>
              <w:spacing w:after="0"/>
              <w:rPr>
                <w:sz w:val="20"/>
                <w:szCs w:val="20"/>
                <w:color w:val="auto"/>
              </w:rPr>
            </w:pPr>
            <w:r>
              <w:rPr>
                <w:rFonts w:ascii="Arial" w:cs="Arial" w:eastAsia="Arial" w:hAnsi="Arial"/>
                <w:sz w:val="11"/>
                <w:szCs w:val="11"/>
                <w:color w:val="auto"/>
              </w:rPr>
              <w:t>sensors</w:t>
            </w:r>
          </w:p>
        </w:tc>
        <w:tc>
          <w:tcPr>
            <w:tcW w:w="2380" w:type="dxa"/>
            <w:vAlign w:val="bottom"/>
          </w:tcPr>
          <w:p>
            <w:pPr>
              <w:ind w:left="80"/>
              <w:spacing w:after="0"/>
              <w:rPr>
                <w:sz w:val="20"/>
                <w:szCs w:val="20"/>
                <w:color w:val="auto"/>
              </w:rPr>
            </w:pPr>
            <w:r>
              <w:rPr>
                <w:rFonts w:ascii="Arial" w:cs="Arial" w:eastAsia="Arial" w:hAnsi="Arial"/>
                <w:sz w:val="11"/>
                <w:szCs w:val="11"/>
                <w:color w:val="auto"/>
              </w:rPr>
              <w:t>flippers and optional wheels</w:t>
            </w:r>
          </w:p>
        </w:tc>
        <w:tc>
          <w:tcPr>
            <w:tcW w:w="940" w:type="dxa"/>
            <w:vAlign w:val="bottom"/>
          </w:tcPr>
          <w:p>
            <w:pPr>
              <w:jc w:val="center"/>
              <w:ind w:left="106"/>
              <w:spacing w:after="0"/>
              <w:rPr>
                <w:sz w:val="20"/>
                <w:szCs w:val="20"/>
                <w:color w:val="auto"/>
              </w:rPr>
            </w:pPr>
            <w:r>
              <w:rPr>
                <w:rFonts w:ascii="Arial" w:cs="Arial" w:eastAsia="Arial" w:hAnsi="Arial"/>
                <w:sz w:val="11"/>
                <w:szCs w:val="11"/>
                <w:color w:val="auto"/>
                <w:w w:val="81"/>
              </w:rPr>
              <w:t>10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MacCready Works Advanced Solutions</w:t>
      </w:r>
    </w:p>
    <w:p>
      <w:pPr>
        <w:spacing w:after="0" w:line="229"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We created MacCready Works Advanced Solutions, named for our founder, Dr. Paul B. MacCready, Jr., to ensure that creativity and long-term thinking remain at the core of our culture. With a focus on the future, this group of select, visionary scientists and engineers partners with our diverse customer base to explore innovative breakthrough solutions to difficult challenges. Primarily focused on customer funded research and development in the areas of robotics, sensors, software analytics and connectivity, this segment seeks to identify new products, services and businesses for the company. While the revenue generated from these customer funded projects sustain this segment, there is potential that new businesses incubated here could significantly contribute to the growth of the company.</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Support Services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In support of our products,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support our customers whenever and wherever needed. Our facilities in Simi Valley, CA also serve as primary depots for small UAS and Puma LE repairs and spare parts, while we support our MUAS from our Petaluma, CA facilities and our UGV solutions from our Erie, PA and Stuttgart, Germany facilities.</w:t>
      </w:r>
    </w:p>
    <w:p>
      <w:pPr>
        <w:spacing w:after="0" w:line="16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provide comprehensive training services to support all of our small UAS and TMS for defense applications. Our highly-skilled instructors typically have extensive military experience. We deploy training teams throughout the continental United States and overseas to support our customers’ training needs on both production and development-stage systems.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22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provide specialized services in support of customer-funded research and development projects, delivering new value-added technology solutions to our customers. These types of projects typically involve developing new system solutions and technology or new capabilities for existing solutions that we introduce as retrofits or upgrades. We recognize the majority of customer-funded research and development projects as revenue.</w:t>
      </w:r>
    </w:p>
    <w:p>
      <w:pPr>
        <w:spacing w:after="0" w:line="16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9"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Our primary areas of technological competence represent the sum of numerous technical skills and capabilities that help to differentiate our approach and product offerings. The following list highlights a number of our key technological capabilities:</w:t>
      </w:r>
    </w:p>
    <w:p>
      <w:pPr>
        <w:spacing w:after="0" w:line="184"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robotics and robotics systems autonomy technologies;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sensor design, development, miniaturization and integration;</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embedded software and firmware, analytics processing, database systems, web, desktop and mobile applications and standards-based interfaces;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miniature, low power, secure wireless digital communications and networks;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lightweight, low speed aerostructures and aerodynamic design;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high-altitude long-endurance systems design, integration and flight operations;</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machine vision, machine learning, advanced auto flight control, auto target recognition, autonomous mission planning and teaming;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 maritime and air deployment of missile and aircraft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and qualification for robotics in extreme terrestrial and space environments;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missile systems warhead integration;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SWaP (Size, Weight and Power) system design and integration;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manned-unmanned teaming and unmanned-unmanned teaming;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electronics and electric propulsion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electric power conversion, storage systems and high-density energy packaging;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controls and systems integration;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vertical takeoff and landing flight, fixed-wing flight and hybrid flight unmanned aircraft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stabilization and target tracking;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flight control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fluid dynamics;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human-machine interface development; and</w:t>
      </w:r>
    </w:p>
    <w:p>
      <w:pPr>
        <w:spacing w:after="0" w:line="225" w:lineRule="exact"/>
        <w:rPr>
          <w:rFonts w:ascii="Arial" w:cs="Arial" w:eastAsia="Arial" w:hAnsi="Arial"/>
          <w:sz w:val="18"/>
          <w:szCs w:val="18"/>
          <w:color w:val="auto"/>
        </w:rPr>
      </w:pPr>
    </w:p>
    <w:p>
      <w:pPr>
        <w:ind w:left="60" w:right="3779" w:firstLine="665"/>
        <w:spacing w:after="0" w:line="563" w:lineRule="auto"/>
        <w:tabs>
          <w:tab w:leader="none" w:pos="105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integrated mission solutions for austere environments. Two of our UAS and TMS development initiatives are described below:</w:t>
      </w:r>
    </w:p>
    <w:p>
      <w:pPr>
        <w:spacing w:after="0" w:line="1" w:lineRule="exact"/>
        <w:rPr>
          <w:sz w:val="20"/>
          <w:szCs w:val="20"/>
          <w:color w:val="auto"/>
        </w:rPr>
      </w:pPr>
    </w:p>
    <w:p>
      <w:pPr>
        <w:ind w:left="1340" w:right="1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Tactical Missile System Variants. </w:t>
      </w:r>
      <w:r>
        <w:rPr>
          <w:rFonts w:ascii="Arial" w:cs="Arial" w:eastAsia="Arial" w:hAnsi="Arial"/>
          <w:sz w:val="16"/>
          <w:szCs w:val="16"/>
          <w:color w:val="auto"/>
        </w:rPr>
        <w:t>We pioneered our first rapidly deployable, high-precision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TMS, named Switchblade, for use by defense ground forces. Switchblade 300 is now deployed by the U.S. military to provide force protection to its troops overseas in combat operations. During numerous demonstrations over the course of several years, multiple potential customers requested modifications to Switchblade 300 to accommodate their specific mission requirements. We performed a number of successful demonstrations and are now developing several variants of Switchblade 300 for new customers and applications, including deployment from sea and air vehicles. Blackwing, a submarine-launched reconnaissance system, represents one of the variants that has now generated meaningful procurement demand. Another variant, Switchblade 600, is a larger version that delivers longer endurance, greater range, a larger payload and more significant mission effects. We believe these new variants have the potential to expand our TMS opportunities significantly.</w:t>
      </w:r>
    </w:p>
    <w:p>
      <w:pPr>
        <w:spacing w:after="0" w:line="172" w:lineRule="exact"/>
        <w:rPr>
          <w:sz w:val="20"/>
          <w:szCs w:val="20"/>
          <w:color w:val="auto"/>
        </w:rPr>
      </w:pPr>
    </w:p>
    <w:p>
      <w:pPr>
        <w:ind w:left="1340" w:right="59" w:firstLine="648"/>
        <w:spacing w:after="0" w:line="286" w:lineRule="auto"/>
        <w:rPr>
          <w:sz w:val="20"/>
          <w:szCs w:val="20"/>
          <w:color w:val="auto"/>
        </w:rPr>
      </w:pPr>
      <w:r>
        <w:rPr>
          <w:rFonts w:ascii="Arial" w:cs="Arial" w:eastAsia="Arial" w:hAnsi="Arial"/>
          <w:sz w:val="16"/>
          <w:szCs w:val="16"/>
          <w:b w:val="1"/>
          <w:bCs w:val="1"/>
          <w:i w:val="1"/>
          <w:iCs w:val="1"/>
          <w:color w:val="auto"/>
        </w:rPr>
        <w:t xml:space="preserve">HAPS Unmanned Aircraft Systems. </w:t>
      </w:r>
      <w:r>
        <w:rPr>
          <w:rFonts w:ascii="Arial" w:cs="Arial" w:eastAsia="Arial" w:hAnsi="Arial"/>
          <w:sz w:val="16"/>
          <w:szCs w:val="16"/>
          <w:color w:val="auto"/>
        </w:rPr>
        <w:t>Building on our decades of groundbreaking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demonstration of high altitude solar-powered UAS, in fiscal year 2018 we established a joint venture, HAPSMobile, Inc (“HAPSMobile”). with SoftBank to create a global broadband and telecommunications company to demonstrate and deploy HAPS UAS around the world. In October 2020, we completed a fifth successful test flight of the HAPS UAS, which included a broadband mobile communication demonstration on consumer smart phones from the stratosphere. As part of a restructuring of the HAPS development program in May 2021, we and SoftBank entered into a Master Design and Development Agreement (“MDDA”) to continue the development of HAPS UAS and agreed to cooperate with each other to explore restructuring and financing options for HAPSMobile. In furtherance of this restructuring, we sold our 7% share of HAPSMobile to SoftBank, which already owned a majority 93% share of the joint venture, on March 18, 2022. Despite the sale of shares in HAPSMobile, the HAPS UAV development relationship continues with SoftBank now directly funding the development and demonstration of solar-powered HAPS UAS. During the term of the MDDA, AeroVironment possesses exclusive rights from SoftBank for future design and manufacturing work for the Solar HAPS UAS and future variants thereof, subject to meeting contractual performance criteria.</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Our Product Line Management organization translates customer and market requirements into multi-year product roadmaps that guide our development, engineering and manufacturing plans. We organize our U.S. business development team members by target market and customer, and we locate team members in close proximity to the customers they support when possible. We organize our program managers by product and focus on designing optimal solutions and contract fulfillment, as well as internalizing feedback from customers and users. By maintaining assigned points of contact with our customers, we believe that we are able to maintain our relationships, service existing contracts effectively and gain vital feedback to improve our responsiveness and product offerings.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Manufacturing and Operations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Continued investment in infrastructure has established our manufacturing capability to meet demand with scalable capacity. We have the manufacturing infrastructure to produce products at rates higher than our historical volumes, support initial low rate production for new UAS development programs and TMS and execute initial low-rate production of large UAS.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integrated supply chain strategy, document control systems and process control methodologies for production. Presently, we perform small UAS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manufacturing at the 85,000 square foot manufacturing facility we established in 2005. Our ISO 9001:2015 + AS9100D certified manufacturing facilities are designed to accommodate demand of up to 1,000 aircraft per month. ISO 9001:2015 + AS9100D refers to a set of voluntary standards for quality management systems. The 9001:2015 standards are established by the ISO to govern quality management systems used worldwide. We are regularly audited and certified to be compliant by a third party, accredited registrar. Accreditation of SAI Global, our third party registrar, is by the ANSI National Accreditation Board. These audits performed as part of certification evaluate the effectiveness of companies’ quality management systems and their compliance with ISO standards. Some companies and government agencies view ISO certification as a positive factor in supplier assessments.</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defense market for small UAS continues to evolve in response to changing technologies, shifting customer needs and expectations and the potential introduction of new products. We believe that a number of established domestic and international defense contractors have developed or are developing small UAS that continue to compete, or will compete, directly with our products. Some of these contractors have significantly greater financial and other resources than we possess. Our current principal small UAS competitors include Elbit Systems Ltd., Teledyne Technologies, Inc., L3 Technologies, Inc., and Lockheed Martin Corporation. We do not view large UAS such as Northrop Grumman Corporation’s Global Hawk or General Atomics, Inc.’s Predator and its derivatives as direct competitors to our small UAS because they perform different missions, do not typically deliver their information directly to front-line ground forces and are not hand-launched and controlled. However, we cannot be certain that these platforms will not become direct competitors in the future. Potential competition from consumer and commercially 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 Such potential competitors include Skydio, Inc. and Shield AI.</w:t>
      </w:r>
    </w:p>
    <w:p>
      <w:pPr>
        <w:spacing w:after="0" w:line="17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U.S. defense market for MUAS has been addressed primarily by The Boeing Company’s ScanEagle and Textron Inc.’s Shadow UAS. Our current principal MUAS competitors include those competing with us for the U.S. Army’s Future Tactical UAS (FTUAS) program: Martin UAV and Northrop Grumman’s V-Bat, Textron’s Aerosonde and L3Harris’ FVR-90. International MUAS competitors include Elbit Systems Ltd. and Israeli Aircraft Industries. We do not view large UAS such as Northrop Grumman Corporation’s Global Hawk or General Atomics, Inc.’s Predator and its derivatives as direct competitors to our MUAS because they perform different missions, require a larger logistical footprint and cost considerably more to procure and operate. However, we cannot be certain that these platforms will not become direct competitors in the future as we expand the capabilities of our MUAS products to, potentially, impinge upon the lower end of the large UAS market segment.</w:t>
      </w:r>
    </w:p>
    <w:p>
      <w:pPr>
        <w:spacing w:after="0" w:line="181"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The market for TMS is in an early stage of development, but it is evolving rapidly. Competitors in this market include Textron Inc., Raytheon Technologies, Lockheed Martin Corporation, Anduril Industries and UVision Air Ltd.</w:t>
      </w:r>
    </w:p>
    <w:p>
      <w:pPr>
        <w:spacing w:after="0" w:line="12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market for UGV spans the global defense, first responder, security and logistics market segments. The UGV opportunity in the U.S. DoD has grown with recent U.S. Army procurement awards and a pending U.S. Air Force program. Competitors in the U.S. UGV market include L3Harris Technologies, Inc., Teledyne Technologies, Inc., QinetiQ North America, Inc., Peraton/Remotec, ICOR and Boston Dynamics. Initial adoption of UGVs for law enforcement and other government agencies is also progressing in the U.S. and globally, as well as applications in hazardous materials handling.</w:t>
      </w:r>
    </w:p>
    <w:p>
      <w:pPr>
        <w:spacing w:after="0" w:line="161"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The market for HAPS UAS is in an early stage of development. As a result, this category is not well defined and is characterized by multiple potential solutions. An existing contractor that claims to provide high altitude long endurance UAS is Northrop Grumman Corporation with its Global Hawk. Several aerospace and defense contractors have pursued this market opportunity with proposed very long duration UAS, including The Boeing Company, Airbus, Lockheed Martin Corporation and Northrop Grumman Corporation. Companies pursuing airships (high altitude aircraft that are kept buoyant by a body of gas that is lighter than air) as a solution for this market include Lockheed Martin Corporation and Northrop Grumman Corporation. A number of telecommunications, aerospace and technology companies, including the company and its former joint venture partner HAPSMobile launched the HAPS Alliance to promote the benefits of HAPS to the global population. Companies pursuing conventional satellites as a solution for this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market include The Boeing Company, Lockheed Martin Corporation, General Dynamics Corporation, EADS N.V., Ball Corporation and Northrop Grumman Corporation. Companies pursuing Low Earth Orbit (“LEO”), micro or cubesat satellite constellations for global communication and remote sensing include Amazon, Planet, OneWeb, SpaceX and The Boeing Company. Companies owning and operating terrestrial cellular tower networks include American Tower Corporation, Crown Castle International Corp. and SBA Communications Corporation.</w:t>
      </w:r>
    </w:p>
    <w:p>
      <w:pPr>
        <w:spacing w:after="0" w:line="176"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The market for commercial UAS products and services is in an early stage of development, but is evolving rapidly, generating a great deal of interest as government regulations evolve to accommodate commercial UAS operations in the National Airspace System and in the airspace systems of other countries. Given the breadth of applications and the diversity of industries that could benefit from UAS technology, a growing number of potential competitors in this market include consumer drone manufacturers such as Dà-Jiāng Innovation, who seek to enhance their systems’ capabilities over time; other small UAS manufacturers, including large aerospace companies such as Lockheed Martin Corporation, and drone and aerial surveying and mapping service providers such as PrecisionHawk, Sentera and SlantRange; ground-based surveying and mapping service providers; satellite imagery providers; and specialty system manufacturers, software as a service and other service providers aiming to address specific market segments. The emerging non-military market is attracting numerous additional competitors and significant venture capital funding given perceived lower barriers to entry and a much more fragmented marketplace as compared to the military market. Potential additional competitors include start-up companies providing low cost solutions.</w:t>
      </w:r>
    </w:p>
    <w:p>
      <w:pPr>
        <w:spacing w:after="0" w:line="16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believe that the principal competitive factors in the markets for our UAS, TMS and UGV products and services include product performance; safety; features; acquisition cost; lifetime operating cost, including maintenance and support; ease of use; integration with existing equipment and processes; quality; reliability; customer support, brand and reputation.</w:t>
      </w:r>
    </w:p>
    <w:p>
      <w:pPr>
        <w:spacing w:after="0" w:line="18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(“DCMA”) and the Defense Contract Audit Agency (“DCAA”).</w:t>
      </w:r>
    </w:p>
    <w:p>
      <w:pPr>
        <w:spacing w:after="0" w:line="165"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Certain of these regulations impose substantial penalties for violations, including suspension or debarment from government contracting or subcontracting for a period of time. We monitor all of our contracts and contractual efforts to minimize the possibility of any violation of these regulations.</w:t>
      </w:r>
    </w:p>
    <w:p>
      <w:pPr>
        <w:spacing w:after="0" w:line="184"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6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On June 21, 2016, the FAA released its final rules that allow routine use of certain small UAS in the U.S. National Airspace System. The FAA rules, which went into effect in August 2016, provide safety rules for small UAS (under 55 pounds) conducting non-recreational operations. The rules limit flights to visual-line-of-sight daylight operation, unless the UAS has anti-collision lights in which case twilight operation is permitted. The final rule also addresses height and speed restrictions, operator certification, optional use of a visual observer, aircraft registration and marking and operational limits, including prohibiting flights over unprotected people on the ground who are not directly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participating in the operation of the UAS. Current FAA regulations require drone operators to register their systems with the FAA and secure operating licenses for their drones as per the Part 107 specifications. These regulations continue to evolve to accommodate the integration of UAS into the national airspace system for commercial applications, including HAPS UAS.</w:t>
      </w:r>
    </w:p>
    <w:p>
      <w:pPr>
        <w:spacing w:after="0" w:line="187"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In December 2019, the FAA proposed rules requiring the remote identification of UAS. Remote identification, which provides for a UAS in flight to provide identification that can be received by other parties, is designed to enhance safety and security by allowing the FAA and other agencies to identify a UAS that appears to be flying unsafely or in an area in which flight is not permitted. The public comment period for the proposed rules expired on March 2, 2020. On April 21, 2021, the final rule for remote identification of UAS went into effect. On the same day, the final rule for operation of small UAS over people also went into effect. This rule permits routine operations of small unmanned aircraft over people, moving vehicles, and at night under certain conditions. The final rule also makes changes to the recurrent testing framework and expands the list of persons who may request the presentation of a remote pilot certificate. Additionally, in February 2020, the FAA issued a public request for comment on its proposed policy for the creation of a new type certification of certain UAS as a special class of aircraft under FAA regulations. Currently the Part 107 Rules (as defined below) allow for the operation of small UAS without the need for FAA airworthiness certification as long as the UAS meets certain specified criteria and certain flight rules are followed; larger UAS and operations of small UAS outside the scope of the Part 107 Rules (as defined below) require a waiver from the FAA. The FAA’s proposed policy proposes a new special class of UAS for which airworthiness certification can be obtained, however, the proposed policy only applies to the procedures for the type certification of the new class of UAS, not the criteria that will be needed for the UAS or the flight operations to be followed to operate. Further rulemaking by the FAA is anticipated regarding the particular criteria for the airworthiness certification standards under the new special class proposed by the new policy. The comment period for the FAA’s proposed policy expired on March 4, 2020.</w:t>
      </w:r>
    </w:p>
    <w:p>
      <w:pPr>
        <w:spacing w:after="0" w:line="390"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While it is currently anticipated that the enactment of remote identification, operation of small UAS over people, and a new airworthiness certification process for a newly created special class of UAS will help formalize the process for manufacturing and obtaining airworthiness certification for UAS within the newly created class and accelerate the development of commercial UAS in the U.S., it is uncertain whether the FAA’s actions, if any, will have such effects. It is also unclear when, if at all, the FAA will create a new class of UAS and what the final rules regarding the certification of such UAS will look like. We cannot be certain as to how our business will be affected by the FAA’s proposals until the final rules for such matters are issued by the FAA.</w:t>
      </w:r>
    </w:p>
    <w:p>
      <w:pPr>
        <w:spacing w:after="0" w:line="195"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Furthermore, our non-U.S. operations are subject to the laws and regulations of foreign jurisdictions, which may include regulations that are more stringent than those imposed by the U.S. government on our U.S. operations.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U.S. Government Contracting Process</w:t>
      </w:r>
    </w:p>
    <w:p>
      <w:pPr>
        <w:spacing w:after="0" w:line="225"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color w:val="auto"/>
        </w:rPr>
        <w:t>We sell the significant majority of our small UAS, MUAS and TMS products and services under contracts with the U.S. government. Certain important aspects of our U.S. government contracts are described below.</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Bidding Process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Most of our current U.S.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spacing w:after="0" w:line="195"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Funding</w:t>
      </w:r>
    </w:p>
    <w:p>
      <w:pPr>
        <w:spacing w:after="0" w:line="225"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The funding of U.S. government programs is subject to congressional appropriations. Although multi-year contracts may be authorized in connection with major procurements, Congress generally appropriates funds on a fiscal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year basis, even though a program may continue for many years. Consequently, programs are often only partially funded initially, and additional funds are committed only as Congress makes further appropriations.</w:t>
      </w:r>
    </w:p>
    <w:p>
      <w:pPr>
        <w:spacing w:after="0" w:line="17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U.S. military funds its contracts for our full-rate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five-year government budget cycle, meaning that funding is allocated for purchases under these contracts during the five-year cycle, absent affirmative action by the customer or Congress to change the budgeted amount. Despite being included in the five-year budget cycle, funding for these programs is subject to annual approval.</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Material U.S. Government Contract Provisions</w:t>
      </w:r>
    </w:p>
    <w:p>
      <w:pPr>
        <w:spacing w:after="0" w:line="22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All contracts with the U.S. government contain provisions, and are subject to laws and regulations, that give the government rights and remedies not typically found in commercial contracts, including rights that allow the U.S. government to:</w:t>
      </w:r>
    </w:p>
    <w:p>
      <w:pPr>
        <w:spacing w:after="0" w:line="184" w:lineRule="exact"/>
        <w:rPr>
          <w:sz w:val="20"/>
          <w:szCs w:val="20"/>
          <w:color w:val="auto"/>
        </w:rPr>
      </w:pPr>
    </w:p>
    <w:p>
      <w:pPr>
        <w:ind w:left="1040" w:right="1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existing contracts for convenience, in whole or in part, when it is in the interest of the government to do so;</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contracts for default upon the occurrence of certain enumerated events;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unilaterally modify contracts with regard to certain performance requirements;</w:t>
      </w:r>
    </w:p>
    <w:p>
      <w:pPr>
        <w:spacing w:after="0" w:line="225"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170" w:lineRule="exact"/>
        <w:rPr>
          <w:rFonts w:ascii="Arial" w:cs="Arial" w:eastAsia="Arial" w:hAnsi="Arial"/>
          <w:sz w:val="18"/>
          <w:szCs w:val="18"/>
          <w:color w:val="auto"/>
        </w:rPr>
      </w:pPr>
    </w:p>
    <w:p>
      <w:pPr>
        <w:ind w:left="1040" w:right="55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obtain rights in, or ownership to, intellectual property associated with products and systems developed or delivered by a contractor as a result of its performance of the contract;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or prohibit the export of certain items.</w:t>
      </w:r>
    </w:p>
    <w:p>
      <w:pPr>
        <w:spacing w:after="0" w:line="225"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1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U.S. Government Contract Categories</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There are three primary types of government contracts in our industry,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pacing w:after="0" w:line="187"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limited initial funding and authorizes us to begin immediately manufacturing supplies or performing services while negotiating the definitive terms of the procurement.</w:t>
      </w:r>
    </w:p>
    <w:p>
      <w:pPr>
        <w:spacing w:after="0" w:line="170" w:lineRule="exact"/>
        <w:rPr>
          <w:sz w:val="20"/>
          <w:szCs w:val="20"/>
          <w:color w:val="auto"/>
        </w:rPr>
      </w:pPr>
    </w:p>
    <w:p>
      <w:pPr>
        <w:ind w:left="1340" w:right="139" w:firstLine="648"/>
        <w:spacing w:after="0" w:line="290" w:lineRule="auto"/>
        <w:rPr>
          <w:sz w:val="20"/>
          <w:szCs w:val="20"/>
          <w:color w:val="auto"/>
        </w:rPr>
      </w:pPr>
      <w:r>
        <w:rPr>
          <w:rFonts w:ascii="Arial" w:cs="Arial" w:eastAsia="Arial" w:hAnsi="Arial"/>
          <w:sz w:val="16"/>
          <w:szCs w:val="16"/>
          <w:b w:val="1"/>
          <w:bCs w:val="1"/>
          <w:i w:val="1"/>
          <w:iCs w:val="1"/>
          <w:color w:val="auto"/>
        </w:rPr>
        <w:t xml:space="preserve">Fixed-Price. </w:t>
      </w:r>
      <w:r>
        <w:rPr>
          <w:rFonts w:ascii="Arial" w:cs="Arial" w:eastAsia="Arial" w:hAnsi="Arial"/>
          <w:sz w:val="16"/>
          <w:szCs w:val="16"/>
          <w:color w:val="auto"/>
        </w:rPr>
        <w:t>These contracts are not subject to adjustment by reason of costs incurred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the contract. With this type of contract, we assume the risk that we will not be able to perform at a cost below the fixed-price,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165" w:lineRule="exact"/>
        <w:rPr>
          <w:sz w:val="20"/>
          <w:szCs w:val="20"/>
          <w:color w:val="auto"/>
        </w:rPr>
      </w:pPr>
    </w:p>
    <w:p>
      <w:pPr>
        <w:ind w:left="1340" w:right="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Cost Reimbursable. </w:t>
      </w:r>
      <w:r>
        <w:rPr>
          <w:rFonts w:ascii="Arial" w:cs="Arial" w:eastAsia="Arial" w:hAnsi="Arial"/>
          <w:sz w:val="16"/>
          <w:szCs w:val="16"/>
          <w:color w:val="auto"/>
        </w:rPr>
        <w:t>Cost reimbursable contracts include cost-plus-fixed fee contracts, cost-plus-award fee contracts and cost-plus-incentive fee contracts, each of which are described below. Under each type of contract, we assume the risk that we may not be able to recover costs if they are not allowable under the contract terms or applicable regulations, or if the costs exceed the contract funding.</w:t>
      </w:r>
    </w:p>
    <w:p>
      <w:pPr>
        <w:spacing w:after="0" w:line="157" w:lineRule="exact"/>
        <w:rPr>
          <w:sz w:val="20"/>
          <w:szCs w:val="20"/>
          <w:color w:val="auto"/>
        </w:rPr>
      </w:pPr>
    </w:p>
    <w:p>
      <w:pPr>
        <w:ind w:left="2340" w:right="119" w:hanging="319"/>
        <w:spacing w:after="0" w:line="293" w:lineRule="auto"/>
        <w:tabs>
          <w:tab w:leader="none" w:pos="2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164" w:lineRule="exact"/>
        <w:rPr>
          <w:rFonts w:ascii="Arial" w:cs="Arial" w:eastAsia="Arial" w:hAnsi="Arial"/>
          <w:sz w:val="16"/>
          <w:szCs w:val="16"/>
          <w:color w:val="auto"/>
        </w:rPr>
      </w:pPr>
    </w:p>
    <w:p>
      <w:pPr>
        <w:ind w:left="2340" w:right="199" w:hanging="319"/>
        <w:spacing w:after="0" w:line="275" w:lineRule="auto"/>
        <w:tabs>
          <w:tab w:leader="none" w:pos="2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176" w:lineRule="exact"/>
        <w:rPr>
          <w:rFonts w:ascii="Arial" w:cs="Arial" w:eastAsia="Arial" w:hAnsi="Arial"/>
          <w:sz w:val="17"/>
          <w:szCs w:val="17"/>
          <w:color w:val="auto"/>
        </w:rPr>
      </w:pPr>
    </w:p>
    <w:p>
      <w:pPr>
        <w:ind w:left="2340" w:right="279" w:hanging="319"/>
        <w:spacing w:after="0" w:line="263" w:lineRule="auto"/>
        <w:tabs>
          <w:tab w:leader="none" w:pos="2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184" w:lineRule="exact"/>
        <w:rPr>
          <w:sz w:val="20"/>
          <w:szCs w:val="20"/>
          <w:color w:val="auto"/>
        </w:rPr>
      </w:pPr>
    </w:p>
    <w:p>
      <w:pPr>
        <w:ind w:left="1340" w:right="219" w:firstLine="648"/>
        <w:spacing w:after="0" w:line="257" w:lineRule="auto"/>
        <w:rPr>
          <w:sz w:val="20"/>
          <w:szCs w:val="20"/>
          <w:color w:val="auto"/>
        </w:rPr>
      </w:pPr>
      <w:r>
        <w:rPr>
          <w:rFonts w:ascii="Arial" w:cs="Arial" w:eastAsia="Arial" w:hAnsi="Arial"/>
          <w:sz w:val="18"/>
          <w:szCs w:val="18"/>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88" w:lineRule="exact"/>
        <w:rPr>
          <w:sz w:val="20"/>
          <w:szCs w:val="20"/>
          <w:color w:val="auto"/>
        </w:rPr>
      </w:pPr>
    </w:p>
    <w:p>
      <w:pPr>
        <w:ind w:left="134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Time-and-Materials. </w:t>
      </w:r>
      <w:r>
        <w:rPr>
          <w:rFonts w:ascii="Arial" w:cs="Arial" w:eastAsia="Arial" w:hAnsi="Arial"/>
          <w:sz w:val="17"/>
          <w:szCs w:val="17"/>
          <w:color w:val="auto"/>
        </w:rPr>
        <w:t>Under a time-and-materials contract, our compensation is based on a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hourly rate established for specified labor 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Indefinite Delivery Indefinite Quantity Contract Form</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U.S. government 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16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After award of an IDIQ contract the U.S. government may issue task or delivery orders for specific services or products it needs. The competitive process to obtain task orders under an award contract is limited to the pre-selected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188" w:lineRule="exact"/>
        <w:rPr>
          <w:sz w:val="20"/>
          <w:szCs w:val="20"/>
          <w:color w:val="auto"/>
        </w:rPr>
      </w:pPr>
    </w:p>
    <w:p>
      <w:pPr>
        <w:jc w:val="both"/>
        <w:ind w:left="60" w:right="239" w:firstLine="648"/>
        <w:spacing w:after="0" w:line="342" w:lineRule="auto"/>
        <w:rPr>
          <w:sz w:val="20"/>
          <w:szCs w:val="20"/>
          <w:color w:val="auto"/>
        </w:rPr>
      </w:pPr>
      <w:r>
        <w:rPr>
          <w:rFonts w:ascii="Arial" w:cs="Arial" w:eastAsia="Arial" w:hAnsi="Arial"/>
          <w:sz w:val="16"/>
          <w:szCs w:val="16"/>
          <w:color w:val="auto"/>
        </w:rPr>
        <w:t>IDIQ and IDIQ-type contracts typically have multi-year terms and unfunded ceiling amounts that enable, but do not commit, the U.S. government to purchase substantial amounts of products and services from one or more contractors.</w:t>
      </w:r>
    </w:p>
    <w:p>
      <w:pPr>
        <w:spacing w:after="0" w:line="124" w:lineRule="exact"/>
        <w:rPr>
          <w:sz w:val="20"/>
          <w:szCs w:val="20"/>
          <w:color w:val="auto"/>
        </w:rPr>
      </w:pPr>
    </w:p>
    <w:p>
      <w:pPr>
        <w:ind w:left="1340"/>
        <w:spacing w:after="0"/>
        <w:rPr>
          <w:sz w:val="20"/>
          <w:szCs w:val="20"/>
          <w:color w:val="auto"/>
        </w:rPr>
      </w:pPr>
      <w:r>
        <w:rPr>
          <w:rFonts w:ascii="Arial" w:cs="Arial" w:eastAsia="Arial" w:hAnsi="Arial"/>
          <w:sz w:val="18"/>
          <w:szCs w:val="18"/>
          <w:b w:val="1"/>
          <w:bCs w:val="1"/>
          <w:i w:val="1"/>
          <w:iCs w:val="1"/>
          <w:color w:val="auto"/>
        </w:rPr>
        <w:t>International Contracting Process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supply our UAS, TMS, and UGV products and services to international allied governments.. Certain important aspects of our international contracts are described below. Each international customer has its own laws, regulations, bureaucracy and forms of procurement agreements that present challenges in our international contracting process.</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b w:val="1"/>
          <w:bCs w:val="1"/>
          <w:i w:val="1"/>
          <w:iCs w:val="1"/>
          <w:color w:val="auto"/>
        </w:rPr>
        <w:t>Bidding Process</w:t>
      </w:r>
    </w:p>
    <w:p>
      <w:pPr>
        <w:spacing w:after="0" w:line="211"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Our international contracts generally result from a competitive bidding process, and to a lesser extent, sole source awards for urgent requirements or sustainment and typically begin with the receipt of a request for proposal, information or quotation from an international government procurement agency. Numerous of our technical and administrative personnel are involved in responding to such request.</w:t>
      </w:r>
    </w:p>
    <w:p>
      <w:pPr>
        <w:spacing w:after="0" w:line="187"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Competitive bid contracts are awarded after a formal bid and proposal competition among providers. Interested contractors prepare a bid and proposal in response to a procurement agency’s request for proposal or request for information, which proposals are then reviewed by the applicable procurement agency based on the established evaluation criteria for the proposal. Following award, competitive bid contracts may be challenged by unsuccessful bidders. International competitive bidding processes are highly competitive and sometimes we face disadvantages in the bidding and evaluation process in comparison to local, domestic bidders that may receive priority or more favorable evaluations than non-domestic suppliers due to stated requirements in the local regulations that promote domestic procurements.</w:t>
      </w:r>
    </w:p>
    <w:p>
      <w:pPr>
        <w:spacing w:after="0" w:line="166"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Sole source awards are direct engagements with the procuring agency. Contractors receive requests for proposal or quotation and respond to such request. If accepted by the customer, the resulting contract is for a defined quantity of goods or services for a specific time period. Generally sole source awards are utilized by our existing customers to sustain or augment their fleets of our products, commonly through multi-year support agreements. These agreements allow for customer logistics organizations to tailor procurement and support efforts to the needs of the end users.</w:t>
      </w:r>
    </w:p>
    <w:p>
      <w:pPr>
        <w:spacing w:after="0" w:line="161" w:lineRule="exact"/>
        <w:rPr>
          <w:sz w:val="20"/>
          <w:szCs w:val="20"/>
          <w:color w:val="auto"/>
        </w:rPr>
      </w:pPr>
    </w:p>
    <w:p>
      <w:pPr>
        <w:ind w:left="1340"/>
        <w:spacing w:after="0"/>
        <w:rPr>
          <w:sz w:val="20"/>
          <w:szCs w:val="20"/>
          <w:color w:val="auto"/>
        </w:rPr>
      </w:pPr>
      <w:r>
        <w:rPr>
          <w:rFonts w:ascii="Arial" w:cs="Arial" w:eastAsia="Arial" w:hAnsi="Arial"/>
          <w:sz w:val="18"/>
          <w:szCs w:val="18"/>
          <w:b w:val="1"/>
          <w:bCs w:val="1"/>
          <w:i w:val="1"/>
          <w:iCs w:val="1"/>
          <w:color w:val="auto"/>
        </w:rPr>
        <w:t>Funding</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International customers have individualized funding processes that are generally allocated during the applicable country’s fiscal year. Funding may be broadly allocated to a governmental agency or military branch responsible for procurement, targeted for a specific purpose like unmanned systems, or earmarked to a specific requirement for our products. Funding allocations are typically confidential, making it challenging for us to forecast demand for our products or whether funding is available. Additionally, funding may be reallocated when higher needs arise, such as what occurred in many countries during the COVID-19 pandemic when such countries shifted defense funding to measures to address the pandemic. Forecasted requirements are then delayed until the next fiscal year or cancelled.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Competitive bidding opportunities for our products and services typically have budgets and timelines which require significant investment from the customer. Initial procurement or replacement programs for our products and services may not be considered necessities for some international customers, which makes such procurements susceptible to a reduction in available funding or a complete reallocation of funds to other government programs or initiatives. When funds are reduced, it is common for the reduced funds to be utilized to support the sustainment of the customer’s existing fleet of UAS, rather than for new procurements.</w:t>
      </w:r>
    </w:p>
    <w:p>
      <w:pPr>
        <w:spacing w:after="0" w:line="192"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Many of our international customers have established fleets of our UAS, which generally allows them to seek and obtain budget for yearly incremental allocations of funding. These allocations are contracted through existing multi-year support agreements which provide the customer flexibility to procure products and services when funding is available.</w:t>
      </w:r>
    </w:p>
    <w:p>
      <w:pPr>
        <w:spacing w:after="0" w:line="149" w:lineRule="exact"/>
        <w:rPr>
          <w:sz w:val="20"/>
          <w:szCs w:val="20"/>
          <w:color w:val="auto"/>
        </w:rPr>
      </w:pPr>
    </w:p>
    <w:p>
      <w:pPr>
        <w:ind w:left="1340"/>
        <w:spacing w:after="0"/>
        <w:rPr>
          <w:sz w:val="20"/>
          <w:szCs w:val="20"/>
          <w:color w:val="auto"/>
        </w:rPr>
      </w:pPr>
      <w:r>
        <w:rPr>
          <w:rFonts w:ascii="Arial" w:cs="Arial" w:eastAsia="Arial" w:hAnsi="Arial"/>
          <w:sz w:val="18"/>
          <w:szCs w:val="18"/>
          <w:b w:val="1"/>
          <w:bCs w:val="1"/>
          <w:i w:val="1"/>
          <w:iCs w:val="1"/>
          <w:color w:val="auto"/>
        </w:rPr>
        <w:t>Contract Types and Provisions</w:t>
      </w:r>
    </w:p>
    <w:p>
      <w:pPr>
        <w:spacing w:after="0" w:line="225"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Our typical international customer contracts taken the form of fixed price contracts and time and materials contracts. Most of our international contracts are fixed-price contracts as their finite nature is desired by customers. Time-and-materials contracts are more common for our service work with a defined limit on funding and period of performance.</w:t>
      </w:r>
    </w:p>
    <w:p>
      <w:pPr>
        <w:spacing w:after="0" w:line="149"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With a wide range of international customers, it is common for our customer contracts to contain customer advantageous provisions which are governed by applicable local laws and regulations that may differ from industry standard provisions and contracting norms in the United States. The contractual provisions may, among other things, result in more difficulties enforcing such agreements and collecting receivables and provide us with fewer remedies in a contractual dispute and lesser protections for our intellectual property. We assess the unique risks for each contract on a contract-by-contract basis. We use and require banking guarantees and/or advance payments to minimize risk.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A description of the risks and uncertainties associated with our business is set forth below. You should carefully consider such risks and uncertainties, together with the other information contained in this report and in our other public filings before investing in our common stock.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following is a summary of the risks and uncertainties that could cause our business, financial condition or operating results to be harmed. We encourage you to carefully review the full risk factors contained in this report in their entirety for additional information regarding these risks and uncertainties.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225" w:lineRule="exact"/>
        <w:rPr>
          <w:sz w:val="20"/>
          <w:szCs w:val="20"/>
          <w:color w:val="auto"/>
        </w:rPr>
      </w:pPr>
    </w:p>
    <w:p>
      <w:pPr>
        <w:ind w:left="1040" w:right="199" w:hanging="315"/>
        <w:spacing w:after="0" w:line="25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heavily on sales to certain customers, including the U.S. government, particularly to agencies of the DoD, and SoftBank related to our design and development of HAPS UAS.</w:t>
      </w:r>
    </w:p>
    <w:p>
      <w:pPr>
        <w:spacing w:after="0" w:line="1" w:lineRule="exact"/>
        <w:rPr>
          <w:rFonts w:ascii="Arial" w:cs="Arial" w:eastAsia="Arial" w:hAnsi="Arial"/>
          <w:sz w:val="18"/>
          <w:szCs w:val="18"/>
          <w:color w:val="auto"/>
        </w:rPr>
      </w:pPr>
    </w:p>
    <w:p>
      <w:pPr>
        <w:ind w:left="1040" w:right="9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the U.S. and other government budgets, changes in spending or budgetary priorities, or delays in contract awards may significantly and adversely affect our future revenue.</w:t>
      </w:r>
    </w:p>
    <w:p>
      <w:pPr>
        <w:ind w:left="1040" w:right="23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Military transformation and changes in overseas operational levels may affect future procurement priorities and existing programs, which could limit demand for our UAS.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UAS, UGV, TMS, and commercial UAS markets do not experience significant growth, if we cannot expand our customer base or if our products and services do not achieve broad acceptance, then we may not be able to achieve our anticipated level of growth.</w:t>
      </w:r>
    </w:p>
    <w:p>
      <w:pPr>
        <w:spacing w:after="0" w:line="2"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international business poses potentially greater risks than our domestic business.</w:t>
      </w:r>
    </w:p>
    <w:p>
      <w:pPr>
        <w:spacing w:after="0" w:line="9" w:lineRule="exact"/>
        <w:rPr>
          <w:rFonts w:ascii="Arial" w:cs="Arial" w:eastAsia="Arial" w:hAnsi="Arial"/>
          <w:sz w:val="18"/>
          <w:szCs w:val="18"/>
          <w:color w:val="auto"/>
        </w:rPr>
      </w:pPr>
    </w:p>
    <w:p>
      <w:pPr>
        <w:ind w:left="1040" w:right="479" w:hanging="315"/>
        <w:spacing w:after="0" w:line="28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markets in which we compete are characterized by rapid technological change, which requires us to develop new products and product enhancements, and could render our existing products obsolete.</w:t>
      </w:r>
    </w:p>
    <w:p>
      <w:pPr>
        <w:spacing w:after="0" w:line="1" w:lineRule="exact"/>
        <w:rPr>
          <w:rFonts w:ascii="Arial" w:cs="Arial" w:eastAsia="Arial" w:hAnsi="Arial"/>
          <w:sz w:val="16"/>
          <w:szCs w:val="16"/>
          <w:color w:val="auto"/>
        </w:rPr>
      </w:pPr>
    </w:p>
    <w:p>
      <w:pPr>
        <w:ind w:left="1040" w:right="9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1" w:lineRule="exact"/>
        <w:rPr>
          <w:rFonts w:ascii="Arial" w:cs="Arial" w:eastAsia="Arial" w:hAnsi="Arial"/>
          <w:sz w:val="18"/>
          <w:szCs w:val="18"/>
          <w:color w:val="auto"/>
        </w:rPr>
      </w:pPr>
    </w:p>
    <w:p>
      <w:pPr>
        <w:ind w:left="1040" w:right="499" w:hanging="315"/>
        <w:spacing w:after="0" w:line="28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 w:lineRule="exact"/>
        <w:rPr>
          <w:rFonts w:ascii="Arial" w:cs="Arial" w:eastAsia="Arial" w:hAnsi="Arial"/>
          <w:sz w:val="16"/>
          <w:szCs w:val="16"/>
          <w:color w:val="auto"/>
        </w:rPr>
      </w:pPr>
    </w:p>
    <w:p>
      <w:pPr>
        <w:ind w:left="1040" w:right="37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and services are complex and could have unknown defects or errors, which may give rise to claims against us, diminish our brand or divert our resources from other purposes.</w:t>
      </w:r>
    </w:p>
    <w:p>
      <w:pPr>
        <w:ind w:left="1040" w:right="239" w:hanging="315"/>
        <w:spacing w:after="0" w:line="265"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ind w:left="1040" w:right="9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significant risks in the management of our inventory, and failure to effectively manage our inventory levels may result in supply imbalances that could harm our business.</w:t>
      </w:r>
    </w:p>
    <w:p>
      <w:pPr>
        <w:ind w:left="1040" w:right="21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Shortfalls in available external research and development funding could adversely affect us.</w:t>
      </w:r>
    </w:p>
    <w:p>
      <w:pPr>
        <w:spacing w:after="0" w:line="9" w:lineRule="exact"/>
        <w:rPr>
          <w:rFonts w:ascii="Arial" w:cs="Arial" w:eastAsia="Arial" w:hAnsi="Arial"/>
          <w:sz w:val="18"/>
          <w:szCs w:val="18"/>
          <w:color w:val="auto"/>
        </w:rPr>
      </w:pPr>
    </w:p>
    <w:p>
      <w:pPr>
        <w:ind w:left="1040" w:right="25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Unauthorized access to our, our customers’ and/or our suppliers’ information and systems could negatively impact our business.</w:t>
      </w: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work for the U.S. government and international governments may expose us to security risks.</w:t>
      </w:r>
    </w:p>
    <w:p>
      <w:pPr>
        <w:spacing w:after="0" w:line="9" w:lineRule="exact"/>
        <w:rPr>
          <w:rFonts w:ascii="Arial" w:cs="Arial" w:eastAsia="Arial" w:hAnsi="Arial"/>
          <w:sz w:val="18"/>
          <w:szCs w:val="18"/>
          <w:color w:val="auto"/>
        </w:rPr>
      </w:pPr>
    </w:p>
    <w:p>
      <w:pPr>
        <w:ind w:left="1040" w:right="19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could be difficult to integrate, divert the attention of key personnel, disrupt our business, dilute stockholder value and impair our financial results.</w:t>
      </w:r>
    </w:p>
    <w:p>
      <w:pPr>
        <w:ind w:left="1040" w:right="17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various risks related to the COVID-19 novel coronavirus pandemic and similar public health crises, which may adversely impact our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U.S. Government Contracts</w:t>
      </w:r>
    </w:p>
    <w:p>
      <w:pPr>
        <w:spacing w:after="0" w:line="225" w:lineRule="exact"/>
        <w:rPr>
          <w:sz w:val="20"/>
          <w:szCs w:val="20"/>
          <w:color w:val="auto"/>
        </w:rPr>
      </w:pPr>
    </w:p>
    <w:p>
      <w:pPr>
        <w:ind w:left="1040" w:right="339" w:hanging="315"/>
        <w:spacing w:after="0" w:line="291"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presently classified as a small business defense contractor and the loss of our small business status may adversely affect our ability to compete for small business set-aside US government contracts.</w:t>
      </w:r>
    </w:p>
    <w:p>
      <w:pPr>
        <w:ind w:left="1040" w:right="41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extensive government regulation, and our failure to comply with applicable regulations could subject us to penalties that may restrict our ability to conduct our business.</w:t>
      </w:r>
    </w:p>
    <w:p>
      <w:pPr>
        <w:ind w:left="1040" w:hanging="31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could be adversely affected by a negative audit or investigation by the U.S. government.</w:t>
      </w:r>
    </w:p>
    <w:p>
      <w:pPr>
        <w:spacing w:after="0" w:line="20" w:lineRule="exact"/>
        <w:rPr>
          <w:rFonts w:ascii="Arial" w:cs="Arial" w:eastAsia="Arial" w:hAnsi="Arial"/>
          <w:sz w:val="17"/>
          <w:szCs w:val="17"/>
          <w:color w:val="auto"/>
        </w:rPr>
      </w:pPr>
    </w:p>
    <w:p>
      <w:pPr>
        <w:ind w:left="1040" w:right="13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contracts with the U.S. government allow it to use inventions developed under the contracts and to disclose technical data to third parties, which could harm our ability to compete.</w:t>
      </w:r>
    </w:p>
    <w:p>
      <w:pPr>
        <w:ind w:left="1040" w:right="9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 w:lineRule="exact"/>
        <w:rPr>
          <w:rFonts w:ascii="Arial" w:cs="Arial" w:eastAsia="Arial" w:hAnsi="Arial"/>
          <w:sz w:val="18"/>
          <w:szCs w:val="18"/>
          <w:color w:val="auto"/>
        </w:rPr>
      </w:pPr>
    </w:p>
    <w:p>
      <w:pPr>
        <w:ind w:left="1040" w:right="75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government contracts are subject to a competitive bidding process that can consume significant resources without generating any revenue.</w:t>
      </w:r>
    </w:p>
    <w:p>
      <w:pPr>
        <w:ind w:left="1040" w:right="23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procurement rules and regulations, which increase our performance and compliance costs under our U.S. government contracts.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Legal and Regulatory Requirements</w:t>
      </w:r>
    </w:p>
    <w:p>
      <w:pPr>
        <w:spacing w:after="0" w:line="225" w:lineRule="exact"/>
        <w:rPr>
          <w:sz w:val="20"/>
          <w:szCs w:val="20"/>
          <w:color w:val="auto"/>
        </w:rPr>
      </w:pPr>
    </w:p>
    <w:p>
      <w:pPr>
        <w:ind w:left="1040" w:right="319" w:hanging="315"/>
        <w:spacing w:after="0" w:line="25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necessary regulatory approvals from the FAA or other governmental agencies, or limitations put on the use of small UAS in response to public privacy concerns, may prevent us from expanding the sales of our small UAS to non-military customers in the United States.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 w:lineRule="exact"/>
        <w:rPr>
          <w:rFonts w:ascii="Arial" w:cs="Arial" w:eastAsia="Arial" w:hAnsi="Arial"/>
          <w:sz w:val="18"/>
          <w:szCs w:val="18"/>
          <w:color w:val="auto"/>
        </w:rPr>
      </w:pPr>
    </w:p>
    <w:p>
      <w:pPr>
        <w:jc w:val="both"/>
        <w:ind w:left="1040" w:right="99" w:hanging="315"/>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 w:lineRule="exact"/>
        <w:rPr>
          <w:rFonts w:ascii="Arial" w:cs="Arial" w:eastAsia="Arial" w:hAnsi="Arial"/>
          <w:sz w:val="18"/>
          <w:szCs w:val="18"/>
          <w:color w:val="auto"/>
        </w:rPr>
      </w:pPr>
    </w:p>
    <w:p>
      <w:pPr>
        <w:ind w:left="1040" w:right="299" w:hanging="315"/>
        <w:spacing w:after="0" w:line="273"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Intellectual Property</w:t>
      </w:r>
    </w:p>
    <w:p>
      <w:pPr>
        <w:spacing w:after="0" w:line="225" w:lineRule="exact"/>
        <w:rPr>
          <w:sz w:val="20"/>
          <w:szCs w:val="20"/>
          <w:color w:val="auto"/>
        </w:rPr>
      </w:pPr>
    </w:p>
    <w:p>
      <w:pPr>
        <w:ind w:left="1040" w:right="339" w:hanging="315"/>
        <w:spacing w:after="0" w:line="29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protect, or incur significant costs in defending or enforcing our intellectual property and other proprietary rights, our business, financial condition and results of operations could be materially harmed.</w:t>
      </w:r>
    </w:p>
    <w:p>
      <w:pPr>
        <w:ind w:left="1040" w:right="299" w:hanging="315"/>
        <w:spacing w:after="0" w:line="26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sued by third parties for alleged infringement of their proprietary rights, which could be costly, time consuming and limit our ability to use certain technologies in the future.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Securities Markets and Investment in Our Stock</w:t>
      </w:r>
    </w:p>
    <w:p>
      <w:pPr>
        <w:spacing w:after="0" w:line="225" w:lineRule="exact"/>
        <w:rPr>
          <w:sz w:val="20"/>
          <w:szCs w:val="20"/>
          <w:color w:val="auto"/>
        </w:rPr>
      </w:pPr>
    </w:p>
    <w:p>
      <w:pPr>
        <w:ind w:left="1040" w:right="279" w:hanging="315"/>
        <w:spacing w:after="0" w:line="258"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management, whose interests may not be aligned with yours, is able to exert significant influence over all matters requiring stockholder approval.</w:t>
      </w:r>
    </w:p>
    <w:p>
      <w:pPr>
        <w:spacing w:after="0" w:line="1" w:lineRule="exact"/>
        <w:rPr>
          <w:rFonts w:ascii="Arial" w:cs="Arial" w:eastAsia="Arial" w:hAnsi="Arial"/>
          <w:sz w:val="18"/>
          <w:szCs w:val="18"/>
          <w:color w:val="auto"/>
        </w:rPr>
      </w:pPr>
    </w:p>
    <w:p>
      <w:pPr>
        <w:ind w:left="1040" w:right="139" w:hanging="315"/>
        <w:spacing w:after="0" w:line="25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establish and maintain effective internal control over financial reporting could adversely affect our financial results.</w:t>
      </w:r>
    </w:p>
    <w:p>
      <w:pPr>
        <w:ind w:left="1040" w:right="99" w:hanging="315"/>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Delaware law and anti-takeover provisions in our organizational documents may discourage our acquisition by a third party, which could make it more difficult to acquire us and limit your ability to sell your shares at a premium.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We rely heavily on sales to certain customers, including the U.S. government, particularly to agencies of the DoD, and SoftBank related to our design and development of HAPS UAS.</w:t>
      </w:r>
    </w:p>
    <w:p>
      <w:pPr>
        <w:spacing w:after="0" w:line="170"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Historically, we have derived a significant portion of our total sales and our small UAS and TMS sales from the U.S. government and its agencies. Additionally, more recently, we have derived a significant portion of our revenue from contracts with HAPSMobile and SoftBank related to our design and development of HAPS UAS. Sales to the U.S. government, either as a prime contractor or subcontractor and inclusive of foreign military sales, represented approximately 66% of our revenue for the fiscal year ended April 30, 2022. The DoD, our principal U.S. government customer, accounted for approximately 55% of our revenue for the fiscal year ended April 30, 2022.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agencies, could be jeopardized by spending reductions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 Additionally,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6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U.S. military funds our contracts primarily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178"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pacing w:after="0" w:line="225"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and budget process;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uncertainties associated with the current global threat environment and other geo-political matters;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These developments and other factors could cause governmental agencies to reduce their purchases under existing contracts, to exercise their rights to terminate contracts at-will or to abstain from renewing contracts, any of which would cause our revenue to decline and could otherwise harm our business, financial condition and results of operations.</w:t>
      </w:r>
    </w:p>
    <w:p>
      <w:pPr>
        <w:spacing w:after="0" w:line="149"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In fiscal year 2022, HAPSMobile accounted for 1% of our total revenue and SoftBank accounted for 9% of our total revenue. In May 2021, we and HAPSMobile mutually agreed to terminate our Design and Development Agreement and we entered into a Master Design and Development Agreement with SoftBank to continue design and development work on HAPS UAS. The Master Design and Development Agreement allows SoftBank to terminate the contract at its convenience for any reason. The termination of this contract or the loss of revenues from programs with HAPSMobile and/or SoftBank related to the design and development of HAPS UAS, could cause our revenue to decline and materially adversely affect our results of operations.</w:t>
      </w:r>
    </w:p>
    <w:p>
      <w:pPr>
        <w:spacing w:after="0" w:line="17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70"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Because we generate a significant portion of our total sales, including sales of our small UAS, MUAS and TMS products and services,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under the new U.S. administration.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programs and contracts with the U.S. government, our ability to receive timely payment from U.S. government entities and our ability to timely obtain export licenses for our products to fulfill contracts with our international customers.</w:t>
      </w:r>
    </w:p>
    <w:p>
      <w:pPr>
        <w:spacing w:after="0" w:line="14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Additionally, there is a possibility that political decisions made by the current U.S. administration, such as changes in prior military commitments, including the withdrawal from Afghanistan or in response to the conflict between Russia and Ukraine, or an impasse on policy issues,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w:t>
      </w:r>
    </w:p>
    <w:p>
      <w:pPr>
        <w:spacing w:after="0" w:line="17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170"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With the inception of the global war on terror, operational activity in the US-CENTCOM combatant command area of operations led to broad deployment and increased demand for UAS and TMS products, training and spares. Since such time, there have been periods during which the tempo of DoD counterinsurgency operations receded, reducing demand for certain of our small UAS and TMS products, training and spares from prior levels. We cannot predict whether and when a reduction in overseas operational levels will occur, how future procurement priorities related to defense transformation will be impacted, including by future events such as the conflict between Russia and Ukraine, or how changes in the threat environment will impact opportunities and competition for our UAS and TMS products and our ISR services, in terms of existing, additional or replacement programs. If defense transformation or overseas operations slow down or cease in key operational areas, then our business, financial condition and results of operations could be impacted negatively.</w:t>
      </w:r>
    </w:p>
    <w:p>
      <w:pPr>
        <w:spacing w:after="0" w:line="185"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The operations tempo in the U.S. DoD both of training and deployments, both domestically and overseas, has reduced as a result of the COVID-19 pandemic. This has negatively affected demand for spares, repairs, and replacement product ordinarily required for the operation and maintenance of our UAS products. We cannot predict whether this reduction in demand will continue and to the extent it may cause an adverse impact on our results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UAS are sold in new and rapidly evolving markets. The commercial UAS market is in the early stages of customer adoption. The market for HAPS UAS is also in an early stage of development. Accordingly, our business and future prospects may be difficult to evaluate. We cannot accurately predict the extent to which demand for our products and services will increase, if at all. The challenges, risks and uncertainties frequently encountered by companies in rapidly evolving markets could impact our ability to do the following:</w:t>
      </w:r>
    </w:p>
    <w:p>
      <w:pPr>
        <w:spacing w:after="0" w:line="188"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or manage growth in our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additional engineers and other highly-qualified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adapt to new or changing policies and spending priorities of governments and government agencies;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225" w:lineRule="exact"/>
        <w:rPr>
          <w:sz w:val="20"/>
          <w:szCs w:val="20"/>
          <w:color w:val="auto"/>
        </w:rPr>
      </w:pPr>
    </w:p>
    <w:p>
      <w:pPr>
        <w:jc w:val="both"/>
        <w:ind w:left="60" w:right="299" w:firstLine="648"/>
        <w:spacing w:after="0" w:line="287" w:lineRule="auto"/>
        <w:rPr>
          <w:sz w:val="20"/>
          <w:szCs w:val="20"/>
          <w:color w:val="auto"/>
        </w:rPr>
      </w:pPr>
      <w:r>
        <w:rPr>
          <w:rFonts w:ascii="Arial" w:cs="Arial" w:eastAsia="Arial" w:hAnsi="Arial"/>
          <w:sz w:val="16"/>
          <w:szCs w:val="16"/>
          <w:color w:val="auto"/>
        </w:rPr>
        <w:t>The defense industry is highly competitive and generally characterized by intense competition to win contracts. Our current principal small UAS competitors include Elbit Systems Ltd., Teledyne Technologies, Inc., L3 Technologies, Inc. and Lockheed Martin Corporation. Our principal MUAS competitors include those competing with us for the U.S.</w:t>
      </w:r>
    </w:p>
    <w:p>
      <w:pPr>
        <w:spacing w:after="0" w:line="2"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 xml:space="preserve">Army’s Future Tactical UAS (FTUAS) program, including Martin UAV and Northrop Grumman’s </w:t>
      </w:r>
      <w:r>
        <w:rPr>
          <w:rFonts w:ascii="Arial" w:cs="Arial" w:eastAsia="Arial" w:hAnsi="Arial"/>
          <w:sz w:val="17"/>
          <w:szCs w:val="17"/>
          <w:i w:val="1"/>
          <w:iCs w:val="1"/>
          <w:color w:val="auto"/>
        </w:rPr>
        <w:t>V-Bat</w:t>
      </w:r>
      <w:r>
        <w:rPr>
          <w:rFonts w:ascii="Arial" w:cs="Arial" w:eastAsia="Arial" w:hAnsi="Arial"/>
          <w:sz w:val="17"/>
          <w:szCs w:val="17"/>
          <w:color w:val="auto"/>
        </w:rPr>
        <w:t xml:space="preserve">, Textron, Inc.’s </w:t>
      </w:r>
      <w:r>
        <w:rPr>
          <w:rFonts w:ascii="Arial" w:cs="Arial" w:eastAsia="Arial" w:hAnsi="Arial"/>
          <w:sz w:val="17"/>
          <w:szCs w:val="17"/>
          <w:i w:val="1"/>
          <w:iCs w:val="1"/>
          <w:color w:val="auto"/>
        </w:rPr>
        <w:t xml:space="preserve">Aerosonde </w:t>
      </w:r>
      <w:r>
        <w:rPr>
          <w:rFonts w:ascii="Arial" w:cs="Arial" w:eastAsia="Arial" w:hAnsi="Arial"/>
          <w:sz w:val="17"/>
          <w:szCs w:val="17"/>
          <w:color w:val="auto"/>
        </w:rPr>
        <w:t>and L3 Harris Technologies’</w:t>
      </w:r>
      <w:r>
        <w:rPr>
          <w:rFonts w:ascii="Arial" w:cs="Arial" w:eastAsia="Arial" w:hAnsi="Arial"/>
          <w:sz w:val="17"/>
          <w:szCs w:val="17"/>
          <w:i w:val="1"/>
          <w:iCs w:val="1"/>
          <w:color w:val="auto"/>
        </w:rPr>
        <w:t xml:space="preserve"> FVR-90</w:t>
      </w:r>
      <w:r>
        <w:rPr>
          <w:rFonts w:ascii="Arial" w:cs="Arial" w:eastAsia="Arial" w:hAnsi="Arial"/>
          <w:sz w:val="17"/>
          <w:szCs w:val="17"/>
          <w:color w:val="auto"/>
        </w:rPr>
        <w:t>, Elbit Systems Ltd. and Israeli Aircraft Industries. International MUAS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competitors include Elbit Systems Ltd. and Israeli Aircraft Industries. We do not view large UAS such as Northrop Grumman Corporation’s </w:t>
      </w:r>
      <w:r>
        <w:rPr>
          <w:rFonts w:ascii="Arial" w:cs="Arial" w:eastAsia="Arial" w:hAnsi="Arial"/>
          <w:sz w:val="17"/>
          <w:szCs w:val="17"/>
          <w:i w:val="1"/>
          <w:iCs w:val="1"/>
          <w:color w:val="auto"/>
        </w:rPr>
        <w:t>Global Hawk</w:t>
      </w:r>
      <w:r>
        <w:rPr>
          <w:rFonts w:ascii="Arial" w:cs="Arial" w:eastAsia="Arial" w:hAnsi="Arial"/>
          <w:sz w:val="17"/>
          <w:szCs w:val="17"/>
          <w:color w:val="auto"/>
        </w:rPr>
        <w:t xml:space="preserve"> or General Atomics, Inc.’s </w:t>
      </w:r>
      <w:r>
        <w:rPr>
          <w:rFonts w:ascii="Arial" w:cs="Arial" w:eastAsia="Arial" w:hAnsi="Arial"/>
          <w:sz w:val="17"/>
          <w:szCs w:val="17"/>
          <w:i w:val="1"/>
          <w:iCs w:val="1"/>
          <w:color w:val="auto"/>
        </w:rPr>
        <w:t>Predator</w:t>
      </w:r>
      <w:r>
        <w:rPr>
          <w:rFonts w:ascii="Arial" w:cs="Arial" w:eastAsia="Arial" w:hAnsi="Arial"/>
          <w:sz w:val="17"/>
          <w:szCs w:val="17"/>
          <w:color w:val="auto"/>
        </w:rPr>
        <w:t xml:space="preserve"> and its derivatives as direct competitors to our small UAS because they perform different missions, do not typically deliver their information directly to front-line ground forces, and are not hand launched and controlled. We do not view large UAS such as Northrop Grumman Corporation’s Global Hawk or General Atomics, Inc.’s Predator and its derivatives as direct competitors to our MUAS because they perform different missions, require a larger logistical footprint and cost considerably more to procure and operate. However, we cannot be certain that these platforms will not become direct competitors to our small UAS and MUAS in the future. Potential competition from consumer-focused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 Our TMS business faces competition from Textron Inc., Raytheon Technologies, Lockheed Martin Corporation, Anduril Industries and UVision Air Ltd. We also face emerging competition from consumer and commercially focused drone manufacturers, such as Skydio, Inc. and Shield AI, as their product capabilities increase and their product prices remain low relative to existing defense solutions, which has resulted in some level of military consideration and procurement even though their UAS products do not meet traditional military performance or security specifications. Our competitors in the U.S. defense market for UGVs include L3 Harris Technologies, Inc., Teledyne Technologies, Inc., QinetiQ North America, Inc., Peraton/Remotec, ICOR and Boston Dynamics.</w:t>
      </w:r>
    </w:p>
    <w:p>
      <w:pPr>
        <w:spacing w:after="0" w:line="18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market for commercial UAS products and services is in an early stage of development, but is evolving rapidly. Competition for our commercial UAS products and services includes consumer drone manufacturers such as Dà-Jiāng Innovation, who seek to enhance their systems’ capabilities over time, and other small UAS manufacturers, including Lockheed Martin Corporation, PrecisionHawk, Sentera and SlantRange.</w:t>
      </w:r>
    </w:p>
    <w:p>
      <w:pPr>
        <w:spacing w:after="0" w:line="171"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Lockheed Martin Corporation and Northrop Grumman Corporation, and competition from companies pursuing alternative solutions for this market such as Lockheed Martin Corporation and Northrop Grumman Corporation with airships (high altitude aircraft that are kept buoyant by a body of gas that is lighter than air) and companies pursuing conventional satellites, such as The Boeing Company, Lockheed Martin Corporation, General Dynamics Corporation, EADS N.V., Ball Corporation and Northrop Grumman Corporation, and LEO micro or cubesat satellite constellations, including include Amazon, Planet, OneWeb, SpaceX and The Boeing Company.</w:t>
      </w:r>
    </w:p>
    <w:p>
      <w:pPr>
        <w:spacing w:after="0" w:line="181"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 and MUAS.</w:t>
      </w:r>
    </w:p>
    <w:p>
      <w:pPr>
        <w:spacing w:after="0" w:line="184"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may be able to offer more cost competitive solutions, due to their lower overhead costs, and take advantage of small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business incentive and set-aside programs for which we are ineligible. Foreign competitors may also be able to offer more cost competitive solutions for our UAS and UGV products and services. The market for small UAS, MUAS and UGV products and services is expanding, and competition intensifying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85"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If the UAS, UGV, TMS, and commercial UAS markets do not experience significant growth, if we cannot expand our customer base or if our products and services do not achieve broad acceptance, then we may not be able to achieve our anticipated level of growth.</w:t>
      </w:r>
    </w:p>
    <w:p>
      <w:pPr>
        <w:spacing w:after="0" w:line="184"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We cannot accurately predict the future growth rates or sizes of the markets for our products and services. Demand for our products and services may not increase, or may decrease, either generally or in specific markets, for particular types of products and services or during particular time periods. We believe the market for commercial UAS is nascent. Moreover, there are only a limited number of major programs under which the U.S. military, our primary customer, is currently funding the development or purchase of our UAS, UGV and TMS. Although we have expanded our UAS customer base to include foreign governments and domestic non-military agencies, and made our first approved export of our tactical missile systems to a foreign customer, we cannot assure you that our continued efforts to further increase our sales to international customers will be successful. The expansion of the UAS, UGV, TMS, and commercial UAS markets in general, and the market for our products and services in particular, depends on a number of factors, including the following:</w:t>
      </w:r>
    </w:p>
    <w:p>
      <w:pPr>
        <w:spacing w:after="0" w:line="185"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market our UAS and TMS products and services outside the United States due to U.S. government regulations;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timely regulatory approvals, including, with respect to any of our unmanned systems, access to airspace and wireless spectrum;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 and services.</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Even if UAS, UGV, TMS, and commercial UAS gain wide market acceptance, our products and services may not adequately address market requirements and may not continue to gain market acceptance. If these types of systems generally, or our products and services specifically, do not gain wide market acceptance, then we may not be able to achieve our anticipated level of growth and our revenue and results of operations would decline.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We derived approximately 41% of our revenue from international sales, including U.S. government foreign military sales in which an end user is a foreign government, during the fiscal year ended April 30, 2022 compared to 39% for the fiscal year ended April 30, 2021. We expect to continue to derive a significant portion of our revenue from international sales, including direct sales to allied nations, and initiated international operations with the acquisition of</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Telerob Gesellschaft für Fernhantierungstechnik mbH, a German company (“Telerob”) in May 2021. Our international revenue and operations are subject to a number of material risks, including the following:</w:t>
      </w:r>
    </w:p>
    <w:p>
      <w:pPr>
        <w:spacing w:after="0" w:line="170" w:lineRule="exact"/>
        <w:rPr>
          <w:sz w:val="20"/>
          <w:szCs w:val="20"/>
          <w:color w:val="auto"/>
        </w:rPr>
      </w:pPr>
    </w:p>
    <w:p>
      <w:pPr>
        <w:ind w:left="1040" w:right="4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U.S.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operate in foreign jurisdictions, sell certain products and services or repatriate profits to the United States;</w:t>
      </w:r>
    </w:p>
    <w:p>
      <w:pPr>
        <w:spacing w:after="0" w:line="170"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 and delays in and difficulty of validating foreign representatives and brokers;</w:t>
      </w:r>
    </w:p>
    <w:p>
      <w:pPr>
        <w:spacing w:after="0" w:line="170" w:lineRule="exact"/>
        <w:rPr>
          <w:rFonts w:ascii="Arial" w:cs="Arial" w:eastAsia="Arial" w:hAnsi="Arial"/>
          <w:sz w:val="18"/>
          <w:szCs w:val="18"/>
          <w:color w:val="auto"/>
        </w:rPr>
      </w:pPr>
    </w:p>
    <w:p>
      <w:pPr>
        <w:ind w:left="1040" w:right="439" w:hanging="315"/>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complexities of operating a business in an international location through a subsidiary or joint venture structure that may include foreign business partners, subcontractors and suppliers;</w:t>
      </w:r>
    </w:p>
    <w:p>
      <w:pPr>
        <w:spacing w:after="0" w:line="146" w:lineRule="exact"/>
        <w:rPr>
          <w:rFonts w:ascii="Arial" w:cs="Arial" w:eastAsia="Arial" w:hAnsi="Arial"/>
          <w:sz w:val="17"/>
          <w:szCs w:val="17"/>
          <w:color w:val="auto"/>
        </w:rPr>
      </w:pPr>
    </w:p>
    <w:p>
      <w:pPr>
        <w:ind w:left="1040" w:right="109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complexities of managing a workforce under foreign labor and employment law and related organizational requirements;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complexity of shipping our products internationally through multiple jurisdictions with varying legal requirements;</w:t>
      </w:r>
    </w:p>
    <w:p>
      <w:pPr>
        <w:spacing w:after="0" w:line="170"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fluctuations in foreign economies and in the value of foreign currencies and interest rates;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(non-U.S.) 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or regulations relating to non-U.S. military contracts that favor purchases from non-U.S. manufacturers over U.S. manufacturers;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225"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anti-corruption, anti-boycott, data protection and privacy, employment law, intellectual property, contracts and tax in the jurisdictions in which we currently operate or may operate in the future.</w:t>
      </w:r>
    </w:p>
    <w:p>
      <w:pPr>
        <w:spacing w:after="0" w:line="184"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Negative developments in any of these areas in one or more countries could result in a reduction in demand for our products, the cancellation or delay of orders already placed, threats to our intellectual property, destabilization of performance,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operations and sales, 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If we are unable to manage the increasing complexity of our business, or achieve or manage our expected growth, our business could be adversely affected.</w:t>
      </w:r>
    </w:p>
    <w:p>
      <w:pPr>
        <w:spacing w:after="0" w:line="170"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complexity of our business has increased significantly over the last several years. We have expanded the number of product lines being pursued, shifting from primarily a U.S. government focused business to a business that includes substantial international product sales, added commercial services, accelerated development on HAPS UAS and engaged in numerous acquisitions further expanding our operations domestically and abroad. Further, in conjunction with the acquisition of Arcturus in February 2021, we entered into certain credit facilities that include affirmative and negative covenants and place some restrictions on how we operate our business. These efforts have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spacing w:after="0" w:line="184"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8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Any efforts to expand our offerings beyond our current markets may not succeed, which could negatively impact our operating results.</w:t>
      </w:r>
    </w:p>
    <w:p>
      <w:pPr>
        <w:spacing w:after="0" w:line="170"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7"/>
          <w:szCs w:val="17"/>
          <w:color w:val="auto"/>
        </w:rPr>
        <w:t>The U.S. military represents our largest source of revenue. We have, however, expanded our product sales into new market segments, including those served by our unmanned ground vehicle product line and by our relationship with SoftBank to develop HAPS UAS for global communication and remote sensing applications. Our efforts to expand our product and service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78"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46"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Continuing technological changes in the market for our products could make our products and services less competitive or obsolete, either generally or for particular applications. Our future success will depend upon our ability to develop and introduce a variety of new capabilities and enhancements, including but not limited to addressing counter UAS technologies,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66" w:lineRule="exact"/>
        <w:rPr>
          <w:sz w:val="20"/>
          <w:szCs w:val="20"/>
          <w:color w:val="auto"/>
        </w:rPr>
      </w:pPr>
    </w:p>
    <w:p>
      <w:pPr>
        <w:jc w:val="both"/>
        <w:ind w:left="60" w:right="219" w:firstLine="648"/>
        <w:spacing w:after="0" w:line="286" w:lineRule="auto"/>
        <w:rPr>
          <w:sz w:val="20"/>
          <w:szCs w:val="20"/>
          <w:color w:val="auto"/>
        </w:rPr>
      </w:pPr>
      <w:r>
        <w:rPr>
          <w:rFonts w:ascii="Arial" w:cs="Arial" w:eastAsia="Arial" w:hAnsi="Arial"/>
          <w:sz w:val="17"/>
          <w:szCs w:val="17"/>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6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184" w:lineRule="exact"/>
        <w:rPr>
          <w:sz w:val="20"/>
          <w:szCs w:val="20"/>
          <w:color w:val="auto"/>
        </w:rPr>
      </w:pPr>
    </w:p>
    <w:p>
      <w:pPr>
        <w:ind w:left="60" w:right="559" w:firstLine="648"/>
        <w:spacing w:after="0" w:line="342"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development costs as part of our efforts to design, develop and commercialize new products and services and enhance existing products. We spent $54.7 million, or 12% of our revenue, in our fiscal year ended April 30, 2022 on internal research and development activities. We believe that there are significant investment opportunities in a number of business areas. Because we account for internal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6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products rely on complex avionics, sensors, user-friendly interfaces and tightly-integrated,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8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existence of any defects, errors, or failures in our products or the misuse of our products could also lead to product liability claims or lawsuits against us. A defect, error or failure in one of our products could result in injury, death or property damage and significantly damage our reputation and support for our products in general. We anticipate this risk will grow as our products begin to be used in U.S. domestic airspace and urban areas.</w:t>
      </w:r>
    </w:p>
    <w:p>
      <w:pPr>
        <w:spacing w:after="0" w:line="171"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92"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8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ability to meet customers’ demands depends, in part, on our ability to obtain timely and adequate delivery of quality materials, parts and components from our suppliers. We obtain certain of our hardware components, various subsystems and systems from a limited group of suppliers, some of which are sole source suppliers. Although we hold long term non-binding contracts with certain key suppliers that establish pricing, minimize lead times and to some degree mitigate risk, we do not have long-term agreements with all suppliers that obligate them to continue to sell components, products required to build our systems or products to us. Our reliance on suppliers without long 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81"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has been and currently still is experiencing increased demand and a global shortage of semiconductors, creating substantial uncertainty regarding our suppliers’ ongoing timely delivery of these components to us. In the fiscal year ended April 30, 2022, we experienced delays in receiving of certain electronic and other components for our product lines resulting from shortages, which caused delays in production and development programs and negatively affected our revenue and results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for the period and could negatively impact our revenue and results in future periods. We expect shortages in certain critical components to continue throughout at least the remainder of our fiscal year 2023. Should such shortages of components continue or additional shortages occur, and we are unable to obtain components from third party suppliers in the quantities and of the quality that we require, on a timely basis and at acceptable prices, then we may be impaired in our ability to execute development programs on schedule or deliver products on a timely or cost-effective basis to our customers. Shortages in components for our products and delays in obtaining components for our products could cause customers to terminate their contracts with us, delay orders from us or cause us to delay accepting orders, negatively impact our ability to win new programs and/or contracts, negatively impact and disrupt our development programs, increase our costs and seriously harm our business, results of operations and financial condition. Moreover, if any of our suppliers become capacity constrained,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are required to redesign our products and to complete additional quality control procedures. In addition, credit constraints of key suppliers could result in accelerated payment of accounts payable by us, impacting our cash flow. We have experienced increased costs for components, as well as increased shipping, warehousing and inventory costs. We cannot predict the extent to which these costs will continue and/or continue to increase or if we will be able to obtain replacement components within the time frames that we require at an affordable cost, if at all. Additionally, shortages of components may result in increased inventory of unfinished products and significant quantities of other unused components remaining in inventory, which could expose us to increased risks of obsolescence and losses which may not be fully covered by insurance.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and cash flows can be impacted by changes in tax laws.</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As a U.S.-based multinational business, we are subject to income tax in the U.S. and numerous jurisdictions outside the U.S. The relevant tax rules and regulations are complex, often changing and, in some cases, are interdependent. If these or other tax rules and regulations should change, the company’s earnings and cash flows could be impacted. In particular, the changes proposed by the current U.S. administration, including increasing the U.S. corporate income tax rate from 21% to 28%, doubling the rate of tax on certain earnings of non-U.S. subsidiaries and the imposition of a 15% minimum tax on worldwide book income, could materially affect the company’s financial results if enacted. The company’s worldwide provision for income taxes is determined, in part, through the use of significant estimates and judgments. Numerous transactions arise in the ordinary course of business where the ultimate tax determination is uncertain. The company undergoes tax examinations by tax authorities on a regular basis. While the company believes its estimates of its tax obligations are reasonable, the final outcome after the conclusion of any tax examinations and any litigation could be materially different from what has been reflected in the company’s historical financial statements.</w:t>
      </w:r>
    </w:p>
    <w:p>
      <w:pPr>
        <w:spacing w:after="0" w:line="172"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Our earnings and profit margins may decrease based on the mix of our contracts and programs and other factors related to our contracts.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general, we perform our production work under fixed-price contracts and our repair and customer-funded research and development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involve higher risks. In 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170"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Contract accounting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72"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Fixed-price contracts (including both government and commercial contracts) represented approximately 78% of our revenue for the fiscal year ended April 30, 2022.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8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senior management and key employees, including key employees of business recently acquired, are important to our customer relationships and overall business.</w:t>
      </w:r>
    </w:p>
    <w:p>
      <w:pPr>
        <w:spacing w:after="0" w:line="170"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We have had some departures in fiscal year 2022 from our senior management team, which has resulted in remaining members bearing additional responsibilities as we seek to recruit additional leadership talent. The loss of any of our continuing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The current tight labor market has adversely impacted our ability to recruit qualified personnel, including engineers. Increased restrictions on the import of foreign labor may also increase demand for engineering personnel and adversely impact our ability to hire and retain qualified personnel. If we are unable to recruit and retain a sufficient number of these employees, then our ability to maintain our competitiveness and grow our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spacing w:after="0" w:line="16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In September 2021, in furtherance of an executive order issued by President Biden, the U.S. Safer Federal Workforce Task Force issued guidance that generally requires that employees of U.S. government contractors receive COVID-19 vaccinations, unless an employee requests and receives a medical or religious accommodation. The mandate is subject to various legal proceedings. While the loss of certain employees due to this vaccine mandate, as well our own vaccine requirements for our employees, has not had a significant impact on our operations to date, our ability to recruit skilled employees in the future may be negatively impacted by vaccine mandates.</w:t>
      </w:r>
    </w:p>
    <w:p>
      <w:pPr>
        <w:spacing w:after="0" w:line="164"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spacing w:after="0" w:line="16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We have limited experience manufacturing UAS, TMS and UGV in high volume. We do not know whether or when we will be able to develop efficient, low-cost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During the fiscal year ended April 30, 2022, global supply chain issues resulted in delays in procuring components for our products and experienced significant increases in the costs to procure certain components. The extent to which we will have reliable access to supplies that we require or be able to purchase such materials or components at cost effective prices is uncertain. We expect that the global supply chain issues will adversely affect our ability to procure certain components through at least our fiscal year 2023.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80"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We face significant risks in the management of our inventory, and failure to effectively manage our inventory levels may result in supply imbalances that could harm our business.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maintain a variety of parts and components in inventory to allow us to customize our UAS and UGV products for specific customer requirements, which parts are subject to obsolescence and expiration. Due to the long-lead time for obtaining certain UAS product components, including in response to procurement issues caused by shortages in the supply chain for such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Additionally, our failure to manage inventory effectively, including in response to the effects of shortages of our components, could expose us to increased losses.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Additionally, shortages of components may result in increased inventory of unfinished products and significant quantities of other unused components remaining in inventory, which could expose us to increased risks of obsolescence and losses which may not be covered by insurance.</w:t>
      </w:r>
    </w:p>
    <w:p>
      <w:pPr>
        <w:spacing w:after="0" w:line="184"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2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165"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00"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small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225"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170" w:lineRule="exact"/>
        <w:rPr>
          <w:sz w:val="20"/>
          <w:szCs w:val="20"/>
          <w:color w:val="auto"/>
        </w:rPr>
      </w:pPr>
    </w:p>
    <w:p>
      <w:pPr>
        <w:ind w:left="1040" w:right="29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revenue derived from government contracts, including cost-plus-fee contracts and contracts with a performance-based fee structure;</w:t>
      </w:r>
    </w:p>
    <w:p>
      <w:pPr>
        <w:spacing w:after="0" w:line="170"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mix of products and services that we sell in the period;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customer demand for some of our products or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adoption of our products and services in new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win additional contracts from existing customers or other contracts from new customers;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U.S. governmental agency and foreign government customers;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U.S. governmental agency and foreign government customers;</w:t>
      </w:r>
    </w:p>
    <w:p>
      <w:pPr>
        <w:spacing w:after="0" w:line="170"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complying with various regulatory requirements applicable to our business and the potential penalties or sanctions that could be imposed for non-compliance; and</w:t>
      </w:r>
    </w:p>
    <w:p>
      <w:pPr>
        <w:spacing w:after="0" w:line="170" w:lineRule="exact"/>
        <w:rPr>
          <w:rFonts w:ascii="Arial" w:cs="Arial" w:eastAsia="Arial" w:hAnsi="Arial"/>
          <w:sz w:val="18"/>
          <w:szCs w:val="18"/>
          <w:color w:val="auto"/>
        </w:rPr>
      </w:pPr>
    </w:p>
    <w:p>
      <w:pPr>
        <w:ind w:left="1040" w:right="55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the necessary export licenses for sales of our products and services to international customers.</w:t>
      </w:r>
    </w:p>
    <w:p>
      <w:pPr>
        <w:spacing w:after="0" w:line="170"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depend on our research and development activities to develop the core technologies used in our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research and development could be reduced. Any reductions in available research and development funding could harm our business, financial condition and operating results.</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Unauthorized access to our, our customers’ and/or our suppliers’ information and systems could negatively impact our business.</w:t>
      </w:r>
    </w:p>
    <w:p>
      <w:pPr>
        <w:spacing w:after="0" w:line="170"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We face various security threats, including cyber security attacks on our information technology infrastructure, which may include attempts to gain access to our proprietary, financial, banking or classified information, disrupt use of our systems or otherwise compromise the integrity of our operations. Although we utilize various procedures and controls to monitor and mitigate these threats, there can be no assurance that these procedures and controls will be sufficient to prevent physical or cyber access or system disruptions, including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our reputation with customers, suppliers and stockholders, and the reputation of our products and services. The occurrence of some of these risks may be increased due to the increase in remote working by our employees, suppliers, contractors and other third parties. Previous cyber-attacks directed at us have not materially impacted our business or financial results, but the impact of future incidents cannot be predicted due to the constantly evolving nature and complexity of cyber-attacks. If we or our partners are subject to data security breaches, whether cyber or due to a failure in physical security protocols, we may have a loss in existing sales and new business opportunities, increased costs arising from remediation of the breach and the restoration or implementation of additional security measures, be subject to regulatory investigations and litigation, including fines and penalties, and face increased insurance or audit requirements in our third party contracts, any of which could materially and adversely affect our business and financial results. Additionally, expenses resulting from cyber security attacks and other security risks may not be fully insured or otherwise mitigated, which could harm our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work for the U.S. government and international governments may expose us to increased security risks.</w:t>
      </w:r>
    </w:p>
    <w:p>
      <w:pPr>
        <w:spacing w:after="0" w:line="23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As a government contractor, given the enhanced sensitivity of the information we have access to and the nature of our products and services, we are at increased risk of being targeted for cyber and other security attacks, including threats to the physical security of our facilities and employees. In addition, we work in international locations where there are high security risks, which could result in harm to our employees, contractors, and remote assets, and substantial protection or recovery costs. Some of our services are performed in or adjacent to high risk locations where the country or location is experiencing political, social or economic issues, or war or civil unrest. In those locations where we have employees or operations, we may incur substantial costs to maintain the safety of our personnel, our remote assets and our information. As such international locations and the risks associated with them change rapidly, such precautions may be insufficient to avoid such risks including possible possession of our remote assets and related access to our intellectual property by unintended third parties and the possible loss of our personnel in these locations, which could harm our business and operating results.</w:t>
      </w:r>
    </w:p>
    <w:p>
      <w:pPr>
        <w:spacing w:after="0" w:line="18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cash may be subject to a risk of loss, and we may be exposed to fluctuations in the market values of our portfolio investments and in interest rates.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April 30, 2022. We currently invest the majority of our cash in U.S. government securities, U.S. government agency securities, municipal bonds and high-grade corporate bonds, the performance of which are subject to additional market risks related to their respective issuers. Nearly all of our cash and bank deposits are not insured by the Federal Deposit Insurance Corporation. Therefore, our cash and any bank deposits that we now hold or may acquire in the future may be subject to risks, including the risk of loss or of reduced value or liquidity. Our investments are classified as available-for-sale and recorded at fair value each reporting period. Unrealized gains and losses are excluded from earnings and reported as a separate component of stockholders’ equity, net of deferred income taxes.</w:t>
      </w:r>
    </w:p>
    <w:p>
      <w:pPr>
        <w:spacing w:after="0" w:line="18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70"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costlier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168"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i w:val="1"/>
          <w:iCs w:val="1"/>
          <w:color w:val="auto"/>
        </w:rPr>
        <w:t xml:space="preserve">Potential Deferment of Purchases and Orders by Customers: </w:t>
      </w:r>
      <w:r>
        <w:rPr>
          <w:rFonts w:ascii="Arial" w:cs="Arial" w:eastAsia="Arial" w:hAnsi="Arial"/>
          <w:sz w:val="16"/>
          <w:szCs w:val="16"/>
          <w:color w:val="auto"/>
        </w:rPr>
        <w:t>Uncertainty about current and future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conditions may cause governments, 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6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i w:val="1"/>
          <w:iCs w:val="1"/>
          <w:color w:val="auto"/>
        </w:rPr>
        <w:t xml:space="preserve">Negative Impact from Increased Financial Pressures on Key Suppliers: </w:t>
      </w:r>
      <w:r>
        <w:rPr>
          <w:rFonts w:ascii="Arial" w:cs="Arial" w:eastAsia="Arial" w:hAnsi="Arial"/>
          <w:sz w:val="18"/>
          <w:szCs w:val="18"/>
          <w:color w:val="auto"/>
        </w:rPr>
        <w:t>Our ability to meet customers’ demands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in part, on our ability to obtain timely and adequate delivery of quality materials, parts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components from our suppliers. If certain key suppliers were to become capacity constrained or insolvent as a result of a market downturn or disruption, then we may have to find new suppliers, which can result in significant delays in manufacturing and shipping our products to customers and additional costs. See above risk factor “If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detail on risks related to our supply chain.</w:t>
      </w:r>
    </w:p>
    <w:p>
      <w:pPr>
        <w:spacing w:after="0" w:line="178"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192"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70"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In June 2019, we consummated the acquisition of Pulse Aerospace, LLC. In February 2021 we completed the acquisition of Arcturus and Intelligent Systems Group business segment (“ISG”), and in May 2021 we acquired Telerob. We intend to consider additional acquisitions that could add to our customer base, technological capabilities or system offerings. Acquisitions involve numerous risks, any of which could harm our business, including the following:</w:t>
      </w:r>
    </w:p>
    <w:p>
      <w:pPr>
        <w:spacing w:after="0" w:line="157" w:lineRule="exact"/>
        <w:rPr>
          <w:sz w:val="20"/>
          <w:szCs w:val="20"/>
          <w:color w:val="auto"/>
        </w:rPr>
      </w:pPr>
    </w:p>
    <w:p>
      <w:pPr>
        <w:ind w:left="1040" w:right="139" w:hanging="315"/>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products, existing contracts, accounting and personnel of each target company and realizing the anticipated synergies of the combined businesses;</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each target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25" w:lineRule="exact"/>
        <w:rPr>
          <w:rFonts w:ascii="Arial" w:cs="Arial" w:eastAsia="Arial" w:hAnsi="Arial"/>
          <w:sz w:val="18"/>
          <w:szCs w:val="18"/>
          <w:color w:val="auto"/>
        </w:rPr>
      </w:pPr>
    </w:p>
    <w:p>
      <w:pPr>
        <w:ind w:left="1040" w:right="339" w:hanging="315"/>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price we pay or other resources that we devote may exceed the value we realize, or the value we could have realized if we had allocated the purchase price or other resources to another opportunity;</w:t>
      </w:r>
    </w:p>
    <w:p>
      <w:pPr>
        <w:spacing w:after="0" w:line="146" w:lineRule="exact"/>
        <w:rPr>
          <w:rFonts w:ascii="Arial" w:cs="Arial" w:eastAsia="Arial" w:hAnsi="Arial"/>
          <w:sz w:val="17"/>
          <w:szCs w:val="17"/>
          <w:color w:val="auto"/>
        </w:rPr>
      </w:pPr>
    </w:p>
    <w:p>
      <w:pPr>
        <w:ind w:left="1040" w:right="439" w:hanging="315"/>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of entering new markets in which we have limited or no experience the complexities of managing a workforce under foreign labor and employment law and related organizational requirements;</w:t>
      </w:r>
    </w:p>
    <w:p>
      <w:pPr>
        <w:spacing w:after="0" w:line="123" w:lineRule="exact"/>
        <w:rPr>
          <w:rFonts w:ascii="Arial" w:cs="Arial" w:eastAsia="Arial" w:hAnsi="Arial"/>
          <w:sz w:val="16"/>
          <w:szCs w:val="16"/>
          <w:color w:val="auto"/>
        </w:rPr>
      </w:pPr>
    </w:p>
    <w:p>
      <w:pPr>
        <w:ind w:left="1040" w:right="4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 customers and strategic alliances from either our current business or the target company’s business;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or its regulatory compliance;</w:t>
      </w:r>
    </w:p>
    <w:p>
      <w:pPr>
        <w:spacing w:after="0" w:line="170"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regulatory compliance complexity and risk, including compliance with regulations of foreign jurisdictions;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Acquisitions also frequently result in the recording of goodwill and other intangible assets that are subject to potential impairments in the future that could harm our financial results. In addition, if we finance acquisitions by issuing equity, or securities convertible into equity, such as the stock issued as consideration for the purchase of Arcturus, then our existing stockholders may be diluted, which could lower the market price of our common stock. If we finance acquisitions through debt, such as the credit facilities we entered into in connection with the consummation of our acquisition of Arcturus, then such future debt financing may contain covenants or other provisions that limit our operational or financial flexibility and represent default risk if we are unable to maintain certain financial performance metrics while the debt remains outstanding.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87"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b w:val="1"/>
          <w:bCs w:val="1"/>
          <w:i w:val="1"/>
          <w:iCs w:val="1"/>
          <w:color w:val="auto"/>
        </w:rPr>
        <w:t>Borrowings under our credit facilities could adversely affect our financial condition and restrict our operating flexibility.</w:t>
      </w:r>
    </w:p>
    <w:p>
      <w:pPr>
        <w:spacing w:after="0" w:line="170"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On February 19, 2021, in connection with the consummation of the Arcturus acquisition, we entered into a credit agreement with certain lenders, letter of credit issuers, and others (as amended February 4, 2022, the “Credit Agreement”), which, together with its associated Security and Pledge Agreement, sets forth the terms and conditions of a five-year $100 million revolving credit facility, which includes a $10 million sublimit for the issuance of standby and commercial letters of credit (the “Revolving Facility”), and a five-year amortized $200 million term A loan (the “Term Loan Facility”, and together with the Revolving Facility, the “Credit Facilities”). Upon execution of the Credit Agreement, we drew down $200.0 million, the full principal amount of the Term Loan Facility, to partially finance the acquisition of Arcturus.</w:t>
      </w:r>
    </w:p>
    <w:p>
      <w:pPr>
        <w:spacing w:after="0" w:line="166"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The Term Loan Facility as amended has a five-year term expiring in February 2026 and bears interest, at our option, either at a secured overnight financing rate (“SOFR”) or a base rate plus a fixed applicable margin dependent on our consolidated leverage ratio under the terms of the agreement. We are required to pay 5.0% of the outstanding obligations under the Term Loan Facility in each of the first four loan years, with the remaining 80.0% payable in the fifth loan year, consisting of three quarterly payments of 1.25% each, with the remaining outstanding principal amount of the Term Loan Facility due and payable on the maturity date. The Revolving Facility has a term of 5 years. As of April 30, 2022 we have only letters of credit issued pursuant to the Revolving Facility, totaling $4.2 million.</w:t>
      </w:r>
    </w:p>
    <w:p>
      <w:pPr>
        <w:spacing w:after="0" w:line="166"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including Arcturus, are required to be guarantors of the Credit Facilities.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our increased level of indebtedness may have important consequences to us, including:</w:t>
      </w:r>
    </w:p>
    <w:p>
      <w:pPr>
        <w:spacing w:after="0" w:line="225"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225" w:lineRule="exact"/>
        <w:rPr>
          <w:rFonts w:ascii="Arial" w:cs="Arial" w:eastAsia="Arial" w:hAnsi="Arial"/>
          <w:sz w:val="18"/>
          <w:szCs w:val="18"/>
          <w:color w:val="auto"/>
        </w:rPr>
      </w:pPr>
    </w:p>
    <w:p>
      <w:pPr>
        <w:ind w:left="1040" w:right="119" w:hanging="315"/>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dedicate a portion of our cash flows to the payment of interest and when applicable, principal, on our indebtedness and other obligations thereby reducing the availability of our cash flow to fund working capital, capital expenditures, research and development efforts, execution of our business strategy, acquisitions and other general corporate purposes;</w:t>
      </w:r>
    </w:p>
    <w:p>
      <w:pPr>
        <w:spacing w:after="0" w:line="186"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the economy, the defense industry, and the markets in which we operate;</w:t>
      </w:r>
    </w:p>
    <w:p>
      <w:pPr>
        <w:spacing w:after="0" w:line="170"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subjecting us to maintenance of various financial covenants and adherence to certain other affirmative and negative covenants, requiring us to seek lender consent or waiver in relation to our financial performance or other potential strategic actions in the future;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with less indebtedness;</w:t>
      </w:r>
    </w:p>
    <w:p>
      <w:pPr>
        <w:spacing w:after="0" w:line="225" w:lineRule="exact"/>
        <w:rPr>
          <w:rFonts w:ascii="Arial" w:cs="Arial" w:eastAsia="Arial" w:hAnsi="Arial"/>
          <w:sz w:val="18"/>
          <w:szCs w:val="18"/>
          <w:color w:val="auto"/>
        </w:rPr>
      </w:pPr>
    </w:p>
    <w:p>
      <w:pPr>
        <w:ind w:left="1040" w:right="299" w:hanging="315"/>
        <w:spacing w:after="0" w:line="31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service the indebtedness under the Credit Facilities; and</w:t>
      </w:r>
    </w:p>
    <w:p>
      <w:pPr>
        <w:spacing w:after="0" w:line="225" w:lineRule="exact"/>
        <w:rPr>
          <w:sz w:val="20"/>
          <w:szCs w:val="20"/>
          <w:color w:val="auto"/>
        </w:rPr>
      </w:pPr>
    </w:p>
    <w:p>
      <w:pPr>
        <w:ind w:left="1040" w:right="51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for us to borrow additional funds in the future to fund our growth, acquisitions, working capital, capital expenditures, and other purposes.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extent we incur additional indebtedness, the risks described above could increase.</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If we do not have sufficient funds to repay the Term Loan Facility when it becomes due in 2026, it may be necessary to refinance our debt through additional debt or equity financings. If, at the time of any such refinancing, prevailing interest rates or other factors result in higher interest rates on such refinanced debt, such increases in our interest expense could have an adverse effect on our business, results of operations and financial condition.</w:t>
      </w:r>
    </w:p>
    <w:p>
      <w:pPr>
        <w:spacing w:after="0" w:line="171"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The Credit Agreement contains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spacing w:after="0" w:line="176"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additional liens on our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incurring additional indebtedness.</w:t>
      </w:r>
    </w:p>
    <w:p>
      <w:pPr>
        <w:spacing w:after="0" w:line="9" w:lineRule="exact"/>
        <w:rPr>
          <w:rFonts w:ascii="Arial" w:cs="Arial" w:eastAsia="Arial" w:hAnsi="Arial"/>
          <w:sz w:val="18"/>
          <w:szCs w:val="18"/>
          <w:color w:val="auto"/>
        </w:rPr>
      </w:pPr>
    </w:p>
    <w:p>
      <w:pPr>
        <w:ind w:left="1040" w:right="41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new investments, including acquisitions, mergers, investments in subsidiaries that are not guarantors of the debt, and joint ventures.</w:t>
      </w: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disposal of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payments of cash dividends.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changing the nature of our business.</w:t>
      </w:r>
    </w:p>
    <w:p>
      <w:pPr>
        <w:spacing w:after="0" w:line="9" w:lineRule="exact"/>
        <w:rPr>
          <w:rFonts w:ascii="Arial" w:cs="Arial" w:eastAsia="Arial" w:hAnsi="Arial"/>
          <w:sz w:val="18"/>
          <w:szCs w:val="18"/>
          <w:color w:val="auto"/>
        </w:rPr>
      </w:pPr>
    </w:p>
    <w:p>
      <w:pPr>
        <w:ind w:left="1040" w:right="3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requirement to maintain a maximum consolidated leverage ratio and a minimum fixed charge coverage ratio.</w:t>
      </w: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changes to our accounting policies.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payments of any junior indebtedness.</w:t>
      </w:r>
    </w:p>
    <w:p>
      <w:pPr>
        <w:spacing w:after="0" w:line="21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To the extent we would wish to engage in any of the prohibited behaviors, we would need to obtain consent under the Credit Agreement, which may not be timely forthcoming or at all. If a default event were to occur, we may not have sufficient available cash to repay such outstanding debt obligations at the time they become due or be able to refinance such debt on acceptable terms or at all.</w:t>
      </w:r>
    </w:p>
    <w:p>
      <w:pPr>
        <w:spacing w:after="0" w:line="18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Any of the foregoing limitations or events could materially and adversely affect our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and operations are subject to the risks of earthquakes and other natural catastrophic events.</w:t>
      </w:r>
    </w:p>
    <w:p>
      <w:pPr>
        <w:spacing w:after="0" w:line="237"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 majority of our research and development and manufacturing operations are located in California in regions known for seismic activity and wildfires. While we maintain insurance coverage to cover certain of risks of losses for damage or destruction to facilities and property and for interruption of our business, such insurance may not cover specific losses and the amount of our insurance coverage may not be adequate to cover all of our losses. A significant natural disaster, such as an earthquake, fire or other catastrophic event, could severely affect our ability to conduct normal business operations, and as a result, our future operating results could be materially and adversely affected, including if our losses are not adequately or timely covered by our insurance.</w:t>
      </w:r>
    </w:p>
    <w:p>
      <w:pPr>
        <w:spacing w:after="0" w:line="177"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170"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where our primary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operations are located. The coronavirus pandemic continues to evolve, and has led to the implementation of various responses and evolving public health safety measures. Although our operations have mostly continued uninterrupted during the COVID-19 outbreak, adoption of work from home protocols, social distancing measures in the workplace, international travel restrictions, vaccine mandates and other responsive actions have required certain changes to our operations. In particular, additional surges in infection rates and resulting travel disruptions, quarantine requirements or other similar logistics restrictions,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16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Global health concerns, such as the coronavirus pandemic, could result in social, economic and labor instability in the countries in which we or the third parties with whom we engage operate. The extent to which COVID-19 will continue to impact our business, financial condition and results of operations and those of our third party partners will depend on future developments as to the geographic presence of COVID-19, new and potentially more contagious variants of the SARS-CoV-2 virus, rates of vaccination, government and healthcare responses to such spread including the duration of the outbreak, new information that may emerge concerning the severity of the coronavirus and the actions to contain the coronavirus or treat its impact, among others, which remain highly uncertain.</w:t>
      </w:r>
    </w:p>
    <w:p>
      <w:pPr>
        <w:spacing w:after="0" w:line="166"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cannot presently predict the scope and severity of existing and other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has caused delays in the timing of our customers’ awarding of contracts to us, which has had some negative impact on our business in fiscal year 2022; and there can be no assurances that any further delays would not have a material adverse impact on our business and results of operations in the future.</w:t>
      </w:r>
    </w:p>
    <w:p>
      <w:pPr>
        <w:spacing w:after="0" w:line="166"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The COVID-19 pandemic could also cause delays or limits in the ability of our customers to make timely payments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61"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self-insure a portion of our health insurance program, which may expose us to unexpected costs and negatively affect our results of operations</w:t>
      </w:r>
      <w:r>
        <w:rPr>
          <w:rFonts w:ascii="Arial" w:cs="Arial" w:eastAsia="Arial" w:hAnsi="Arial"/>
          <w:sz w:val="18"/>
          <w:szCs w:val="18"/>
          <w:color w:val="auto"/>
        </w:rPr>
        <w:t>.</w:t>
      </w:r>
    </w:p>
    <w:p>
      <w:pPr>
        <w:spacing w:after="0" w:line="170"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are self-insured for the majority of our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Recession, financial and credit market disruptions may adversely affect us.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If another global recession emerges, we may experience declines in revenues, profitability and cash flows from reduced orders, payment delays, collection difficulties, increased price pressures for our products, increased risk of excess and obsolete inventories or other factors caused by the economic problems of our customers. The COVID pandemic has increased volatility and pricing in the capital markets. If negative conditions in the global credit markets prevent our customers from having access to credit or render them insolvent, orders for our products may decrease, which would result in lower revenue. Likewise, if our suppliers face challenges in obtaining credit, in selling their products, or otherwise in operating their businesses or remaining solvent, they may become unable to offer the materials we use to manufacture our products. An economic or credit crisis could also impact our ability to raise capital when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needed. These events could adversely impact our ability to manufacture affected products and could also result in reductions in our revenue, increased price competition, and increased operating costs, which could adversely affect our business, financial condition, operational results, and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229" w:lineRule="exact"/>
        <w:rPr>
          <w:sz w:val="20"/>
          <w:szCs w:val="20"/>
          <w:color w:val="auto"/>
        </w:rPr>
      </w:pPr>
    </w:p>
    <w:p>
      <w:pPr>
        <w:ind w:left="60" w:right="759"/>
        <w:spacing w:after="0" w:line="342" w:lineRule="auto"/>
        <w:rPr>
          <w:sz w:val="20"/>
          <w:szCs w:val="20"/>
          <w:color w:val="auto"/>
        </w:rPr>
      </w:pPr>
      <w:r>
        <w:rPr>
          <w:rFonts w:ascii="Arial" w:cs="Arial" w:eastAsia="Arial" w:hAnsi="Arial"/>
          <w:sz w:val="16"/>
          <w:szCs w:val="16"/>
          <w:b w:val="1"/>
          <w:bCs w:val="1"/>
          <w:i w:val="1"/>
          <w:iCs w:val="1"/>
          <w:color w:val="auto"/>
        </w:rPr>
        <w:t>We are presently classified as a small business defense contractor and the loss of our small business status may adversely affect our ability to compete for small business set-aside US government contracts.</w:t>
      </w:r>
    </w:p>
    <w:p>
      <w:pPr>
        <w:spacing w:after="0" w:line="124"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Because we have fewer than 1,500 employees, we are presently classified as a small business defense contractor under our primary North American Industry Classification Systems (“NAICS”) industry and product specific codes (336411 - Aircraft Manufacturing) which are regulated in the United States by the Small Business Administration (“SBA”). Businesses that meet the small business size standard for the relevant NAICS code are able to bid on small business set-aside contracts. While we do not presently derive a substantial portion of our business from contracts which are set-aside for small businesses, we are able to bid on small business set-aside contracts as well as contracts which are open to non-small business entities. As we continue to grow and add employees, including through acquisitions, or if NAICS codes are revised, we could cease to qualify as a small business, which could adversely impact our eligibility for special small business programs and limit our ability to partner with other business entities that seek to team with small business entities as may be required under a specific contract. If we outgrow our small business classification, we would not be eligible to serve as the prime contractor on small business set aside programs and may need to implement a small business subcontracting plan with other companies that qualify as a small business, for SBA approval. The loss of our small business classification could have a material adverse effect on our financial position and/or results of operations. Additionally, if we are no longer eligible for the small business exemption from compliance with the full range of Cost Accounting Standards (“CAS”), we would be required to demonstrate compliance with such standards upon the award of a contract subject to the full range of CAS, which will impose additional administrative costs on our business, and may significantly affect the manner in which we conduct our business with our customers and adversely affect our results of operations.</w:t>
      </w:r>
    </w:p>
    <w:p>
      <w:pPr>
        <w:spacing w:after="0" w:line="19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70"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49" w:lineRule="exact"/>
        <w:rPr>
          <w:sz w:val="20"/>
          <w:szCs w:val="20"/>
          <w:color w:val="auto"/>
        </w:rPr>
      </w:pPr>
    </w:p>
    <w:p>
      <w:pPr>
        <w:ind w:left="1040" w:right="239" w:hanging="315"/>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Acquisition Regulations and supplemental agency regulations, which comprehensively regulate the formation and administration of, and performance under, U.S. government contracts;</w:t>
      </w:r>
    </w:p>
    <w:p>
      <w:pPr>
        <w:spacing w:after="0" w:line="146" w:lineRule="exact"/>
        <w:rPr>
          <w:rFonts w:ascii="Arial" w:cs="Arial" w:eastAsia="Arial" w:hAnsi="Arial"/>
          <w:sz w:val="17"/>
          <w:szCs w:val="17"/>
          <w:color w:val="auto"/>
        </w:rPr>
      </w:pPr>
    </w:p>
    <w:p>
      <w:pPr>
        <w:ind w:left="1040" w:right="2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170" w:lineRule="exact"/>
        <w:rPr>
          <w:rFonts w:ascii="Arial" w:cs="Arial" w:eastAsia="Arial" w:hAnsi="Arial"/>
          <w:sz w:val="18"/>
          <w:szCs w:val="18"/>
          <w:color w:val="auto"/>
        </w:rPr>
      </w:pPr>
    </w:p>
    <w:p>
      <w:pPr>
        <w:ind w:left="1040" w:right="23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83" w:lineRule="exact"/>
        <w:rPr>
          <w:rFonts w:ascii="Arial" w:cs="Arial" w:eastAsia="Arial" w:hAnsi="Arial"/>
          <w:sz w:val="18"/>
          <w:szCs w:val="18"/>
          <w:color w:val="auto"/>
        </w:rPr>
      </w:pPr>
    </w:p>
    <w:p>
      <w:pPr>
        <w:ind w:left="1040" w:right="399" w:hanging="315"/>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Foreign Corrupt Practices Act, which prohibits U.S. companies from providing anything of value to a foreign official to help obtain, retain or direct business, or obtain any unfair advantage;</w:t>
      </w:r>
    </w:p>
    <w:p>
      <w:pPr>
        <w:spacing w:after="0" w:line="146" w:lineRule="exact"/>
        <w:rPr>
          <w:rFonts w:ascii="Arial" w:cs="Arial" w:eastAsia="Arial" w:hAnsi="Arial"/>
          <w:sz w:val="17"/>
          <w:szCs w:val="17"/>
          <w:color w:val="auto"/>
        </w:rPr>
      </w:pPr>
    </w:p>
    <w:p>
      <w:pPr>
        <w:ind w:left="1040" w:right="33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83"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Aviation Administration, which regulates the use of airspace for all aircraft, including UAS operation in the United States;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040" w:right="13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83" w:lineRule="exact"/>
        <w:rPr>
          <w:rFonts w:ascii="Arial" w:cs="Arial" w:eastAsia="Arial" w:hAnsi="Arial"/>
          <w:sz w:val="18"/>
          <w:szCs w:val="18"/>
          <w:color w:val="auto"/>
        </w:rPr>
      </w:pPr>
    </w:p>
    <w:p>
      <w:pPr>
        <w:ind w:left="1040" w:right="27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and the exportation of certain products and technical data.</w:t>
      </w:r>
    </w:p>
    <w:p>
      <w:pPr>
        <w:spacing w:after="0" w:line="18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22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audits of our incurred cost claims through fiscal year 2020 have been settled. At April 30, 2022 we had no reserve for open incurred cost claim audits. In addition, non-audit reviews or investigations by the government may still be conducted on all of our government contracts.</w:t>
      </w:r>
    </w:p>
    <w:p>
      <w:pPr>
        <w:spacing w:after="0" w:line="188"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78"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In December 2015, DCMA concluded that our purchasing system was not approved. In an April 2016 follow-up review the DCMA approved our purchasing system. The purchasing systems was reviewed and approved again in January 2019.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 For example, in February 2010, we were notified by the DOJ that it had initiated a civil investigation into our cost charging practices with respect to government contracts. We resolved these claims with the DOJ in October 2013. Under the settlement agreement, we reimbursed the government for an amount erroneously charged to the government in our fiscal 2006 incurred cost claim submittal.</w:t>
      </w:r>
    </w:p>
    <w:p>
      <w:pPr>
        <w:spacing w:after="0" w:line="177"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6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84"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76"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24"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81"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U.S. government contracts are subject to a competitive bidding process that can consume significant resources without generating any revenue.</w:t>
      </w:r>
    </w:p>
    <w:p>
      <w:pPr>
        <w:spacing w:after="0" w:line="170"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business that we expect 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seek in the foreseeable future likely will be awarded through competitive bidding. Competitive bidding presents a number of risks, including the following:</w:t>
      </w:r>
    </w:p>
    <w:p>
      <w:pPr>
        <w:spacing w:after="0" w:line="170" w:lineRule="exact"/>
        <w:rPr>
          <w:sz w:val="20"/>
          <w:szCs w:val="20"/>
          <w:color w:val="auto"/>
        </w:rPr>
      </w:pPr>
    </w:p>
    <w:p>
      <w:pPr>
        <w:ind w:left="1040" w:right="39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must be spent to prepare bids and proposals for contracts that may not be awarded to us;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 structure that will be required to service any contract we are awarded; and</w:t>
      </w:r>
    </w:p>
    <w:p>
      <w:pPr>
        <w:spacing w:after="0" w:line="170" w:lineRule="exact"/>
        <w:rPr>
          <w:rFonts w:ascii="Arial" w:cs="Arial" w:eastAsia="Arial" w:hAnsi="Arial"/>
          <w:sz w:val="18"/>
          <w:szCs w:val="18"/>
          <w:color w:val="auto"/>
        </w:rPr>
      </w:pPr>
    </w:p>
    <w:p>
      <w:pPr>
        <w:ind w:left="1040" w:right="319" w:hanging="315"/>
        <w:spacing w:after="0" w:line="27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71"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1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are subject to procurement rules and regulations, which increase our performance and compliance costs under our U.S. government contracts.</w:t>
      </w:r>
    </w:p>
    <w:p>
      <w:pPr>
        <w:spacing w:after="0" w:line="170"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Requirements</w:t>
      </w:r>
    </w:p>
    <w:p>
      <w:pPr>
        <w:spacing w:after="0" w:line="229"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b w:val="1"/>
          <w:bCs w:val="1"/>
          <w:i w:val="1"/>
          <w:iCs w:val="1"/>
          <w:color w:val="auto"/>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spacing w:after="0" w:line="187"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We must comply with U.S. and other laws regulating the export of our products and services. In some cases, explicit authorization from the relevant U.S. government authorities is needed to export our products and services. The export regulations and the governing policies applicable to our business are subject to change. We cannot provide assurance that such export authorizations will be available for our products and services in the future. Compliance with these laws has not significantly limited our operations or our sales in the recent past but could significantly limit them in the future. We maintain an export compliance program but there are risks that our compliance controls may be ineffective. In November 2019, we entered into a consent agreement (the “Consent Agreement”) with the U.S. Department of State’s Directorate of Defense Trade Controls Office of Defense Trade Controls Compliance to resolve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various alleged violations of the Armed Export Control Act and the International Traffic in Arms Regulations (“ITAR”) that occurred between June 2014 and December 2016. The Consent Agreement, under which we are currently operating, provides for, among other things: (i) a civil penalty of $1,000,000 payable in installments, $500,000 of which was suspended on the condition that such amount be used future remedial compliance costs over the term of the Consent Agreement and/or credited against prior compliance enhancement costs already expended by us; (ii) the appointment of an external Special Compliance Officer for a minimum of one year to oversee our compliance with the Consent Agreement and ITAR; and (iii) one external audit of our compliance with the Consent Agreement and ITAR. The $500,000 suspension amount was satisfied by our compliance program remediation efforts during our fiscal year ended April 30, 2021. Our failure to comply with the terms of the Consent Agreement or export laws and regulations in general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179" w:lineRule="exact"/>
        <w:rPr>
          <w:sz w:val="20"/>
          <w:szCs w:val="20"/>
          <w:color w:val="auto"/>
        </w:rPr>
      </w:pPr>
    </w:p>
    <w:p>
      <w:pPr>
        <w:jc w:val="both"/>
        <w:ind w:left="60" w:right="299"/>
        <w:spacing w:after="0" w:line="286" w:lineRule="auto"/>
        <w:rPr>
          <w:sz w:val="20"/>
          <w:szCs w:val="20"/>
          <w:color w:val="auto"/>
        </w:rPr>
      </w:pPr>
      <w:r>
        <w:rPr>
          <w:rFonts w:ascii="Arial" w:cs="Arial" w:eastAsia="Arial" w:hAnsi="Arial"/>
          <w:sz w:val="17"/>
          <w:szCs w:val="17"/>
          <w:b w:val="1"/>
          <w:bCs w:val="1"/>
          <w:i w:val="1"/>
          <w:iCs w:val="1"/>
          <w:color w:val="auto"/>
        </w:rPr>
        <w:t>Failure to obtain necessary regulatory approvals from the FAA or other governmental agencies, or limitations put on the use of small UAS and MUAS in response to public privacy concerns, may prevent us from expanding the sales of our small UAS and MUAS to non-military customers in the United States.</w:t>
      </w:r>
    </w:p>
    <w:p>
      <w:pPr>
        <w:spacing w:after="0" w:line="16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regulation of small UAS and MUAS for commercial use in the United States is undergoing substantial change and the ultimate treatment is uncertain. In 2006, the FAA issued a clarification of its existing policies stating that, in order to engage in commercial use of small UAS and MUAS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half-mile laterally and 400 feet vertically of the small unmanned aircraft system while in operation. Furthermore, the FAA’s clarification of existing policy stated that the rules for radio-controlled hobby aircraft do not apply to public or commercial use of small UAS and MUAS.</w:t>
      </w:r>
    </w:p>
    <w:p>
      <w:pPr>
        <w:spacing w:after="0" w:line="18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On February 14, 2012, the FAA Modernization and Reform Act of 2012 was enacted, establishing various deadlines for the FAA to allow expanded use of small UAS and MUAS for both public and commercial applications. On June 21, 2016, the FAA released its final rules regarding the routine use of certain small UAS (under 55 pounds) in the U.S. National Airspace System pursuant to the act (the “Part 107 Rules”). The Part 107 Rules, which became effective in August 2016, provided safety regulations for small UAS conducting non-recreational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Additionally, in December 2019 and January 2020, the FAA proposed rules regarding remote UAS identification and a new policy regarding the airworthiness certification of a newly created special class of UAS. It is unclear when, if ever, the FAA will create a new class of UAS and what the final rules regarding the certification of such new class of UAS will state. We cannot assure you that the Part 107 Rules, or any final rules enacted in furtherance on the FAA’s recently announced proposals, will result in the expanded use of our small UAS and MUAS by law enforcement or other non-military government agencies or commercial entities and we may not be able to expand our sales of small UAS and MUAS beyond our military customers, which could harm our business prospects.</w:t>
      </w:r>
    </w:p>
    <w:p>
      <w:pPr>
        <w:spacing w:after="0" w:line="171"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UAS and MUAS by non-military customers.</w:t>
      </w:r>
    </w:p>
    <w:p>
      <w:pPr>
        <w:spacing w:after="0" w:line="157"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24"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165"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100"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Failure to comply with any applicable product safety or consumer protection regulation could result in sanctions that could have a negative impact on our business, financial condition and results of operations.</w:t>
      </w:r>
    </w:p>
    <w:p>
      <w:pPr>
        <w:spacing w:after="0" w:line="18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expenses in the event any of our products were found to not comply with such regulations. Such increased costs or penalties could harm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could be the subject of future product liability suits or product recalls, which could harm our business.</w:t>
      </w:r>
    </w:p>
    <w:p>
      <w:pPr>
        <w:spacing w:after="0" w:line="23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w:t>
      </w:r>
    </w:p>
    <w:p>
      <w:pPr>
        <w:spacing w:after="0" w:line="187"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or material settlement of such claims could significantly harm our business, financial condition and results of operations.</w:t>
      </w:r>
    </w:p>
    <w:p>
      <w:pPr>
        <w:spacing w:after="0" w:line="161"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2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are subject to various legal proceedings and claims, and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including when negotiating settlement where appropriate in response to such claims, however, our actual losses may differ significantly from our interim estimates. An adverse or unfavorable resolution of any proceedings against us could have a material impact on our financial position, cash flows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b w:val="1"/>
          <w:bCs w:val="1"/>
          <w:i w:val="1"/>
          <w:iCs w:val="1"/>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87"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16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168"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new data privacy rights for consumers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General Data Protection Regulation (“GDPR”), which imposes stringent E.U. data protection requirements, provides an enforcement authority, and imposes large penalties for noncompliance, including for the transfer of personal data between AeroVironment and its recently acquired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171"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Although we are working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 .</w:t>
      </w:r>
    </w:p>
    <w:p>
      <w:pPr>
        <w:spacing w:after="0" w:line="2"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b w:val="1"/>
          <w:bCs w:val="1"/>
          <w:i w:val="1"/>
          <w:iCs w:val="1"/>
          <w:color w:val="auto"/>
        </w:rPr>
        <w:t>Environmental laws and regulations and unforeseen costs, including in response to climate change, could impact our future earnings.</w:t>
      </w:r>
    </w:p>
    <w:p>
      <w:pPr>
        <w:spacing w:after="0" w:line="18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w:t>
      </w:r>
    </w:p>
    <w:p>
      <w:pPr>
        <w:spacing w:after="0" w:line="171"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6"/>
          <w:szCs w:val="16"/>
          <w:color w:val="auto"/>
        </w:rPr>
        <w:t>The increasing global focus on climate change, including greenhouse gas (“GHG”) emissions, has resulted in legislative and regulatory efforts to address the causes and impacts of climate change. New and more strict laws and regulations to reduce GHG emissions and address other aspects of climate change, including carbon taxes, cap and trade programs, GHG reduction requirements, requirements for the use of green energy, and changes in procurement requirements, may result in increased operational and compliance obligations, which could adversely affect our financial condition and results of operations. Such laws and regulations could result in increased energy costs and costs to upgrade our facilities or change our manufacturing processes. Additionally, our suppliers may also face similar increased costs, which could result in them increasing the costs of components for our products and development programs. Changes to government procurement laws, including proposed changes to the Federal Acquisition Regulations, designed to require climate risk and GHG emissions to be taken into account in the procurement process could result in increased costs to change our operations and manufacturing processes to ensure we remain competitive in the bidding process. We cannot predict the materiality of any potential additional costs associated with complying with such laws and regulations or whether we could raise prices to account for any such additional costs. Any non-compliance could negatively affect our reputation, our ability to compete in competitive bidding processes, including with the U.S. government, and our ability to sell our products and services. We cannot assure you that such existing laws or future laws addressing environmental concerns, including climate change, will not have a material adverse effect on our future earnings or results of operations.</w:t>
      </w:r>
    </w:p>
    <w:p>
      <w:pPr>
        <w:spacing w:after="0" w:line="1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Compliance with the SEC’s conflict minerals regulations may increase our costs and adversely impact the supply-chain for our UAS products.</w:t>
      </w:r>
    </w:p>
    <w:p>
      <w:pPr>
        <w:spacing w:after="0" w:line="170"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 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46"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3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92"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w:t>
      </w:r>
    </w:p>
    <w:p>
      <w:pPr>
        <w:spacing w:after="0" w:line="17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We may become subject to claims that our technologies infringe upon the intellectual property or other proprietary rights of third parties. Defending against, or otherwise addressing, any such claims, whether they are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Securities Markets and Investment in Our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71"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 resulting in potentially reduced earnings during a particular fiscal quarter;</w:t>
      </w:r>
    </w:p>
    <w:p>
      <w:pPr>
        <w:spacing w:after="0" w:line="170"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relating to us or our industry or our competitors;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media coverage regarding our products and services;</w:t>
      </w:r>
    </w:p>
    <w:p>
      <w:pPr>
        <w:spacing w:after="0" w:line="225"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not be able to obtain capital when desired on favorable terms, if at all, or without dilution to our stockholders.</w:t>
      </w:r>
    </w:p>
    <w:p>
      <w:pPr>
        <w:spacing w:after="0" w:line="260"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49"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have obtained capital from the Credit Facilities noted above including the Term Loan Facility and Revolving Facility. We cannot assure you that additional financing will be available on terms favorable to us, or at all. Our current Credit Facilities contain,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7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Our management, whose interests may not be aligned with yours, is able to exert significant influence over all matters requiring stockholder approval.</w:t>
      </w:r>
    </w:p>
    <w:p>
      <w:pPr>
        <w:spacing w:after="0" w:line="170"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As of June 22, 2022, our directors, executive officers and their affiliates collectively beneficially owned 394,855 shares, or approximately 2%,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then-prevailing market price for shares of our common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 over financial reporting could adversely affect our financial results.</w:t>
      </w:r>
    </w:p>
    <w:p>
      <w:pPr>
        <w:spacing w:after="0" w:line="17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It is management’s responsibility to establish and maintain effective internal control in order to provide reasonable assurance regarding the financial reporting soundness for external purposes. Internal control over financial reporting is not intended to impart absolute assurance that the Company can prevent or detect misstatements of its financial statement or fraud due to its inherent limitations.</w:t>
      </w:r>
    </w:p>
    <w:p>
      <w:pPr>
        <w:spacing w:after="0" w:line="187"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As of April 30, 2022, our management determined that the Company’s internal control over financial reporting was not effective due to certain identified material weaknesses.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Management identified deficiencies related to inadequate design and operation of certain controls at certain newly acquired businesses. Specifically, management did not effectively select and develop certain information technology (“IT”) general controls related to access and change management controls that led to deficiencies in the design and operation of control activities, including segregation of duties. The Company also had deficiencies in the design and operation of account reconciliations at certain newly acquired businesses. These deficiencies and a lack of sufficient resources contributed to the potential for there to have been material errors related to certain newly acquired businesses in the Company’s financial statements. While these deficiencies did not result in any material misstatements of the Company’s consolidated financial statements, they did collectively represent a material weakness in internal control over financial reporting. Additional information about the nature of these material weaknesses and how we are remediating and addressing them is provided in Item 9A.- “Controls and Procedures.”</w:t>
      </w:r>
    </w:p>
    <w:p>
      <w:pPr>
        <w:spacing w:after="0" w:line="184"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Although the current material weaknesses identified did not result in a need to restate any prior period financial statements, if the current material weaknesses are not remediated in full, or if additional material weaknesses or significant deficiencies in the Company’s internal control over financial reporting are discovered or occur in the future, our consolidated financial statements may contain material misstatements and we could be required to restate financial results. Further, because of ongoing changes in our operations and business condition and changes in accounting rules and regulations, even our remediation of the current material weaknesses will not remove the need to timely assess such changes and develop additional updates to our internal controls from time to time. The failure to maintain an effective system of internal control over financial reporting could limit our ability to report its financial results accurately and in a timely manner or to detect and prevent fraud, which could cause a loss of investor confidence in our reporting, depress our stock price, adversely limit our liquidity and access to the capital markets and we may be unable to maintain compliance with applicable stock exchange listing requirements and debt covenant requirements.</w:t>
      </w:r>
    </w:p>
    <w:p>
      <w:pPr>
        <w:spacing w:after="0" w:line="172"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b w:val="1"/>
          <w:bCs w:val="1"/>
          <w:i w:val="1"/>
          <w:iCs w:val="1"/>
          <w:color w:val="auto"/>
        </w:rPr>
        <w:t>Delaware law and anti-takeover provisions in our organizational documents may discourage our acquisition by a third party, which could make it more difficult to acquire us and limit your ability to sell your shares at a premium</w:t>
      </w:r>
      <w:r>
        <w:rPr>
          <w:rFonts w:ascii="Arial" w:cs="Arial" w:eastAsia="Arial" w:hAnsi="Arial"/>
          <w:sz w:val="16"/>
          <w:szCs w:val="16"/>
          <w:color w:val="auto"/>
        </w:rPr>
        <w:t>.</w:t>
      </w:r>
    </w:p>
    <w:p>
      <w:pPr>
        <w:spacing w:after="0" w:line="124"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184" w:lineRule="exact"/>
        <w:rPr>
          <w:sz w:val="20"/>
          <w:szCs w:val="20"/>
          <w:color w:val="auto"/>
        </w:rPr>
      </w:pPr>
    </w:p>
    <w:p>
      <w:pPr>
        <w:ind w:left="1040" w:right="239" w:hanging="315"/>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our board of directors to issue preferred stock in one or more series of with such rights, obligations and preferences as the board may determine, without further vote or action by our stockholders;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absence of cumulative voting rights for our stockholders;</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stockholders from electing a majority of the directors at any one annual meeting of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40" w:right="79" w:hanging="315"/>
        <w:spacing w:after="0" w:line="27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limitation that directors may be removed only for cause by the affirmative vote of the holders of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total voting power of all of our outstanding securities entitled to vote in the election of directors, voting together as a single class; and</w:t>
      </w:r>
    </w:p>
    <w:p>
      <w:pPr>
        <w:spacing w:after="0" w:line="15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call a special meeting of stockholders.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inflation could adversely affect our business and financial results.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 adversely affect us by increasing our operating costs, including our materials, freight and labor costs, which are already under pressure due to supply chain constraints and the continuing effects of the COVID-19 pandemic. As interest rates rise to address inflation, such increases will also impact the base rates applicable in our credit arrangements and will result in borrowed funds becoming more expensive to us over time; similar financing pressures from inflation also can have a negative impact on customers’ willingness to purchase our products in the same volumes and at the same rates as previously anticipated. In a highly inflationary environment, we may be unable to raise the sales prices of our products at or above the rate of inflation, which could reduce our profit margins having a material adverse effect on our financial performance.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color w:val="auto"/>
        </w:rPr>
        <w:t>All of our facilities are leased. Our corporate headquarters are located in Arlington, Virginia where we lease approximately 2,000 square feet under an agreement expiring in November 2024. We also lease a total of approximately 280,000 square feet of space in Simi Valley, California, which leases expire between 2025 and 2027, and approximately 150,000 square feet of space in Moorpark, California, which lease expires in 2023, used for administration and to design, engineer, test and manufacture UAS. We also lease other facilities in California, Alabama, Kansas, Massachusetts, Pennsylvania, Minnesota, Virginia, and Stuttgart, Germany that are used for administration, research and development, logistics, testing and manufacturing.</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April 30, 2022, our business segments had significant operations at the following locations:</w:t>
      </w:r>
    </w:p>
    <w:p>
      <w:pPr>
        <w:spacing w:after="0" w:line="225" w:lineRule="exact"/>
        <w:rPr>
          <w:sz w:val="20"/>
          <w:szCs w:val="20"/>
          <w:color w:val="auto"/>
        </w:rPr>
      </w:pPr>
    </w:p>
    <w:p>
      <w:pPr>
        <w:ind w:left="1040" w:right="159" w:hanging="315"/>
        <w:spacing w:after="0" w:line="25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Small UAS, TMS and HAPS: Simi Valley, CA; Moorpark, CA; Huntsville, AL; Lawrence, KS; Wilmington, MA; and Minneapolis, MN.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MUAS: Petaluma, CA and Rohnert Park, CA.</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UGV: Stuttgart, Germany and Eerie, PA.</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Arlington, VA, Moorpark, CA and Simi Valley, CA.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On February 22, 2019, Webasto Charging Systems, Inc. (“Webasto”) filed a lawsuit, which was subsequently amended on April 5, 2019, against us in Delaware Superior Court, arising from the sale of the EES Business to Webasto in June 2018. The lawsuit generally alleged several claims against us for breach of contract, indemnity, declaratory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judgment, and fraud and misrepresentation, including allegations regarding inaccuracy of certain diligence disclosures, financial disclosures, failure to provide certain consents to contract assignments and related to the previously announced recall. In order to avoid the future cost, expense, and distraction of continued litigation, we executed a written settlement agreement with Webasto effective December 16, 2021, under which we did not admit to any fault or wrongdoing and fully settled all claims in the lawsuit. Further, the settlement eliminates future warranty and indemnity claims against the company by Webasto. The lawsuit was dismissed on December 28, 2021.</w:t>
      </w:r>
    </w:p>
    <w:p>
      <w:pPr>
        <w:spacing w:after="0" w:line="178"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spacing w:after="0" w:line="17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83" w:lineRule="exact"/>
        <w:rPr>
          <w:sz w:val="20"/>
          <w:szCs w:val="20"/>
          <w:color w:val="auto"/>
        </w:rPr>
      </w:pPr>
    </w:p>
    <w:p>
      <w:pPr>
        <w:jc w:val="center"/>
        <w:ind w:right="6459"/>
        <w:spacing w:after="0"/>
        <w:rPr>
          <w:sz w:val="20"/>
          <w:szCs w:val="20"/>
          <w:color w:val="auto"/>
        </w:rPr>
      </w:pPr>
      <w:r>
        <w:rPr>
          <w:rFonts w:ascii="Arial" w:cs="Arial" w:eastAsia="Arial" w:hAnsi="Arial"/>
          <w:sz w:val="16"/>
          <w:szCs w:val="16"/>
          <w:b w:val="1"/>
          <w:bCs w:val="1"/>
          <w:color w:val="auto"/>
        </w:rPr>
        <w:t>Item 4. Mine Safety Disclosure.</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26" w:lineRule="exact"/>
        <w:rPr>
          <w:sz w:val="20"/>
          <w:szCs w:val="20"/>
          <w:color w:val="auto"/>
        </w:rPr>
      </w:pPr>
    </w:p>
    <w:p>
      <w:pPr>
        <w:ind w:left="760" w:right="459" w:hanging="712"/>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On June 22, 2022, the closing sales price of our common stock as reported on the NASDAQ Global Select Market, where it trades under the symbol AVAV, was $82.39 per share. As of June 22, 2022, there were 73 holders of record of our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Price Performance Graph</w:t>
      </w:r>
    </w:p>
    <w:p>
      <w:pPr>
        <w:spacing w:after="0" w:line="148"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74295</wp:posOffset>
            </wp:positionV>
            <wp:extent cx="4337685" cy="2691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3768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shows the value of $100 invested on April 30, 2017 in AeroVironment, Inc., the Russell 2000 Index and the SPADE Defense Index.</w:t>
      </w:r>
    </w:p>
    <w:p>
      <w:pPr>
        <w:spacing w:after="0" w:line="9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Performance Graph Table ($)</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April 30,</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April 30</w:t>
            </w:r>
          </w:p>
        </w:tc>
        <w:tc>
          <w:tcPr>
            <w:tcW w:w="20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April 30,</w:t>
            </w:r>
          </w:p>
        </w:tc>
        <w:tc>
          <w:tcPr>
            <w:tcW w:w="9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April 30,</w:t>
            </w:r>
          </w:p>
        </w:tc>
        <w:tc>
          <w:tcPr>
            <w:tcW w:w="8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April 30</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April 30,</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AeroVironment, Inc.</w:t>
            </w: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Russell 2000 Index</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SPADE Defense Index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We did not repurchase any shares during the fiscal year ended April 30, 2022. As of April 30, 2022, approximately $21.2 million remained authorized for future repurchases under this program.</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Reserved.</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forward-looking statements. Refer to Part I, “Forward-Looking Statements” on page 2 and Part 1A, “Risk Factors” beginning on page 25, for a discussion of the uncertainties, risks and assumptions associated with these statements.</w:t>
      </w:r>
    </w:p>
    <w:p>
      <w:pPr>
        <w:spacing w:after="0" w:line="188"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results of operations of the EES Business are reported in this Annual Report as discontinued operations for all periods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design, develop, produce, deliver and support a technologically-advanced portfolio of intelligent, multi-domain robotic systems and related services for government agencies and businesses. We supply UAS, TMS, UGV and related services primarily to organizations within the U.S. DoD and to international allied governments. We derive the majority of our revenue from these business areas and we believe that the markets for these solutions offer the potential for significant long-term growth. Additionally, we believe that some of the innovative potential products, services and technologies in our research and development pipeline will emerge as new growth platforms in the future, creating additional market opportunities.</w:t>
      </w:r>
    </w:p>
    <w:p>
      <w:pPr>
        <w:spacing w:after="0" w:line="19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The success of our current products and services stems from our investment in research and development and our ability to invent and deliver advanced solutions, utilizing our proprietary technologies, to help our government and commercial customers operate more effectively and efficiently. We develop these highly innovative solutions by working closely with our key customers and solving their most important challenges related to our areas of expertise. Our core technological capabilities, developed through nearly 50 years of innovation, include robotics and robotics systems autonomy; sensor design, development, miniaturization and integration; embedded software and firmware; miniature, low power wireless digital communications; lightweight aerostructures; high-altitude systems design, integration and operations; machine vision, machine learning and autonomy; low SWaP (Size, Weight and Power) system design and integration; manned-unmanned teaming,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environments.</w:t>
      </w:r>
    </w:p>
    <w:p>
      <w:pPr>
        <w:spacing w:after="0" w:line="186"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Our business focuses primarily on the design, development, production, marketing, support and operation of innovative UAS and TMS and the delivery of UAS-related services that provide situational awareness, remote sensing, multi-band communications, force protection and other information and mission effects to increase the safety and effectiveness of our customers’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16"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We generate our revenue primarily from the sale, support, design and operation of our UAS, TMS, HAPS and UGV as well as ISR services by our MUAS. Support for our small UAS and TMS customers includes training, spare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parts, product repair, product replacement, and the customer-contracted operation of our small UAS by our personnel. Under ISR services contracts we deliver the information our MUAS produce to our customers, who use that information to support their missions. We refer to these support activities, in conjunction with customer-funded research and development (“R&amp;D”), as our services operation. We derive most of our small UAS, MUAS, HAPS and TMS revenue from fixed-price and cost-plus-fee contracts with the U.S. government and allied foreign governments.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16"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Cost of sales consists of direct costs and allocated indirect costs. Direct costs include labor, materials, travel, subcontracts and other costs directly related to the execution of a specific contract. Indirect costs include overhead expenses, fringe benefits, depreciation of in-service ISR assets, amortization of acquired intangible assets and other costs that are not directly charged to a specific contract.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Margin</w:t>
      </w:r>
    </w:p>
    <w:p>
      <w:pPr>
        <w:spacing w:after="0" w:line="216" w:lineRule="exact"/>
        <w:rPr>
          <w:sz w:val="20"/>
          <w:szCs w:val="20"/>
          <w:color w:val="auto"/>
        </w:rPr>
      </w:pPr>
    </w:p>
    <w:p>
      <w:pPr>
        <w:ind w:left="60" w:right="719" w:firstLine="648"/>
        <w:spacing w:after="0" w:line="342" w:lineRule="auto"/>
        <w:rPr>
          <w:sz w:val="20"/>
          <w:szCs w:val="20"/>
          <w:color w:val="auto"/>
        </w:rPr>
      </w:pPr>
      <w:r>
        <w:rPr>
          <w:rFonts w:ascii="Arial" w:cs="Arial" w:eastAsia="Arial" w:hAnsi="Arial"/>
          <w:sz w:val="16"/>
          <w:szCs w:val="16"/>
          <w:color w:val="auto"/>
        </w:rPr>
        <w:t>Gross margin is equal to revenue minus cost of sales. We use gross margin as a financial metric to help us understand trends in our direct costs and allocated indirect costs when compared to the revenue we generate.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16"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Our selling, general and administrative expenses (“SG&amp;A”), include salaries, fringe benefits, and other expenses related to selling, marketing and proposal activities, and other administrative costs and amortization of acquired intangible assets. Some SG&amp;A expenses relate to marketing and business development activities that support both ongoing business areas as well as new and emerging market areas. These activities can be directly associated with developing requirements for and applications of capabilities created in our research and development (“R&amp;D”) activities. SG&amp;A is an important financial metric that we analyze to help us evaluate the contribution of our selling, marketing and proposal activities to revenue generation.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w:t>
      </w:r>
    </w:p>
    <w:p>
      <w:pPr>
        <w:spacing w:after="0" w:line="216"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and Expenses</w:t>
      </w:r>
    </w:p>
    <w:p>
      <w:pPr>
        <w:spacing w:after="0" w:line="21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Other income and expenses includes the gain on the sale of our equity interest in HAPSMobile, legal accruals related to our former EES Business, a one-time gain from a litigation settlement, income from transition services performed on behalf of the buyer of the discontinued EES Business, interest income, interest expense, and amortization of capital lease payments.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 (Benefit)</w:t>
      </w:r>
    </w:p>
    <w:p>
      <w:pPr>
        <w:spacing w:after="0" w:line="21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Our effective tax rates are higher than the statutory rates primarily due to R&amp;D tax credits and excess tax benefit of equity awards.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Method Investment Loss, Net of Tax</w:t>
      </w:r>
    </w:p>
    <w:p>
      <w:pPr>
        <w:spacing w:after="0" w:line="21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Equity method investment loss, net of tax, includes equity method income or loss related to the HAPSMobile joint venture we formed in December 2017 with SoftBank and our investment in a limited partnership fund for which we have concluded we have influence for holding more than a minor interest. In March 2022, we sold our equity interest in HAPSMobile and will no longer record equity method income (loss) of HAPSMobile.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from Discontinued Operations, Net of Tax</w:t>
      </w:r>
    </w:p>
    <w:p>
      <w:pPr>
        <w:spacing w:after="0" w:line="229"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results of operations of the EES Business are reported in this Annual Report as discontinued operations for all periods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Attributable to Noncontrolling Interests</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Net loss attributable to noncontrolling interests includes the 50% interest in the income or losses of our Turkish joint venture, Altoy, as of September 15, 2021 and 15% interest for all prior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We believe the following critical accounting estimates affect our more significant judgments and estimates used in preparing our consolidated financial statements. Please see Note 1 to our consolidated financial statements entitled “Organization and Significant Accounting Policies,” which is included in Part II, Item 8 “Financial Statements and Supplementary Data” of this Annual Report. There have been no material changes made to the critical accounting estimates during the periods presented in the consolidated financial statements.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spacing w:after="0" w:line="185"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spacing w:after="0" w:line="14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Our performance obligations are satisfied over time or at a point in time. Revenue for TMS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4"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Revenue is recognized at the point in time when control transfers to the customer, which generally occurs when title and risk of loss have passed to the customer.</w:t>
      </w:r>
    </w:p>
    <w:p>
      <w:pPr>
        <w:spacing w:after="0" w:line="17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the estimated costs to complete for contracts using the over time method are recognized on a cumulative catch-up basis in the period in which the revisions are made. During the fiscal years ended April 30, 2022, 2021 and 2020,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18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For the years ended April 30, 2022, 2021 and 2020,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9"/>
              </w:rPr>
              <w:t>Year Ended April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1,331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Gross unfavorable adjustments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(2,857)</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(2,205)</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(2,019)</w:t>
            </w:r>
          </w:p>
        </w:tc>
      </w:tr>
      <w:tr>
        <w:trPr>
          <w:trHeight w:val="210"/>
        </w:trPr>
        <w:tc>
          <w:tcPr>
            <w:tcW w:w="6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adjustments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(1,526)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For the year ended April 30, 2022, favorable cumulative catch up adjustments of $1.3 million were primarily due to final cost adjustments on 19 contracts, which individually were not material. For the same period, unfavorable cumulative catch up adjustments of $2.9 million were primarily related to higher than expected costs on 10 contracts. During the year ended April 30, 2022,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$1.1 million.</w:t>
      </w:r>
    </w:p>
    <w:p>
      <w:pPr>
        <w:spacing w:after="0" w:line="164"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For the year ended April 30, 2021, favorable cumulative catch up adjustments of $2.0 million were primarily due to final cost adjustments on 12 contracts, which individually were not material. For the same period, unfavorable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01" w:lineRule="auto"/>
        <w:rPr>
          <w:sz w:val="20"/>
          <w:szCs w:val="20"/>
          <w:color w:val="auto"/>
        </w:rPr>
      </w:pPr>
      <w:r>
        <w:rPr>
          <w:rFonts w:ascii="Arial" w:cs="Arial" w:eastAsia="Arial" w:hAnsi="Arial"/>
          <w:sz w:val="16"/>
          <w:szCs w:val="16"/>
          <w:color w:val="auto"/>
        </w:rPr>
        <w:t>cumulative catch up adjustments of $2.2 million were primarily related to higher than expected costs on nine contracts. During the year ended April 30, 2021,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$1.0 million.</w:t>
      </w:r>
    </w:p>
    <w:p>
      <w:pPr>
        <w:spacing w:after="0" w:line="157"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6"/>
          <w:szCs w:val="16"/>
          <w:color w:val="auto"/>
        </w:rPr>
        <w:t>For the year ended April 30, 2020, favorable cumulative catch-up adjustments of $2.2 million were primarily due to final cost adjustments on 13 contracts. During the year ended April 30, 2020, we revised our estimates of the total expected costs to complete a design and development agreement. The aggregate impact of these adjustments in contract estimates on revenue related to performance obligations satisfied or partially satisfied in previous periods was an increase to revenue of approximately $1.1 million. For the same period, unfavorable cumulative catch-up adjustments of</w:t>
      </w:r>
    </w:p>
    <w:p>
      <w:pPr>
        <w:spacing w:after="0" w:line="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$2.0 million were primarily related to higher than expected costs on seven contracts. During the year ended April 30, 2020, we revised our estimates of the total expected costs to complete a TMS contract. The aggregate impact of these adjustments in contract estimates on revenue related to performance obligations satisfied or partially satisfied in previous periods was a decrease to revenue of approximately $1.4 million.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 Reserves for Excess and Obsolescence</w:t>
      </w:r>
    </w:p>
    <w:p>
      <w:pPr>
        <w:spacing w:after="0" w:line="22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 – Acquired in Business Combinations</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backlog, in-process research and development, customer relationships, licenses,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of such assets are consumed.</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66"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income tax provision and related income tax assets and liabilities are based on actual and expected future income, U.S. and foreign statutory income tax rates, and tax regulations and planning opportunities in the various jurisdictions in which it operates. We believe that the accounting estimates related to income taxes are "critical accounting estimates" because significant judgment is required in interpreting tax regulations in the United States and in foreign jurisdictions, evaluating our worldwide uncertain tax positions, and assessing the likelihood of realizing certain tax benefits. Actual results could differ materially from those judgments, and changes in judgments could materially affect our consolidated financial statements.</w:t>
      </w:r>
    </w:p>
    <w:p>
      <w:pPr>
        <w:spacing w:after="0" w:line="195"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tax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 We record a valuation allowance to reduce our deferred tax assets if, based on the weight of available evidence, we believe expected future taxable income is not likely to support the use of a deduction or credit in that jurisdiction. We evaluate the level of our valuation allowances during the interim and annually.</w:t>
      </w:r>
    </w:p>
    <w:p>
      <w:pPr>
        <w:spacing w:after="0" w:line="16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record unrecognized tax benefits for U.S. federal, state, local, and foreign tax positions related primarily to tax credits claimed and tax nexus. For each reporting period, we apply a consistent methodology to measure unrecognized tax benefits and all unrecognized tax benefits are reviewed periodically and adjusted as circumstances warrant. Our measurement of our unrecognized tax benefits is based on our assessment of all relevant information, including prior audit experience, the status of audits, conclusions of tax audits, lapsing of applicable statutes of limitations, identification of new issues, and any administrative guidance or developments. We recognize unrecognized tax benefits in the first financial reporting period in which information becomes available indicating that such benefits will more likely than not (a greater than 50% likelihood) be realized.</w:t>
      </w:r>
    </w:p>
    <w:p>
      <w:pPr>
        <w:spacing w:after="0" w:line="178"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have various foreign subsidiaries to conduct or support our business outside the United States. We do not provide for U.S. income taxes on undistributed earnings for our foreign subsidiaries as we expect the foreign earnings will be indefinitely reinvested in such foreign jurisdictions.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619" w:firstLine="648"/>
        <w:spacing w:after="0" w:line="342" w:lineRule="auto"/>
        <w:rPr>
          <w:sz w:val="20"/>
          <w:szCs w:val="20"/>
          <w:color w:val="auto"/>
        </w:rPr>
      </w:pPr>
      <w:r>
        <w:rPr>
          <w:rFonts w:ascii="Arial" w:cs="Arial" w:eastAsia="Arial" w:hAnsi="Arial"/>
          <w:sz w:val="16"/>
          <w:szCs w:val="16"/>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Fiscal Year Ended April 30,</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445,732</w:t>
            </w:r>
          </w:p>
        </w:tc>
        <w:tc>
          <w:tcPr>
            <w:tcW w:w="20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100 %$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394,912</w:t>
            </w:r>
          </w:p>
        </w:tc>
        <w:tc>
          <w:tcPr>
            <w:tcW w:w="20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100 %$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367,296</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304,496</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230,354</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214,194</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141,236</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164,558</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153,102</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96,434</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67,481</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59,490</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53,764</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43,313</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47,135</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(10,313)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 of ownership in HAPSMobile Inc. joint venture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2"/>
        </w:trPr>
        <w:tc>
          <w:tcPr>
            <w:tcW w:w="4420" w:type="dxa"/>
            <w:vAlign w:val="bottom"/>
          </w:tcPr>
          <w:p>
            <w:pPr>
              <w:spacing w:after="0" w:line="182" w:lineRule="exact"/>
              <w:rPr>
                <w:sz w:val="20"/>
                <w:szCs w:val="20"/>
                <w:color w:val="auto"/>
              </w:rPr>
            </w:pPr>
            <w:r>
              <w:rPr>
                <w:rFonts w:ascii="Arial" w:cs="Arial" w:eastAsia="Arial" w:hAnsi="Arial"/>
                <w:sz w:val="18"/>
                <w:szCs w:val="18"/>
                <w:color w:val="auto"/>
                <w:w w:val="97"/>
              </w:rPr>
              <w:t>(Loss) income from continuing operations before income</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(19,143)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34,365</w:t>
            </w:r>
          </w:p>
        </w:tc>
        <w:tc>
          <w:tcPr>
            <w:tcW w:w="2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52,670</w:t>
            </w:r>
          </w:p>
        </w:tc>
        <w:tc>
          <w:tcPr>
            <w:tcW w:w="2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(10,369)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Equity method investment income (loss), net of tax</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4,589</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(10,481)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00" w:type="dxa"/>
            <w:vAlign w:val="bottom"/>
            <w:vMerge w:val="continue"/>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Loss on sale of business, net of tax</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00" w:type="dxa"/>
            <w:vAlign w:val="bottom"/>
            <w:vMerge w:val="continue"/>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AeroVironment,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The Company operates its business as four reportable segments, small UAS, TMS, MUAS and HAPS. The small UAS segment consists of our existing small UAS product lines. The TMS segment consists of our existing tactical missile systems product lines. The MUAS segment consists of our recently acquired Arcturus business. The HAPS segment consists of our existing development of High Altitude Pseudo-Satellite systems in conjunction with SoftBank. The segment below entitled “All other” includes MacCready Works, which includes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April 30, 2022</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Small UAS</w:t>
            </w:r>
          </w:p>
        </w:tc>
        <w:tc>
          <w:tcPr>
            <w:tcW w:w="120" w:type="dxa"/>
            <w:vAlign w:val="bottom"/>
          </w:tcPr>
          <w:p>
            <w:pPr>
              <w:spacing w:after="0"/>
              <w:rPr>
                <w:sz w:val="12"/>
                <w:szCs w:val="12"/>
                <w:color w:val="auto"/>
              </w:rPr>
            </w:pPr>
          </w:p>
        </w:tc>
        <w:tc>
          <w:tcPr>
            <w:tcW w:w="7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TMS</w:t>
            </w:r>
          </w:p>
        </w:tc>
        <w:tc>
          <w:tcPr>
            <w:tcW w:w="12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HAPS</w:t>
            </w: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All other</w:t>
            </w:r>
          </w:p>
        </w:tc>
        <w:tc>
          <w:tcPr>
            <w:tcW w:w="140" w:type="dxa"/>
            <w:vAlign w:val="bottom"/>
          </w:tcPr>
          <w:p>
            <w:pPr>
              <w:spacing w:after="0"/>
              <w:rPr>
                <w:sz w:val="12"/>
                <w:szCs w:val="12"/>
                <w:color w:val="auto"/>
              </w:rPr>
            </w:pPr>
          </w:p>
        </w:tc>
        <w:tc>
          <w:tcPr>
            <w:tcW w:w="6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178,201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76,415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445,732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141,236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w w:val="99"/>
              </w:rPr>
              <w:t>Income (loss) from continuing operations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(27,715)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(16,088)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20"/>
              <w:spacing w:after="0"/>
              <w:rPr>
                <w:sz w:val="20"/>
                <w:szCs w:val="20"/>
                <w:color w:val="auto"/>
              </w:rPr>
            </w:pPr>
            <w:r>
              <w:rPr>
                <w:rFonts w:ascii="Arial" w:cs="Arial" w:eastAsia="Arial" w:hAnsi="Arial"/>
                <w:sz w:val="18"/>
                <w:szCs w:val="18"/>
                <w:color w:val="auto"/>
                <w:w w:val="99"/>
              </w:rPr>
              <w:t>assets and other purchase accounting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292"/>
              <w:spacing w:after="0"/>
              <w:rPr>
                <w:sz w:val="20"/>
                <w:szCs w:val="20"/>
                <w:color w:val="auto"/>
              </w:rPr>
            </w:pPr>
            <w:r>
              <w:rPr>
                <w:rFonts w:ascii="Arial" w:cs="Arial" w:eastAsia="Arial" w:hAnsi="Arial"/>
                <w:sz w:val="18"/>
                <w:szCs w:val="18"/>
                <w:color w:val="auto"/>
                <w:w w:val="89"/>
              </w:rPr>
              <w:t>65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Year Ended April 30, 2021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Small UAS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TMS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HAPS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All other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$ 235,854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87,268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394,912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119,062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26,675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164,558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8"/>
              </w:rPr>
              <w:t>Income (loss) from continuing operations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(10,149)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acquired intangible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w w:val="97"/>
              </w:rPr>
              <w:t>assets and other purchase accounting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Year Ended April 30, 2020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Small UAS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TMS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HAPS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All other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$ 225,888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117,538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153,102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w w:val="98"/>
              </w:rPr>
              <w:t>Income (loss) from continuing operations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(15,822)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(11,467)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w w:val="98"/>
              </w:rPr>
              <w:t>assets and other purchase accounting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The Company recorded intangible amortization expense and other purchase accounting adjustments in the following categories on the accompanying consolidated statements of operations: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April 30,</w:t>
            </w:r>
          </w:p>
        </w:tc>
        <w:tc>
          <w:tcPr>
            <w:tcW w:w="14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86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3,492</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8"/>
                <w:szCs w:val="18"/>
                <w:color w:val="auto"/>
              </w:rPr>
            </w:pPr>
          </w:p>
        </w:tc>
      </w:tr>
      <w:tr>
        <w:trPr>
          <w:trHeight w:val="21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April 30, 2022 Compared to Fiscal Year Ended April 30, 2021</w:t>
      </w:r>
    </w:p>
    <w:p>
      <w:pPr>
        <w:spacing w:after="0" w:line="13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2022 was $445.7 million, as compared to $394.9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April 30, 2021, representing an increase of $50.8 million, or 13%. The increase in revenue was due to an increase in service revenue of $89.0 million, partially offset by a decrease in product revenue of $38.2 million. The increase in service revenue was primarily due to an increase in MUAS service revenue, resulting from our acquisition of Arcturus in February 2021, and an increase in customer-funded R&amp;D largely resulting from our acquisition of ISG. The decrease in product revenue was primarily due to decreases in small UAS and TMS product revenue, partially offset by increases in UGV and MUAS product revenue, resulting from our acquisitions of Telerob and Arcturus.</w:t>
      </w:r>
    </w:p>
    <w:p>
      <w:pPr>
        <w:spacing w:after="0" w:line="153" w:lineRule="exact"/>
        <w:rPr>
          <w:sz w:val="20"/>
          <w:szCs w:val="20"/>
          <w:color w:val="auto"/>
        </w:rPr>
      </w:pPr>
    </w:p>
    <w:p>
      <w:pPr>
        <w:jc w:val="both"/>
        <w:ind w:left="60" w:right="199" w:firstLine="648"/>
        <w:spacing w:after="0" w:line="301"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2022 was $304.5 million, as compared to $230.4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2021, representing an increase of $74.1 million, or 32%. The increase in cost of sales was a result of an increase in service cost of sales of $83.3 million, partially offset by a decrease in product costs of sales of $9.1 million. The increase in service cost of sales was primarily due to the increase in service revenues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resulting from the acquisitions of Arcturus and ISG, and an increase in intangible amortization expense and other purchase accounting adjustments. The decrease in product costs of sales was primarily due to the decrease in product revenue, unfavorable product mix and an increase in intangible amortization expense and other purchase accounting adjustments. Cost of sales for the fiscal year ended April 30, 2022 included $18.6 million of intangible amortization and other related non-cash purchase accounting expenses as compared to $4.5 million for the fiscal year ended April 30, 2021. As a percentage of revenue, cost of sales increased from 58% to 68%, primarily due to an increase in the proportion of service revenue to total revenues resulting from the acquisitions of Arcturus and ISG, an increase in intangible amortization expense and other purchase accounting adjustments, and an unfavorable product mix.</w:t>
      </w:r>
    </w:p>
    <w:p>
      <w:pPr>
        <w:spacing w:after="0" w:line="15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2022 was $141.2 million, as compared to $164.6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2021, representing a decrease of $23.3 million, or 14%. The decrease in gross margin was due to a decrease in product margin of $29.1 million, partially offset by an increase in service margin of $5.8 million. The decrease in product margin was primarily due to the decrease in product revenue, unfavorable product mix and an increase in intangible amortization expense and other purchase accounting adjustments. The increase in service margin was primarily due to the increase in service revenue, partially offset by an increase in intangible amortization expense and other purchase accounting adjustments. As a percentage of revenue, gross margin decreased from 42% to 32%, primarily due to an increase in the proportion of service revenue to total revenues resulting from the acquisitions of Arcturus and ISG, an increase in intangible amortization expense and other purchase accounting adjustments, and an unfavorable product mix. With the acquisitions of Arcturus and ISG we expect that we will continue to experience a higher proportion of service revenue, which generally has lower gross margins than our product revenue, in future quarters as compared to our historical trends. Additionally, we expect inflationary and supply chain constraint trends to continue throughout our fiscal year 2023, which will negatively impact our gross margin.</w:t>
      </w:r>
    </w:p>
    <w:p>
      <w:pPr>
        <w:spacing w:after="0" w:line="17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SG&amp;A expense for the fiscal year ended April 30, 2022 was $96.4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22% of revenue, compared to SG&amp;A expense of $67.5 million, or 17% of revenue, for the fiscal year ended April 30, 2021. The increase in SG&amp;A expense was primarily due to an increase in headcount and related costs associated with our Arcturus, ISG and Telerob acquisitions and an increase in intangible amortization and acquisition related expenses. SG&amp;A included $22.9 million and $11.0 million of intangible amortization expenses and acquisition-related expenses for the fiscal year ended April 30, 2022 and April 30, 2021, respectively.</w:t>
      </w:r>
    </w:p>
    <w:p>
      <w:pPr>
        <w:spacing w:after="0" w:line="17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2022 was $54.7 million, or 12%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$53.8 million, or 14% of revenue, for the fiscal year ended April 30, 2021. R&amp;D expense increased by $0.9 million, or 2%, for the fiscal year ended April 30, 2022, primarily due to an increase in development activities regarding enhanced capabilities for our products, development of new product lines and to support our recently acquired businesses.</w:t>
      </w:r>
    </w:p>
    <w:p>
      <w:pPr>
        <w:spacing w:after="0" w:line="188"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fiscal year ended April 30, 2022 was $5.4 million,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interest expense, net of $0.6 million for the fiscal year ended April 30, 2021. The increase in interest expense was primarily due to an increase in interest expense resulting from the term debt issued concurrent with the acquisition of Arcturus.</w:t>
      </w:r>
    </w:p>
    <w:p>
      <w:pPr>
        <w:spacing w:after="0" w:line="187"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fiscal year ended April 30, 2022 was $10.3 million,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other expense, net of $8.3 million for the fiscal year ended April 30, 2021. Other expense, net for the fiscal year ended April 30, 2022 included $10 million of expense related to the Webasto legal settlement. Other expense, net for the fiscal year ended April 30, 2021 included $9.3 million of expense related to the Webasto legal accrual.</w:t>
      </w:r>
    </w:p>
    <w:p>
      <w:pPr>
        <w:spacing w:after="0" w:line="157"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b w:val="1"/>
          <w:bCs w:val="1"/>
          <w:i w:val="1"/>
          <w:iCs w:val="1"/>
          <w:color w:val="auto"/>
        </w:rPr>
        <w:t xml:space="preserve">Sale of ownership in HAPSMobile Inc. joint venture. </w:t>
      </w:r>
      <w:r>
        <w:rPr>
          <w:rFonts w:ascii="Arial" w:cs="Arial" w:eastAsia="Arial" w:hAnsi="Arial"/>
          <w:sz w:val="16"/>
          <w:szCs w:val="16"/>
          <w:color w:val="auto"/>
        </w:rPr>
        <w:t>Sale of ownership in HAPSMobile Inc. joint venture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April 30, 2022 was $6.5 million gain related to the sale of our equity interest in HAPSMobile.</w:t>
      </w:r>
    </w:p>
    <w:p>
      <w:pPr>
        <w:spacing w:after="0" w:line="124"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income tax rate was 54.2% for the fiscal year ended April 30,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for the fiscal year ended April 30, 2021. The increase in our effective tax rate was primarily due to the decrease in income before income taxes and an increase in certain federal income tax credits.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b w:val="1"/>
          <w:bCs w:val="1"/>
          <w:i w:val="1"/>
          <w:iCs w:val="1"/>
          <w:color w:val="auto"/>
        </w:rPr>
        <w:t xml:space="preserve">Equity method investment income (loss), net of tax. </w:t>
      </w:r>
      <w:r>
        <w:rPr>
          <w:rFonts w:ascii="Arial" w:cs="Arial" w:eastAsia="Arial" w:hAnsi="Arial"/>
          <w:sz w:val="16"/>
          <w:szCs w:val="16"/>
          <w:color w:val="auto"/>
        </w:rPr>
        <w:t>Equity method investment income, net of tax for the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April 30, 2022 was $4.6 million, as compared to equity method investment loss, net of $(10.5) million for the fiscal year ended April 30, 2021. The increase in equity method investment income, net of tax was primarily due to our proportionate share of the income from our limited partnership investment fund for the fiscal year ended April 30, 2022 and a loss of $8.4 million for our proportionate share of the HAPSMobile joint venture’s impairment of its investment in Loon LLC in the fiscal year ended April 30, 2021. With the sale of our equity interest in HAPSMobile during the fiscal year ended April 30, 2022, no future joint venture equity income or losses for HAPSMobile will be recorded.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April 30, 2021 Compared to Fiscal Year Ended April 30, 2020</w:t>
      </w:r>
    </w:p>
    <w:p>
      <w:pPr>
        <w:spacing w:after="0" w:line="13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fiscal year ended April 30, 2021 was $394.9 million, as compared to $367.3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fiscal year ended April 30, 2020, representing an increase of $27.6 million, or 8%. The increase in revenue was due to an increase in product revenue of $22.1 million and an increase in service revenue of $5.5 million. The increase in product revenue was primarily due to an increase in product deliveries of TMS and small UAS. The decrease in service revenue was primarily due to a decrease in customer-funded R&amp;D primarily associated with a design and development agreement, partially offset by an increase in MUAS service revenue, resulting from our acquisition of Arcturus in February 2021, and customer-funded R&amp;D primarily associated with TMS.</w:t>
      </w:r>
    </w:p>
    <w:p>
      <w:pPr>
        <w:spacing w:after="0" w:line="164" w:lineRule="exact"/>
        <w:rPr>
          <w:sz w:val="20"/>
          <w:szCs w:val="20"/>
          <w:color w:val="auto"/>
        </w:rPr>
      </w:pPr>
    </w:p>
    <w:p>
      <w:pPr>
        <w:ind w:left="60" w:right="239" w:firstLine="648"/>
        <w:spacing w:after="0" w:line="270"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fiscal year ended April 30, 2021 was $230.4 million, as compared to $214.2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fiscal year ended April 30, 2020, representing an increase of $16.2 million, or 8%. The increase in cost of sales was a result of an increase in product cost of sales of $10.6 million and an increase in service costs of sales of $5.6 million. The increase in product costs of sales was primarily due to an increase in product sales. The increase in service cost of sales was primarily due to the increase in service revenues resulting from the acquisitions of Arcturus in February 2021, partially offset by a decrease in service revenues for the HAPS segment. Cost of sales for fiscal 2021 included $1.7 million and $2.8 million of intangible amortization expense and other related non-cash purchase accounting expense as compared to $2.4 million for the fiscal year ended April 30, 2020. As a percentage of revenue, cost of sales remained consistent at 58%.</w:t>
      </w:r>
    </w:p>
    <w:p>
      <w:pPr>
        <w:spacing w:after="0" w:line="167"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fiscal year ended April 30, 2021 was $164.6 million, as compared to $153.1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fiscal year ended April 30, 2020, representing an increase of $11.5 million, or 7%. The increase in gross margin was primarily due to an increase in product margin of $11.5 million. The increase in product gross margin was primarily due to an increase in product sales, partially offset by a decrease in service revenues and a favorable mix. As a percentage of revenue, gross margin remained consistent at 42%.</w:t>
      </w:r>
    </w:p>
    <w:p>
      <w:pPr>
        <w:spacing w:after="0" w:line="18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2021 was $67.5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17% of revenue, compared to SG&amp;A expense of $59.5 million, or 16% of revenue, for the fiscal year ended April 30, 2020. The increase in SG&amp;A expense was primarily due to an increase in acquisition related expenses of $6.5 million primarily related to the acquisition of Arcturus, ISG and Telerob and an increase in intangible amortization expense of $2.8 million.</w:t>
      </w:r>
    </w:p>
    <w:p>
      <w:pPr>
        <w:spacing w:after="0" w:line="18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2021 was $53.8 million, or 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$46.5 million, or 13% of revenue, for the fiscal year ended April 30, 2020. R&amp;D expense increased primarily due to an increase in development activities regarding enhanced capabilities for our products and development of new product lines.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fiscal year ended April 30, 2021 was $0.6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interest income net of $4.8 million for the fiscal year ended April 30, 2020. The increase in interest expense is primarily due to a combination of a decrease in the average interest rates earned on our investments portfolio and a decrease in the average investment balances and an increase in interest expense of $0.9 million resulting from the term debt issued concurrent with the acquisition of Arcturus.</w:t>
      </w:r>
    </w:p>
    <w:p>
      <w:pPr>
        <w:spacing w:after="0" w:line="188"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for the fiscal year ended April 30, 2021 was $8.3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income, net of $0.7 million for the fiscal year ended April 30, 2020. The increase in other expense, net was primarily due to a legal accrual related to our former EES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Our effective income tax rate was 1.6% for the fiscal year ended April 30, 2021,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11.1% for the fiscal year ended April 30, 2020. The decrease in our effective tax rate was primarily due to the decrease in income before income taxes and an increase in certain federal income tax credits.</w:t>
      </w:r>
    </w:p>
    <w:p>
      <w:pPr>
        <w:spacing w:after="0" w:line="16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2021 was $10.5 million, as compared to equity method investment loss, net of $5.5 million for the fiscal year ended April 30, 2020. The increase was primarily due to a loss of $8.4 million for our proportionate share of the HAPSMobile joint venture’s impairment of its investment in Loon LLC.</w:t>
      </w:r>
    </w:p>
    <w:p>
      <w:pPr>
        <w:spacing w:after="0" w:line="18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b w:val="1"/>
          <w:bCs w:val="1"/>
          <w:i w:val="1"/>
          <w:iCs w:val="1"/>
          <w:color w:val="auto"/>
        </w:rPr>
        <w:t xml:space="preserve">Loss on sale of business, net of tax. </w:t>
      </w:r>
      <w:r>
        <w:rPr>
          <w:rFonts w:ascii="Arial" w:cs="Arial" w:eastAsia="Arial" w:hAnsi="Arial"/>
          <w:sz w:val="17"/>
          <w:szCs w:val="17"/>
          <w:color w:val="auto"/>
        </w:rPr>
        <w:t>Loss on sale of business, net of tax for the fiscal year ended April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$0, as compared to $0.3 million for the fiscal year ended April 30, 2020. The loss on sale of business, net of tax related to the sale of our former EES Business during the fiscal year ended April 30, 2019. We recorded an adjustment related to a settled working capital dispute during the fiscal year ended April 30,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On February 19, 2021 in connection with the consummation of the Arcturus acquisition, we entered into a credit agreement (as amended February 4, 2022, the “Credit Agreement”)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$4.2 million as of April 30, 2022. As of April 30, 2022, approximately $95.8 million was available under the Revolving Facility. Borrowings under the Revolving Facility may be used for working capital and other general corporate purposes. Refer to Note 12—Debt to our financial statements for further details.</w:t>
      </w:r>
    </w:p>
    <w:p>
      <w:pPr>
        <w:spacing w:after="0" w:line="168"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ISG and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Agreement. In addition, we may also need to seek additional equity funding or debt financing if we become a party to any agreement or letter of intent for potential investments in, or acquisitions of, businesses, services or technologies.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ongoing COVID-19 pandemic, we continue to hold a significant portion of our investments in U.S. government and U.S. government agency securities.</w:t>
      </w:r>
    </w:p>
    <w:p>
      <w:pPr>
        <w:spacing w:after="0" w:line="18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During the fiscal year ended April 30, 2022, we made certain commitments outside of the ordinary course of business, including capital contribution commitments to a second limited partnership fund. Under the terms of the new limited partnership agreement, we have committed to make capital contributions to such fund totaling $20.0 million, inclusive of the expected reinvestment of distributions from our existing limited partnership fund, of which $20.0 million was remaining at April 30, 2022. The contributions are anticipated to be paid over the next five fiscal years. The remaining $15 million obligation under the legal settlement with Webasto will be paid during the fiscal year ending April 30, 2023.</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our cash flow data from continuing operations for the periods ended: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4"/>
              </w:rPr>
              <w:t>Fiscal Year Ended April 30,</w:t>
            </w:r>
          </w:p>
        </w:tc>
      </w:tr>
      <w:tr>
        <w:trPr>
          <w:trHeight w:val="142"/>
        </w:trPr>
        <w:tc>
          <w:tcPr>
            <w:tcW w:w="4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90"/>
        </w:trPr>
        <w:tc>
          <w:tcPr>
            <w:tcW w:w="4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25,097</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(52,288)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(378,771)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59,167</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Cash (Used in) Provided by Operating Activities. </w:t>
      </w:r>
      <w:r>
        <w:rPr>
          <w:rFonts w:ascii="Arial" w:cs="Arial" w:eastAsia="Arial" w:hAnsi="Arial"/>
          <w:sz w:val="16"/>
          <w:szCs w:val="16"/>
          <w:color w:val="auto"/>
        </w:rPr>
        <w:t>Net cash used in operating activities for the fiscal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April 30, 2022 increased by $96.2 million to $9.6 million, compared to net cash provided by operating activities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$86.5 million for the fiscal year ended April 30, 2021. This increase in net cash used in operating activities was primarily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due to an increase in the cash used as a result of changes in operating assets and liabilities of $98.5 million largely resulting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from increases in accounts receivable and unbilled retentions and receivables due to year over year timing differences,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increases in inventory primarily due to year over year timing differences in purchases to support anticipated product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deliveries, and increases in accounts payable due to year over year timing differences, and an increase in net loss of $27.5</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partially offset by an increase in non-cash expenses of $29.9 million primarily due to an increase in depreciation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amortization, partially offset by gains from equity method investments.</w:t>
      </w:r>
    </w:p>
    <w:p>
      <w:pPr>
        <w:spacing w:after="0" w:line="211"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Net cash provided by operating activities for the fiscal year ended April 30, 2021 increased by $61.4 million to $86.5 million, compared to net cash provided by operating activities of $25.1 million for the fiscal year ended April 30, 2020. This increase in net cash provided by operating activities was primarily due to an increase in the cash provided as a result of changes in operating assets and liabilities of $66.9 million largely resulting from increases in accounts receivable and unbilled retentions and receivables due to year over year timing differences, partially offset by decreases in inventory primarily due to year over year timing differences in purchases to support anticipated product deliveries, and decreases in prepaid expenses and other assets due to year over year timing differences, and an increase in non-cash expenses of $12.5 million primarily due to an increase in depreciation and amortization and loss from equity method investments.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Cash (Used in) Provided by Investing Activities. </w:t>
      </w:r>
      <w:r>
        <w:rPr>
          <w:rFonts w:ascii="Arial" w:cs="Arial" w:eastAsia="Arial" w:hAnsi="Arial"/>
          <w:sz w:val="18"/>
          <w:szCs w:val="18"/>
          <w:color w:val="auto"/>
        </w:rPr>
        <w:t>Net cash used in investing activities decreased by</w:t>
      </w:r>
    </w:p>
    <w:p>
      <w:pPr>
        <w:spacing w:after="0" w:line="23" w:lineRule="exact"/>
        <w:rPr>
          <w:sz w:val="20"/>
          <w:szCs w:val="20"/>
          <w:color w:val="auto"/>
        </w:rPr>
      </w:pPr>
    </w:p>
    <w:p>
      <w:pPr>
        <w:ind w:left="60" w:right="259"/>
        <w:spacing w:after="0" w:line="302" w:lineRule="auto"/>
        <w:rPr>
          <w:sz w:val="20"/>
          <w:szCs w:val="20"/>
          <w:color w:val="auto"/>
        </w:rPr>
      </w:pPr>
      <w:r>
        <w:rPr>
          <w:rFonts w:ascii="Arial" w:cs="Arial" w:eastAsia="Arial" w:hAnsi="Arial"/>
          <w:sz w:val="16"/>
          <w:szCs w:val="16"/>
          <w:color w:val="auto"/>
        </w:rPr>
        <w:t>$326.5 million to $52.3 million for the fiscal year ended April 30, 2022, compared to net cash used in investing activities of $378.8 million for the fiscal year ended April 30, 2021. The decrease in net cash used in investing activities was primarily due to the acquisitions of Arcturus and ISG, net of cash for $385.6 million in fiscal year ended April 30, 2021,</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partially offset by the acquisition of Telerob, net of cash for $46.2 million, and a decrease in purchases of available-for-sale investments of $101.8 million, partially offset by a decrease in redemptions of available-for-sale investments of $110.6 million and an increase in the acquisition of property and equipment of $11.0 million to support our existing and newly acquired businesses. During the fiscal years ended April 30, 2022 and 2021, we used cash to purchase property and equipment totaling $22.3 million and $11.3 million, respectively.</w:t>
      </w:r>
    </w:p>
    <w:p>
      <w:pPr>
        <w:spacing w:after="0" w:line="18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Net cash used in investing activities increased by $437.9 million to $378.7 million for the fiscal year ended April 30, 2021, compared to net cash provided by investing activities of $59.2 million for the fiscal year ended April 30, 2020. The increase in net cash used in investing activities was primarily due to the acquisitions of Arcturus and ISG, net of cash for $385.6 million in fiscal year ended April 30, 2021 and a decrease in redemptions of available-for-sale investments net of purchases. During the fiscal years ended April 30, 2021 and 2020, we used cash to purchase property and equipment totaling $11.3 million and $11.2 million, respectively.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Cash (Used in) Provided by Financing Activities. </w:t>
      </w:r>
      <w:r>
        <w:rPr>
          <w:rFonts w:ascii="Arial" w:cs="Arial" w:eastAsia="Arial" w:hAnsi="Arial"/>
          <w:sz w:val="18"/>
          <w:szCs w:val="18"/>
          <w:color w:val="auto"/>
        </w:rPr>
        <w:t>Net cash used in financing activities increased by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$210.8 million to $16.6 million for the fiscal year ended April 30, 2022, compared to net cash provided by financing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activities of $194.2 million for the fiscal year ended April 30, 2021. The increase in net cash provided by financing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activities was primarily due to the proceeds of long-term debt of $200.0 million in the fiscal year ended April 30, 2021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principal payment of the loan in the fiscal year ended April 30, 2022 of $10.0 million.</w:t>
      </w:r>
    </w:p>
    <w:p>
      <w:pPr>
        <w:spacing w:after="0" w:line="211"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Net cash provided by financing activities increased by $196.0 million to $194.2 million for the fiscal year ended April 30, 2021, compared to net cash used in financing activities of $1.8 million for the fiscal year ended April 30, 2020. The increase in net cash provided by financing activities was primarily due to the proceeds of long-term debt of $200.0 million, partially offset by payment of debt issuance costs of $3.9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Payments Due By Period (2)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160" w:type="dxa"/>
            <w:vAlign w:val="bottom"/>
            <w:vMerge w:val="restart"/>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1 to 3 Years</w:t>
            </w:r>
          </w:p>
        </w:tc>
        <w:tc>
          <w:tcPr>
            <w:tcW w:w="140" w:type="dxa"/>
            <w:vAlign w:val="bottom"/>
            <w:vMerge w:val="restart"/>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3 to 5 Years</w:t>
            </w:r>
          </w:p>
        </w:tc>
        <w:tc>
          <w:tcPr>
            <w:tcW w:w="160" w:type="dxa"/>
            <w:vAlign w:val="bottom"/>
            <w:vMerge w:val="restart"/>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5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Purchase obligations(1)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Webasto legal settlement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336,320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131,571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33,050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166,215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all cancelable and non-cancelable purchase orders as of April 30, 2022.</w:t>
      </w:r>
    </w:p>
    <w:p>
      <w:pPr>
        <w:spacing w:after="0" w:line="23" w:lineRule="exact"/>
        <w:rPr>
          <w:rFonts w:ascii="Arial" w:cs="Arial" w:eastAsia="Arial" w:hAnsi="Arial"/>
          <w:sz w:val="18"/>
          <w:szCs w:val="18"/>
          <w:color w:val="auto"/>
        </w:rPr>
      </w:pPr>
    </w:p>
    <w:p>
      <w:pPr>
        <w:ind w:left="380" w:right="299" w:hanging="330"/>
        <w:spacing w:after="0" w:line="26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included in the table above is an additional capital contribution of $20.0 million committed under the terms of a limited partnership agreement.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 xml:space="preserve">Effective May 1, 2021, we adopted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 (“ASU 2019-12”). This ASU simplifies the accounting for income taxes by removing certain exceptions to the general principles in Topic 740, including removing the requirement to limit income tax expense (benefit) in an interim period to the full year projected amounts. We adopted ASU 2019-12 using the prospective method, applying the new guidance accounting for income taxes after adoption. The adoption of ASU 2019-12 did not have a material impact on our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Contract Liabilities from Contracts with Customers </w:t>
      </w:r>
      <w:r>
        <w:rPr>
          <w:rFonts w:ascii="Arial" w:cs="Arial" w:eastAsia="Arial" w:hAnsi="Arial"/>
          <w:sz w:val="16"/>
          <w:szCs w:val="16"/>
          <w:color w:val="auto"/>
        </w:rPr>
        <w:t>(“ASU 2021-08”). ASU 2021-08 requires an acquirer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 xml:space="preserve">apply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recognize and measure contract assets and contract liabilities in a business combination, rather than using fair value. The new standard is effective for fiscal years, and interim periods within those fiscal years, beginning after December 15, 2022, with early adoption permitted. ASU 2021-08 is adopted prospectively and could impact future acquisitions.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the Credit Facilities. As of April 30, 2022, the current outstanding balance of the Credit Facilities is $190 million and bears a variable interest rate. If market interest rates increase significantly, interest due on the Credit Facilities would increase. An increase or decrease in the variable interest rate of 100 basis points would result in an increase or decrease to our interest expense for the fiscal year ending April 30, 2023 of approximately $1.9 million.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 With the acquisition of Telerob, who does conduct sales denominated in Euros, we are exposed to future foreign exchange gains or losses, and we will consider methods to limit our exposure on non-U.S. dollar transactions in the future.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gridSpan w:val="13"/>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34)</w:t>
            </w:r>
          </w:p>
        </w:tc>
        <w:tc>
          <w:tcPr>
            <w:tcW w:w="980" w:type="dxa"/>
            <w:vAlign w:val="bottom"/>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6"/>
          </w:tcPr>
          <w:p>
            <w:pPr>
              <w:spacing w:after="0" w:line="17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Consolidated Balance Sheets at April 30, 2022 and 2021</w:t>
              </w:r>
            </w:hyperlink>
          </w:p>
        </w:tc>
        <w:tc>
          <w:tcPr>
            <w:tcW w:w="3700" w:type="dxa"/>
            <w:vAlign w:val="bottom"/>
            <w:tcBorders>
              <w:top w:val="single" w:sz="8" w:color="CCEEFF"/>
            </w:tcBorders>
            <w:gridSpan w:val="7"/>
          </w:tcPr>
          <w:p>
            <w:pPr>
              <w:spacing w:after="0"/>
              <w:rPr>
                <w:sz w:val="15"/>
                <w:szCs w:val="15"/>
                <w:color w:val="auto"/>
              </w:rPr>
            </w:pPr>
          </w:p>
        </w:tc>
        <w:tc>
          <w:tcPr>
            <w:tcW w:w="980" w:type="dxa"/>
            <w:vAlign w:val="bottom"/>
            <w:tcBorders>
              <w:top w:val="single" w:sz="8" w:color="CCEEFF"/>
            </w:tcBorders>
          </w:tcPr>
          <w:p>
            <w:pPr>
              <w:jc w:val="right"/>
              <w:ind w:right="92"/>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7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(Loss) Income for the Years Ended April 30, 2022, 2021 and 2020</w:t>
              </w:r>
            </w:hyperlink>
          </w:p>
        </w:tc>
        <w:tc>
          <w:tcPr>
            <w:tcW w:w="112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gridSpan w:val="13"/>
          </w:tcPr>
          <w:p>
            <w:pPr>
              <w:spacing w:after="0" w:line="176"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Consolidated Statements of Comprehensive (Loss) Income for the Years Ended April 30, 2022, 2021 and</w:t>
              </w:r>
            </w:hyperlink>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0000EE"/>
            </w:tcBorders>
            <w:gridSpan w:val="4"/>
          </w:tcPr>
          <w:p>
            <w:pPr>
              <w:jc w:val="right"/>
              <w:ind w:right="258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2020</w:t>
              </w:r>
            </w:hyperlink>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92"/>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2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Consolidated Statements of Stockholders’ Equity for the Years Ended April 30, 2022, 2021 and 2020</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3"/>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Cash Flows for the Years Ended April 30, 2022, 2021 and 2020</w:t>
              </w:r>
            </w:hyperlink>
          </w:p>
        </w:tc>
        <w:tc>
          <w:tcPr>
            <w:tcW w:w="980" w:type="dxa"/>
            <w:vAlign w:val="bottom"/>
          </w:tcPr>
          <w:p>
            <w:pPr>
              <w:jc w:val="right"/>
              <w:ind w:right="92"/>
              <w:spacing w:after="0" w:line="17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13"/>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980" w:type="dxa"/>
            <w:vAlign w:val="bottom"/>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0" w:type="dxa"/>
            <w:vAlign w:val="bottom"/>
            <w:gridSpan w:val="10"/>
          </w:tcPr>
          <w:p>
            <w:pPr>
              <w:spacing w:after="0" w:line="17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Supplementary Data</w:t>
              </w:r>
            </w:hyperlink>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900" w:type="dxa"/>
            <w:vAlign w:val="bottom"/>
            <w:gridSpan w:val="13"/>
            <w:shd w:val="clear" w:color="auto" w:fill="CCEEFF"/>
          </w:tcPr>
          <w:p>
            <w:pPr>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Financial Statement Schedule: Schedule II—Valuation and Qualifying Accounts</w:t>
              </w:r>
            </w:hyperlink>
          </w:p>
        </w:tc>
        <w:tc>
          <w:tcPr>
            <w:tcW w:w="980" w:type="dxa"/>
            <w:vAlign w:val="bottom"/>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119"/>
        <w:spacing w:after="0" w:line="282"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AeroVironment,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audited the accompanying consolidated balance sheets of AeroVironment, Inc. and subsidiaries (the "Company") as of April 30, 2022 and 2021, the related consolidated statements of (loss) income, comprehensive (loss) income, stockholders' equity, and cash flows, for each of the three years in the period ended April 30, 2022, and the related notes and the schedule listed in the Index at Item 15(a) (collectively referred to as the "financial statements"). In our opinion, the financial statements present fairly, in all material respects, the financial position of the Company as of April 30, 2022 and 2021, and the results of its operations and its cash flows for each of the three years in the period ended April 30, 2022, in conformity with accounting principles generally accepted in the United States of America.</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April 30, 2022, based on criteria established in Internal Control — Integrated Framework (2013) issued by the Committee of Sponsoring Organizations of the Treadway Commission and our report dated June 28, 2022, expressed an adverse opinion on the Company's internal control over financial reporting because of material weaknesses.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ind w:left="60" w:right="3499"/>
        <w:spacing w:after="0" w:line="406" w:lineRule="auto"/>
        <w:rPr>
          <w:sz w:val="20"/>
          <w:szCs w:val="20"/>
          <w:color w:val="auto"/>
        </w:rPr>
      </w:pPr>
      <w:r>
        <w:rPr>
          <w:rFonts w:ascii="Arial" w:cs="Arial" w:eastAsia="Arial" w:hAnsi="Arial"/>
          <w:sz w:val="18"/>
          <w:szCs w:val="18"/>
          <w:b w:val="1"/>
          <w:bCs w:val="1"/>
          <w:i w:val="1"/>
          <w:iCs w:val="1"/>
          <w:color w:val="auto"/>
        </w:rPr>
        <w:t xml:space="preserve">Business Acquisitions – Refer to Note 1 and 21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May 3, 2021, the Company closed its acquisition of Telerob pursuant to the terms of the Telerob Purchase Agreement for total consideration of approximately $47.0 million, net of cash acquired, which includes the Company’s estimate of contingent consideration of $.9 million based on the achievement of certain revenue targets, awards and/or orders from the U.S. military prior to the end of a 36-month post-closing period. The Company accounted for the acquisition under the acquisition method of accounting for business combinations. Accordingly, the purchase price was allocated to the assets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acquired and liabilities assumed based on their respective fair values, resulting in technology of $11.5 million, customer relationships of $5.0 million, backlog of $2.4 million and goodwill of $20.8 million. Management estimated the fair value of the intangible assets using discounted cash flow analyses, which were based on the Company’s best estimate of future revenues, earnings and cash flows after considering such factors as general market conditions, anticipated customer demand, changes in working capital, long term business plans and recent operating performance. Determining the fair value of the intangible assets acquired required management to make significant estimates and assumptions related to future revenue projections.</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identified the assumptions related to estimating the amount and timing of expected future revenues to be a critical audit matter given the inherent judgment involved in estimating these amounts. Performing audit procedures to evaluate the reasonableness of these estimates and assumptions required a high degree of auditor judgment and an increased extent of effort, including the need to involve our fair value specialists.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audit procedures related to the expected amount and timing of future revenue used to estimate the fair value of the intangible assets acquired included the following, among others:</w:t>
      </w:r>
    </w:p>
    <w:p>
      <w:pPr>
        <w:spacing w:after="0" w:line="89" w:lineRule="exact"/>
        <w:rPr>
          <w:sz w:val="20"/>
          <w:szCs w:val="20"/>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valuation of intangibles, including management’s controls over the estimates of the amount and timing of expected future revenues.</w:t>
      </w:r>
    </w:p>
    <w:p>
      <w:pPr>
        <w:spacing w:after="0" w:line="89"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revenues by performing inquiries of appropriate individuals outside of the accounting organization, comparing the projections to historical results, certain peer companies, third-party industry forecasts, and internal communications to management and board of directors.</w:t>
      </w:r>
    </w:p>
    <w:p>
      <w:pPr>
        <w:spacing w:after="0" w:line="10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compared applicable industry forecasted long-term revenue growth rates to management’s projected revenues used within the valuation model.</w:t>
      </w:r>
    </w:p>
    <w:p>
      <w:pPr>
        <w:spacing w:after="0" w:line="8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evaluated management’s ability to estimate future revenues by comparing actual revenues to estimates assumed in the valuation model.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Refer to Note 1 and Note 7 to the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Company’s evaluation of goodwill for impairment involves the comparison of the fair value of each reporting unit to its carrying value. The Company estimates the fair value by weighting the results from the income approach and the market approach. The income approach incorporates the use of cash flow projections and a discount rate that are developed using market participant-based assumptions. The cash-flow projections are based on seven-year financial forecasts developed by management that include revenue projections, capital spending trends, and investment in working capital to support anticipated revenue growth. The selected discount rate considers the risk and nature of the respective reporting unit’s cash flows and the rates of return market participants would require to invest their capital in its reporting units. The market approach utilizes the guideline public company and guideline transaction methods. The goodwill balance was $334.3 million as of April 30, 2022, of which $290.2 million relates to the MUAS Reporting Unit (“MUAS”) as a result of the acquisition of Arcturus, $20.8 million relates to the UGV Reporting Unit (“UGV”) as a result of the acquisition of Telerob, and $23.3 million relates to other historical acquisitions. The fair values of all reporting units exceeded their carrying values as of the measurement date and, therefore, no impairment was recognized. Determining the fair values of the reporting units required management to make significant estimates and assumptions related to future revenue projections.</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identified the assumptions related to estimating the amount and timing of expected future revenue used in determining the fair values of the MUAS and UGV reporting units as a critical audit matter because of the significant judgments involved in estimating these amounts. Performing audit procedures to evaluate the reasonableness of these estimates and assumptions required a high degree of auditor judgment and an increased extent of effort, including the need to involve our fair value specialists.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audit procedures related to the expected amount and timing of future revenue used to estimate the fair values of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MUAS and UGV reporting units included the following, among others:</w:t>
      </w:r>
    </w:p>
    <w:p>
      <w:pPr>
        <w:spacing w:after="0" w:line="211" w:lineRule="exact"/>
        <w:rPr>
          <w:sz w:val="20"/>
          <w:szCs w:val="20"/>
          <w:color w:val="auto"/>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their goodwill impairment evaluation, including those over the determination of the fair values of the MUAS and UGV reporting units, such as controls related to management’s selection of forecasts of future revenues.</w:t>
      </w:r>
    </w:p>
    <w:p>
      <w:pPr>
        <w:spacing w:after="0" w:line="183"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revenues by performing inquiries of appropriate individuals outside of the accounting organization, comparing the projections to historical results, certain peer companies, third-party industry forecasts, contractual agreements and internal communications to management and board of directors.</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compared applicable industry forecasted long-term revenue growth rates to management’s projected revenues used within the valuation models.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management’s ability to estimate future revenues by comparing actual revenue to management’s historical forecasts.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28,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77,231</w:t>
            </w:r>
          </w:p>
        </w:tc>
        <w:tc>
          <w:tcPr>
            <w:tcW w:w="46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24,716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Accounts receivable, net of allowance for doubtful accounts of $592 at April 30, 2022 and $595 at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April 30, 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w w:val="97"/>
              </w:rPr>
              <w:t>Unbilled receivables and retentions (inclusive of related party unbilled receivables of $2,229 at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April 30, 2022 and $544 at April 30,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104,194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11,527</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368,909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401,638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62,296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58,896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7,290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97,224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334,347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314,205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914,200</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928,566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19,244</w:t>
            </w:r>
          </w:p>
        </w:tc>
        <w:tc>
          <w:tcPr>
            <w:tcW w:w="46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Wages and related accruals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25,398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Customer advances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operating lease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101,391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96,185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177,840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21,915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Preferred stock, $0.0001 par 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Authorized shares—10,000,000; none issued or outstanding at April 30, 2022 and April 30, 2021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Common stock, $0.0001 par 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Authorized shares—100,000,000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80" w:type="dxa"/>
            <w:vAlign w:val="bottom"/>
          </w:tcPr>
          <w:p>
            <w:pPr>
              <w:ind w:left="300"/>
              <w:spacing w:after="0"/>
              <w:rPr>
                <w:sz w:val="20"/>
                <w:szCs w:val="20"/>
                <w:color w:val="auto"/>
              </w:rPr>
            </w:pPr>
            <w:r>
              <w:rPr>
                <w:rFonts w:ascii="Arial" w:cs="Arial" w:eastAsia="Arial" w:hAnsi="Arial"/>
                <w:sz w:val="16"/>
                <w:szCs w:val="16"/>
                <w:color w:val="auto"/>
                <w:w w:val="94"/>
              </w:rPr>
              <w:t>Issued and outstanding shares—24,951,287 shares at April 30, 2022 and 24,777,295 shares at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Arial" w:cs="Arial" w:eastAsia="Arial" w:hAnsi="Arial"/>
                <w:sz w:val="16"/>
                <w:szCs w:val="16"/>
                <w:color w:val="auto"/>
              </w:rPr>
              <w:t>April 30,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267,248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(6,514)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347,233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AeroVironment, Inc. stockholders’ equity</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607,969</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612,093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608,210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612,107</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914,200</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928,566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6"/>
                <w:szCs w:val="16"/>
                <w:color w:val="auto"/>
              </w:rPr>
              <w:t>Product sales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240,683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278,888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256,758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Contract services (inclusive of related party revenue of $43,325, $42,426 and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$60,864 for the years ended April 30, 2022, 2021, and 2020, respectively)</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205,049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116,024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445,732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394,912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367,296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6"/>
                <w:szCs w:val="16"/>
                <w:color w:val="auto"/>
              </w:rPr>
              <w:t>Product sales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140,596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149,714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Contract services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163,900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80,640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304,496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230,354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214,194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6"/>
                <w:szCs w:val="16"/>
                <w:color w:val="auto"/>
              </w:rPr>
              <w:t>Product sales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129,174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117,627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Contract services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141,236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164,558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153,102</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53,764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46,477</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continuing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Other (loss) income: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income,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 of ownership in HAPSMobile Inc. joint venture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(19,143)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34,365</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(Benefit from) provision for income taxes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Equity method investment income (loss), net of tax</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from continuing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Loss on sale of business, net of tax benefit of $76 for the year ended April 30,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rPr>
                <w:sz w:val="20"/>
                <w:szCs w:val="20"/>
                <w:color w:val="auto"/>
              </w:rPr>
            </w:pPr>
            <w:r>
              <w:rPr>
                <w:rFonts w:ascii="Arial" w:cs="Arial" w:eastAsia="Arial" w:hAnsi="Arial"/>
                <w:sz w:val="16"/>
                <w:szCs w:val="16"/>
                <w:color w:val="auto"/>
              </w:rPr>
              <w:t>Net loss from discontinued operations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 attributable to AeroVironment, Inc.</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6"/>
                <w:szCs w:val="16"/>
                <w:color w:val="auto"/>
              </w:rPr>
              <w:t>Net (loss) income per share attributable to AeroVironment, Inc.—Basic</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Continuing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Discontinued operations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Net (loss) income per share attributable to AeroVironment, Inc.—Basic</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6"/>
                <w:szCs w:val="16"/>
                <w:color w:val="auto"/>
              </w:rPr>
              <w:t>Net (loss) income per share attributable to AeroVironment, Inc.—Diluted</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Continuing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Discontinued operations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Net (loss) income per share attributable to AeroVironment, Inc.—Diluted</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6"/>
                <w:szCs w:val="16"/>
                <w:color w:val="auto"/>
              </w:rPr>
              <w:t>Weighted-average shares outstanding:</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24,685,534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24,049,851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23,806,208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Pr>
          <w:p>
            <w:pPr>
              <w:ind w:left="30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24,685,534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24,362,656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24,088,167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April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35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41,070</w:t>
            </w:r>
          </w:p>
        </w:tc>
        <w:tc>
          <w:tcPr>
            <w:tcW w:w="100" w:type="dxa"/>
            <w:vAlign w:val="bottom"/>
            <w:shd w:val="clear" w:color="auto" w:fill="CCEEFF"/>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Unrealized (loss) gain on investments, net of deferred tax expense of $8, $1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$14 for the fiscal years ended 2021, 2020 and 2019,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r>
      <w:tr>
        <w:trPr>
          <w:trHeight w:val="216"/>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41,396</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AeroVironment, Inc.</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23,346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980" w:type="dxa"/>
            <w:vAlign w:val="bottom"/>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480" w:type="dxa"/>
            <w:vAlign w:val="bottom"/>
          </w:tcPr>
          <w:p>
            <w:pPr>
              <w:spacing w:after="0"/>
              <w:rPr>
                <w:sz w:val="13"/>
                <w:szCs w:val="13"/>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Paid-In</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2760" w:type="dxa"/>
            <w:vAlign w:val="bottom"/>
            <w:gridSpan w:val="7"/>
          </w:tcPr>
          <w:p>
            <w:pPr>
              <w:ind w:left="20"/>
              <w:spacing w:after="0"/>
              <w:rPr>
                <w:sz w:val="20"/>
                <w:szCs w:val="20"/>
                <w:color w:val="auto"/>
              </w:rPr>
            </w:pPr>
            <w:r>
              <w:rPr>
                <w:rFonts w:ascii="Arial" w:cs="Arial" w:eastAsia="Arial" w:hAnsi="Arial"/>
                <w:sz w:val="13"/>
                <w:szCs w:val="13"/>
                <w:b w:val="1"/>
                <w:bCs w:val="1"/>
                <w:color w:val="auto"/>
                <w:w w:val="93"/>
              </w:rPr>
              <w:t>ComprehensiveAeroVironment, Inc.Controlling</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8"/>
        </w:trPr>
        <w:tc>
          <w:tcPr>
            <w:tcW w:w="248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4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1"/>
              </w:rPr>
              <w:t>Amount</w:t>
            </w:r>
          </w:p>
        </w:tc>
        <w:tc>
          <w:tcPr>
            <w:tcW w:w="14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7"/>
              </w:rPr>
              <w:t>Capital</w:t>
            </w:r>
          </w:p>
        </w:tc>
        <w:tc>
          <w:tcPr>
            <w:tcW w:w="7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Earnings</w:t>
            </w:r>
          </w:p>
        </w:tc>
        <w:tc>
          <w:tcPr>
            <w:tcW w:w="102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980" w:type="dxa"/>
            <w:vAlign w:val="bottom"/>
          </w:tcPr>
          <w:p>
            <w:pPr>
              <w:jc w:val="right"/>
              <w:ind w:right="309"/>
              <w:spacing w:after="0" w:line="12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23,946,293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176,216</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286,351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462,571</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462,575</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Adoption of ASU 2018-09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w:t>
            </w:r>
          </w:p>
        </w:tc>
        <w:tc>
          <w:tcPr>
            <w:tcW w:w="40" w:type="dxa"/>
            <w:vAlign w:val="bottom"/>
          </w:tcPr>
          <w:p>
            <w:pPr>
              <w:spacing w:after="0"/>
              <w:rPr>
                <w:sz w:val="12"/>
                <w:szCs w:val="12"/>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41,074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41,074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41,070</w:t>
            </w:r>
          </w:p>
        </w:tc>
        <w:tc>
          <w:tcPr>
            <w:tcW w:w="40" w:type="dxa"/>
            <w:vAlign w:val="bottom"/>
            <w:shd w:val="clear" w:color="auto" w:fill="CCEEFF"/>
          </w:tcPr>
          <w:p>
            <w:pPr>
              <w:spacing w:after="0"/>
              <w:rPr>
                <w:sz w:val="12"/>
                <w:szCs w:val="12"/>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40" w:type="dxa"/>
            <w:vAlign w:val="bottom"/>
            <w:shd w:val="clear" w:color="auto" w:fill="CCEEFF"/>
          </w:tcPr>
          <w:p>
            <w:pPr>
              <w:spacing w:after="0"/>
              <w:rPr>
                <w:sz w:val="12"/>
                <w:szCs w:val="12"/>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16,189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131,991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(12,541)</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4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share settlement of equity</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7"/>
        </w:trPr>
        <w:tc>
          <w:tcPr>
            <w:tcW w:w="2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awards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(18,293)</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(1,062)</w:t>
            </w: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6,227</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6,227</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6,227</w:t>
            </w:r>
          </w:p>
        </w:tc>
        <w:tc>
          <w:tcPr>
            <w:tcW w:w="40" w:type="dxa"/>
            <w:vAlign w:val="bottom"/>
          </w:tcPr>
          <w:p>
            <w:pPr>
              <w:spacing w:after="0"/>
              <w:rPr>
                <w:sz w:val="12"/>
                <w:szCs w:val="12"/>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24,063,639</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181,481</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328,090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509,901</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509,901</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23,331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23,331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23,345</w:t>
            </w:r>
          </w:p>
        </w:tc>
        <w:tc>
          <w:tcPr>
            <w:tcW w:w="40" w:type="dxa"/>
            <w:vAlign w:val="bottom"/>
          </w:tcPr>
          <w:p>
            <w:pPr>
              <w:spacing w:after="0"/>
              <w:rPr>
                <w:sz w:val="12"/>
                <w:szCs w:val="12"/>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40" w:type="dxa"/>
            <w:vAlign w:val="bottom"/>
          </w:tcPr>
          <w:p>
            <w:pPr>
              <w:spacing w:after="0"/>
              <w:rPr>
                <w:sz w:val="12"/>
                <w:szCs w:val="12"/>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40" w:type="dxa"/>
            <w:vAlign w:val="bottom"/>
            <w:shd w:val="clear" w:color="auto" w:fill="CCEEFF"/>
          </w:tcPr>
          <w:p>
            <w:pPr>
              <w:spacing w:after="0"/>
              <w:rPr>
                <w:sz w:val="12"/>
                <w:szCs w:val="12"/>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117,468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(5,509)</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Business acquisition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573,794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72,384</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72,384</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72,384</w:t>
            </w:r>
          </w:p>
        </w:tc>
        <w:tc>
          <w:tcPr>
            <w:tcW w:w="40" w:type="dxa"/>
            <w:vAlign w:val="bottom"/>
          </w:tcPr>
          <w:p>
            <w:pPr>
              <w:spacing w:after="0"/>
              <w:rPr>
                <w:sz w:val="12"/>
                <w:szCs w:val="12"/>
                <w:color w:val="auto"/>
              </w:rPr>
            </w:pPr>
          </w:p>
        </w:tc>
      </w:tr>
      <w:tr>
        <w:trPr>
          <w:trHeight w:val="130"/>
        </w:trPr>
        <w:tc>
          <w:tcPr>
            <w:tcW w:w="24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share settlement of equity</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7"/>
        </w:trPr>
        <w:tc>
          <w:tcPr>
            <w:tcW w:w="2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awards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(25,597)</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(1,992)</w:t>
            </w: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6,932</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6,932</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6,932</w:t>
            </w:r>
          </w:p>
        </w:tc>
        <w:tc>
          <w:tcPr>
            <w:tcW w:w="40" w:type="dxa"/>
            <w:vAlign w:val="bottom"/>
          </w:tcPr>
          <w:p>
            <w:pPr>
              <w:spacing w:after="0"/>
              <w:rPr>
                <w:sz w:val="12"/>
                <w:szCs w:val="12"/>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24,777,295</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260,327</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351,421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612,093</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612,107</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(4,188)</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(4,188)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(4,185)</w:t>
            </w: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w:t>
            </w: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(6,814)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(6,814)</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(6,814)</w:t>
            </w: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114,362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2,776</w:t>
            </w:r>
          </w:p>
        </w:tc>
        <w:tc>
          <w:tcPr>
            <w:tcW w:w="40" w:type="dxa"/>
            <w:vAlign w:val="bottom"/>
            <w:shd w:val="clear" w:color="auto" w:fill="CCEEFF"/>
          </w:tcPr>
          <w:p>
            <w:pPr>
              <w:spacing w:after="0"/>
              <w:rPr>
                <w:sz w:val="12"/>
                <w:szCs w:val="12"/>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104,402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(32,120)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48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net share settlement of equity</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480" w:type="dxa"/>
            <w:vAlign w:val="bottom"/>
          </w:tcPr>
          <w:p>
            <w:pPr>
              <w:ind w:left="220"/>
              <w:spacing w:after="0"/>
              <w:rPr>
                <w:sz w:val="20"/>
                <w:szCs w:val="20"/>
                <w:color w:val="auto"/>
              </w:rPr>
            </w:pPr>
            <w:r>
              <w:rPr>
                <w:rFonts w:ascii="Arial" w:cs="Arial" w:eastAsia="Arial" w:hAnsi="Arial"/>
                <w:sz w:val="14"/>
                <w:szCs w:val="14"/>
                <w:color w:val="auto"/>
              </w:rPr>
              <w:t>awards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(12,652)</w:t>
            </w:r>
          </w:p>
        </w:tc>
        <w:tc>
          <w:tcPr>
            <w:tcW w:w="2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(1,245)</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(1,245)</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(1,245)</w:t>
            </w: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 in non-controlling interest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40" w:type="dxa"/>
            <w:vAlign w:val="bottom"/>
            <w:shd w:val="clear" w:color="auto" w:fill="CCEEFF"/>
          </w:tcPr>
          <w:p>
            <w:pPr>
              <w:spacing w:after="0"/>
              <w:rPr>
                <w:sz w:val="12"/>
                <w:szCs w:val="12"/>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5,390</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5,390</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5,390</w:t>
            </w:r>
          </w:p>
        </w:tc>
        <w:tc>
          <w:tcPr>
            <w:tcW w:w="40" w:type="dxa"/>
            <w:vAlign w:val="bottom"/>
          </w:tcPr>
          <w:p>
            <w:pPr>
              <w:spacing w:after="0"/>
              <w:rPr>
                <w:sz w:val="12"/>
                <w:szCs w:val="12"/>
                <w:color w:val="auto"/>
              </w:rPr>
            </w:pPr>
          </w:p>
        </w:tc>
      </w:tr>
      <w:tr>
        <w:trPr>
          <w:trHeight w:val="142"/>
        </w:trPr>
        <w:tc>
          <w:tcPr>
            <w:tcW w:w="24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24,951,287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$ 267,248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$ 347,233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(6,514)$</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607,969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$ 608,210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April 30,</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(4,185)</w:t>
            </w:r>
          </w:p>
        </w:tc>
        <w:tc>
          <w:tcPr>
            <w:tcW w:w="5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23,345</w:t>
            </w:r>
          </w:p>
        </w:tc>
        <w:tc>
          <w:tcPr>
            <w:tcW w:w="200" w:type="dxa"/>
            <w:vAlign w:val="bottom"/>
          </w:tcPr>
          <w:p>
            <w:pPr>
              <w:spacing w:after="0"/>
              <w:rPr>
                <w:sz w:val="12"/>
                <w:szCs w:val="12"/>
                <w:color w:val="auto"/>
              </w:rPr>
            </w:pPr>
          </w:p>
        </w:tc>
        <w:tc>
          <w:tcPr>
            <w:tcW w:w="3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41,070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sale of business, net of tax</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line="142" w:lineRule="exact"/>
              <w:rPr>
                <w:sz w:val="20"/>
                <w:szCs w:val="20"/>
                <w:color w:val="auto"/>
              </w:rPr>
            </w:pPr>
            <w:r>
              <w:rPr>
                <w:rFonts w:ascii="Arial" w:cs="Arial" w:eastAsia="Arial" w:hAnsi="Arial"/>
                <w:sz w:val="14"/>
                <w:szCs w:val="14"/>
                <w:color w:val="auto"/>
              </w:rPr>
              <w:t>Net (loss) income from continuing operations</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(4,185)</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Adjustments to reconcile net (loss) income from continuing operations to cash (used in) provided by</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60,825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19,262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equity method investments, net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doubtful accounts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non-cash expense (income)</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Non-cash lease expense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6,814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foreign currency transactions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(7,282)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8,277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debt securities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300"/>
              <w:spacing w:after="0" w:line="149" w:lineRule="exact"/>
              <w:rPr>
                <w:sz w:val="20"/>
                <w:szCs w:val="20"/>
                <w:color w:val="auto"/>
              </w:rPr>
            </w:pPr>
            <w:r>
              <w:rPr>
                <w:rFonts w:ascii="Arial" w:cs="Arial" w:eastAsia="Arial" w:hAnsi="Arial"/>
                <w:sz w:val="14"/>
                <w:szCs w:val="14"/>
                <w:color w:val="auto"/>
              </w:rPr>
              <w:t>Unbilled receivables and retentions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(31,883)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8,381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(22,790)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300"/>
              <w:spacing w:after="0" w:line="149" w:lineRule="exact"/>
              <w:rPr>
                <w:sz w:val="20"/>
                <w:szCs w:val="20"/>
                <w:color w:val="auto"/>
              </w:rPr>
            </w:pPr>
            <w:r>
              <w:rPr>
                <w:rFonts w:ascii="Arial" w:cs="Arial" w:eastAsia="Arial" w:hAnsi="Arial"/>
                <w:sz w:val="14"/>
                <w:szCs w:val="14"/>
                <w:color w:val="auto"/>
              </w:rPr>
              <w:t>Income taxes receivable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(7,044)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(7,496)</w:t>
            </w:r>
          </w:p>
        </w:tc>
        <w:tc>
          <w:tcPr>
            <w:tcW w:w="3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(9,618)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86,532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25,097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(22,289)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(11,220)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(46,150)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ownership in equity method investment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6,497</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Proceeds from loan repayment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4,345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185,917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35,851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146,425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200,892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(23,882)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(52,288)</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(378,771)</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59,167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term loan</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Payment of contingent consideration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(7,814)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(16,607)</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194,160</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(79,832)</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(98,079)</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82,434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157,063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255,142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172,708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77,231</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157,063</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255,142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ind w:left="200"/>
              <w:spacing w:after="0" w:line="149" w:lineRule="exact"/>
              <w:rPr>
                <w:sz w:val="20"/>
                <w:szCs w:val="20"/>
                <w:color w:val="auto"/>
              </w:rPr>
            </w:pPr>
            <w:r>
              <w:rPr>
                <w:rFonts w:ascii="Arial" w:cs="Arial" w:eastAsia="Arial" w:hAnsi="Arial"/>
                <w:sz w:val="14"/>
                <w:szCs w:val="14"/>
                <w:color w:val="auto"/>
              </w:rPr>
              <w:t>Income taxes</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1,879</w:t>
            </w:r>
          </w:p>
        </w:tc>
        <w:tc>
          <w:tcPr>
            <w:tcW w:w="5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2,405</w:t>
            </w:r>
          </w:p>
        </w:tc>
        <w:tc>
          <w:tcPr>
            <w:tcW w:w="200" w:type="dxa"/>
            <w:vAlign w:val="bottom"/>
          </w:tcPr>
          <w:p>
            <w:pPr>
              <w:spacing w:after="0"/>
              <w:rPr>
                <w:sz w:val="12"/>
                <w:szCs w:val="12"/>
                <w:color w:val="auto"/>
              </w:rPr>
            </w:pPr>
          </w:p>
        </w:tc>
        <w:tc>
          <w:tcPr>
            <w:tcW w:w="3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w:t>
            </w:r>
          </w:p>
        </w:tc>
        <w:tc>
          <w:tcPr>
            <w:tcW w:w="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5,025</w:t>
            </w:r>
          </w:p>
        </w:tc>
        <w:tc>
          <w:tcPr>
            <w:tcW w:w="5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Unrealized (loss) gain on investments, net of deferred tax expense of $8, $1 and $14 for the fiscal years</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ended 2021, 2020 and 2019, respectively</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54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business acquisition</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72,384</w:t>
            </w:r>
          </w:p>
        </w:tc>
        <w:tc>
          <w:tcPr>
            <w:tcW w:w="200" w:type="dxa"/>
            <w:vAlign w:val="bottom"/>
          </w:tcPr>
          <w:p>
            <w:pPr>
              <w:spacing w:after="0"/>
              <w:rPr>
                <w:sz w:val="12"/>
                <w:szCs w:val="12"/>
                <w:color w:val="auto"/>
              </w:rPr>
            </w:pPr>
          </w:p>
        </w:tc>
        <w:tc>
          <w:tcPr>
            <w:tcW w:w="3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(6,814)</w:t>
            </w:r>
          </w:p>
        </w:tc>
        <w:tc>
          <w:tcPr>
            <w:tcW w:w="5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17,481</w:t>
            </w:r>
          </w:p>
        </w:tc>
        <w:tc>
          <w:tcPr>
            <w:tcW w:w="5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200" w:type="dxa"/>
            <w:vAlign w:val="bottom"/>
          </w:tcPr>
          <w:p>
            <w:pPr>
              <w:spacing w:after="0"/>
              <w:rPr>
                <w:sz w:val="12"/>
                <w:szCs w:val="12"/>
                <w:color w:val="auto"/>
              </w:rPr>
            </w:pPr>
          </w:p>
        </w:tc>
        <w:tc>
          <w:tcPr>
            <w:tcW w:w="3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w:t>
            </w:r>
          </w:p>
        </w:tc>
        <w:tc>
          <w:tcPr>
            <w:tcW w:w="5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40" w:right="4559" w:firstLine="4"/>
        <w:spacing w:after="0" w:line="487" w:lineRule="auto"/>
        <w:tabs>
          <w:tab w:leader="none" w:pos="6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left="40" w:right="299" w:firstLine="648"/>
        <w:spacing w:after="0" w:line="275" w:lineRule="auto"/>
        <w:rPr>
          <w:sz w:val="20"/>
          <w:szCs w:val="20"/>
          <w:color w:val="auto"/>
        </w:rPr>
      </w:pPr>
      <w:r>
        <w:rPr>
          <w:rFonts w:ascii="Arial" w:cs="Arial" w:eastAsia="Arial" w:hAnsi="Arial"/>
          <w:sz w:val="17"/>
          <w:szCs w:val="17"/>
          <w:color w:val="auto"/>
        </w:rPr>
        <w:t>AeroVironment, Inc., a Delaware corporation,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Accounting Policies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Principles of Consolidation</w:t>
      </w:r>
    </w:p>
    <w:p>
      <w:pPr>
        <w:spacing w:after="0" w:line="216"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AeroVironment, Inc. and its wholly-owned subsidiaries Arcturus UAV, Inc. (“Arcturus”), and Telerob Gesellschaft für Fernhantierungstechnik mbH (“Telerob”), as well as the Company’s Turkish joint venture, Altoy Savunma Sanayi ve Havacilik Anonim Sirketi (“Altoy”) (collectively referred to herein as the “Company”).</w:t>
      </w:r>
    </w:p>
    <w:p>
      <w:pPr>
        <w:spacing w:after="0" w:line="187"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represented a strategic shift in the Company’s operations. Therefore, the results of operations of the EES Business are reported as discontinued operations for all periods presented. Refer to Note 2—Discontinued Operations for further details.</w:t>
      </w:r>
    </w:p>
    <w:p>
      <w:pPr>
        <w:spacing w:after="0" w:line="164"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In February 2021, the Company dissolved its wholly-owned subsidiary, Pulse Aerospace, LLC, the results of which were not material to the consolidated financial statements. Refer to Note 21—Business Acquisitions for further details.</w:t>
      </w:r>
    </w:p>
    <w:p>
      <w:pPr>
        <w:spacing w:after="0" w:line="161"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On February 19, 2021, the Company closed its acquisition of Arcturus, a California corporation pursuant to a Stock Purchase Agreement (the “Arcturus Purchase Agreement”) with Arcturus and each of the shareholders and other equity interest holders of Arcturus (collectively, the “Arcturus Sellers”), to purchase 100% of the issued and outstanding equity of Arcturus (the “Arcturus Acquisition”). The assets, liabilities and operating results of Arcturus have been included in the Company’s consolidated financial statements. Refer to Note 21—Business Acquisitions for further details.</w:t>
      </w:r>
    </w:p>
    <w:p>
      <w:pPr>
        <w:spacing w:after="0" w:line="161"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On February 23, 2021, the Company purchased certain assets of, and assumed certain liabilities of, the Intelligent Systems Group business segment (“ISG”) of Progeny Systems Corporation, a Virginia corporation (the “ISG Seller”), pursuant to the terms of an Asset Purchase Agreement (the “ISG Purchase Agreement”) of the same date by and among the Company, ISG Seller and the sole shareholder of ISG Seller (the “Beneficial Owner,” and such acquisition of ISG, the “ISG Acquisition”). The assets, liabilities and operating results of ISG have been included in the Company’s consolidated financial statements. Refer to Note 21—Business Acquisitions for further details.</w:t>
      </w:r>
    </w:p>
    <w:p>
      <w:pPr>
        <w:spacing w:after="0" w:line="178"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On May 3, 2021, the Company closed its acquisition of Telerob pursuant to its previously announced Share Purchase Agreement (the “Telerob Purchase Agreement”) with Unmanned Systems Investments GmbH, a German limited liability company incorporated under the laws of Germany (the “Telerob Seller”), and each of the unit holders of the Seller (collectively, the “Telerob Shareholders”), to purchase 100% of the issued and outstanding shares of Telerob</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Seller’s wholly-owned subsidiary Telerob GmbH (the “Telerob Acquisition”). The assets, liabilities and operating results of Telerob GmbH have been included in the Company’s consolidated financial statements. Refer to Note 21—Business Acquisitions for further details.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 in Companies Accounted for Using the Equity or Cost Method</w:t>
      </w:r>
    </w:p>
    <w:p>
      <w:pPr>
        <w:spacing w:after="0" w:line="229"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181"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7"/>
          <w:szCs w:val="17"/>
          <w:color w:val="auto"/>
        </w:rPr>
        <w:t>When an investment accounted for using the equity method issues its own shares, the subsequent reduction in the Company’s proportionate interest in the investee is reflected in equity as an adjustment to paid-in-capital. The Company evaluates its investments in companies accounted for by the equity or cost method for impairment when there is evidence or indicators that a decrease in value may be other than temporary.</w:t>
      </w:r>
    </w:p>
    <w:p>
      <w:pPr>
        <w:spacing w:after="0" w:line="171"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In December of 2017, the Company and SoftBank Corp. (“SoftBank”) formed a joint venture, HAPSMobile Inc. (“HAPSMobile”). In March 2022, the Company sold its 7% share of HAPSMobile to Softbank. Following the sale, Softbank owns 100% of HAPSMobile. Prior to the sale, as the Company had the ability to exercise significant influence over the operating and financial policies of HAPSMobile, the Company’s investment is accounted as an equity method investment. The Company has presented its proportion of HAPSMobile’s net loss in equity method investment loss, net of tax in the consolidated statement of operations. The carrying value of the investment in HAPSMobile was recorded in other assets. Refer to Note 9 – Equity Method Investments for further details.</w:t>
      </w:r>
    </w:p>
    <w:p>
      <w:pPr>
        <w:spacing w:after="0" w:line="177"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In July 2019, the Company made its initial capital contribution to a limited partnership fund focusing on highly relevant technologies and start-up companies serving defense and industrial markets. In March 2022, the Company entered into a second related limited partnership fund also focusing on highly relevant technologies and start-up companies serving defense and industrial markets. The Company accounts for investments in limited partnerships as equity method investments as the Company is deemed to have influence when it holds more than a minor interest. Refer to Note 9 – Equity Method Investments for further details.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0" w:right="159" w:firstLine="648"/>
        <w:spacing w:after="0" w:line="27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Accordingly, the Company identifies four reportable segments.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179"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available-for-sale securities, acquired intangibles, goodwill, deferred tax assets and liabilities, useful lives of property, plant and equipment, medical and dental liabilities, warranty liabilities, long-term incentive plan liabilities and estimates of</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59"/>
        <w:spacing w:after="0" w:line="277" w:lineRule="auto"/>
        <w:rPr>
          <w:sz w:val="20"/>
          <w:szCs w:val="20"/>
          <w:color w:val="auto"/>
        </w:rPr>
      </w:pPr>
      <w:r>
        <w:rPr>
          <w:rFonts w:ascii="Arial" w:cs="Arial" w:eastAsia="Arial" w:hAnsi="Arial"/>
          <w:sz w:val="18"/>
          <w:szCs w:val="18"/>
          <w:color w:val="auto"/>
        </w:rPr>
        <w:t>anticipated contract costs and transaction price utilized in the revenue recognition process. Actual results could differ from those estimates.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left="40" w:right="159" w:firstLine="648"/>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The Company classifies cash accounts which are not available for general use as restricted cash. Pursuant to the terms of the Arcturus Purchase Agreement, the Company maintained escrow accounts to address final purchase price adjustments post-Arcturus Closing and to address Arcturus UAV’s and/or the Sellers’ indemnification obligations. The restricted funds in the escrow account were recorded in other assets on the consolidated balance sheet. During the fiscal year ended April 30, 2022, the restricted cash was released, and the Company had no restricted cash as of April 30, 2022. As of April 30, 2021 restricted cash was $8,322,000.</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The Company’s investments are accounted for as held-to-maturity reported at amortized cost and available-for-sale reported at fair value.</w:t>
      </w:r>
    </w:p>
    <w:p>
      <w:pPr>
        <w:spacing w:after="0" w:line="170"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170"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Gains and losses realized on the disposition of investment securities are determined on the specific identification basis and credited or charged to income. Premium and discount on investments are amortized and accreted using the interest method and charged or credited to investment income.</w:t>
      </w:r>
    </w:p>
    <w:p>
      <w:pPr>
        <w:spacing w:after="0" w:line="184"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Management determines the appropriate classification of securities at the time of purchase and re-evaluates such designation as of each balance sheet date.</w:t>
      </w:r>
    </w:p>
    <w:p>
      <w:pPr>
        <w:spacing w:after="0" w:line="170"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On a quarterly basis, the Company considers available quantitative and qualitative evidence in evaluating potential impairment of its investments. If the cost of an investment exceeds its fair value, the Company evaluates, among other factors, general market conditions, the duration and extent to which the fair value is less than cost, and its intent and ability to hold the investment to maturity. The Company also considers potential adverse conditions related to the financial health of the issuer based on rating agency actions. Once a decline in fair value is determined to be other-than-temporary, an impairment charge is recorded in earnings and a new cost basis in the investment is established.</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left="40" w:right="199" w:firstLine="648"/>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corporate bonds, and accounts receivable. The Company currently invests the majority of its cash in municipal bonds, U.S. government securities, U.S. government-guaranteed agency securities, U.S. government sponsored agency debt securities and highly rated corporate bonds. The Company’s revenue and accounts receivable are with a limited number of corporations and governmental entities. In the aggregate,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96" w:lineRule="auto"/>
        <w:rPr>
          <w:sz w:val="20"/>
          <w:szCs w:val="20"/>
          <w:color w:val="auto"/>
        </w:rPr>
      </w:pPr>
      <w:r>
        <w:rPr>
          <w:rFonts w:ascii="Arial" w:cs="Arial" w:eastAsia="Arial" w:hAnsi="Arial"/>
          <w:sz w:val="16"/>
          <w:szCs w:val="16"/>
          <w:color w:val="auto"/>
        </w:rPr>
        <w:t>66%, 69% and 61% of the Company’s revenue came from agencies of the U.S. government for the years ended April 30, 2022, 2021 and 2020, respectively. These agencies accounted for 65% and 64% of the accounts receivable balances at April 30, 2022 and 2021, respectively. One such agency, the U.S. Army, accounted for 21%, 34% and 32% of the Company’s consolidated revenue for the years ended April 30, 2022, 2021 and 2020, respectively. The Company performs ongoing credit evaluations of its commercial customers and maintains an allowance for potential losses.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229"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spacing w:after="0" w:line="188"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Retentions represent amounts withheld by customers until contract completion. At April 30, 2022 and 2021, the retention balances were $736,000 and $700,000, respectively. The Company determines the allowance for doubtful accounts based on historical customer experience, age of receivable and other currently available evidence. When a specific account is deemed uncollectible, the account is written off against the allowance. The allowance for doubtful accounts reflects the Company’s best estimate of expected credit losses over the life of the receivable; such losses have historically been within management’s expectations. An account is deemed past due based on contractual terms rather than on how recently payments have been received.</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0" w:right="319" w:firstLine="648"/>
        <w:spacing w:after="0" w:line="275" w:lineRule="auto"/>
        <w:rPr>
          <w:sz w:val="20"/>
          <w:szCs w:val="20"/>
          <w:color w:val="auto"/>
        </w:rPr>
      </w:pPr>
      <w:r>
        <w:rPr>
          <w:rFonts w:ascii="Arial" w:cs="Arial" w:eastAsia="Arial" w:hAnsi="Arial"/>
          <w:sz w:val="17"/>
          <w:szCs w:val="17"/>
          <w:color w:val="auto"/>
        </w:rPr>
        <w:t>Inventories are stated at the lower of cost (using the weighted average costing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left="40" w:right="379" w:firstLine="648"/>
        <w:spacing w:after="0" w:line="342" w:lineRule="auto"/>
        <w:rPr>
          <w:sz w:val="20"/>
          <w:szCs w:val="20"/>
          <w:color w:val="auto"/>
        </w:rPr>
      </w:pPr>
      <w:r>
        <w:rPr>
          <w:rFonts w:ascii="Arial" w:cs="Arial" w:eastAsia="Arial" w:hAnsi="Arial"/>
          <w:sz w:val="16"/>
          <w:szCs w:val="16"/>
          <w:color w:val="auto"/>
        </w:rPr>
        <w:t>Property and equipment are carried at cost. Depreciation of property and equipment, including amortization of leasehold improvements, are provided using the straight-line method over the following estimated useful lives:</w:t>
      </w:r>
    </w:p>
    <w:p>
      <w:pPr>
        <w:spacing w:after="0" w:line="151"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2 - 7 years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5"/>
              </w:rPr>
              <w:t>Computer equipment and software</w:t>
            </w: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2 - 5 years</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In-service ISR assets</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3 - 7 years</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term of lease</w:t>
            </w:r>
          </w:p>
        </w:tc>
      </w:tr>
    </w:tbl>
    <w:p>
      <w:pPr>
        <w:spacing w:after="0" w:line="202"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expense in the period incurred with the exception of in-service ISR assets which is included in cost of sales expense in the period incurred.</w:t>
      </w:r>
    </w:p>
    <w:p>
      <w:pPr>
        <w:spacing w:after="0" w:line="176"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Intangibles Assets — Acquired in Business Combinations</w:t>
      </w:r>
    </w:p>
    <w:p>
      <w:pPr>
        <w:spacing w:after="0" w:line="229"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backlog, in-process research and development, customer relationships,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 The estimated useful life for the Company’s intangible assets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90"/>
              </w:rPr>
              <w:t>3 - 12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Backlog</w:t>
            </w:r>
          </w:p>
        </w:tc>
        <w:tc>
          <w:tcPr>
            <w:tcW w:w="3800" w:type="dxa"/>
            <w:vAlign w:val="bottom"/>
          </w:tcPr>
          <w:p>
            <w:pPr>
              <w:jc w:val="center"/>
              <w:ind w:left="2210"/>
              <w:spacing w:after="0"/>
              <w:rPr>
                <w:sz w:val="20"/>
                <w:szCs w:val="20"/>
                <w:color w:val="auto"/>
              </w:rPr>
            </w:pPr>
            <w:r>
              <w:rPr>
                <w:rFonts w:ascii="Arial" w:cs="Arial" w:eastAsia="Arial" w:hAnsi="Arial"/>
                <w:sz w:val="18"/>
                <w:szCs w:val="18"/>
                <w:color w:val="auto"/>
                <w:w w:val="91"/>
              </w:rPr>
              <w:t>1 year</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84"/>
              </w:rPr>
              <w:t>3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00" w:type="dxa"/>
            <w:vAlign w:val="bottom"/>
          </w:tcPr>
          <w:p>
            <w:pPr>
              <w:jc w:val="center"/>
              <w:ind w:left="2210"/>
              <w:spacing w:after="0"/>
              <w:rPr>
                <w:sz w:val="20"/>
                <w:szCs w:val="20"/>
                <w:color w:val="auto"/>
              </w:rPr>
            </w:pPr>
            <w:r>
              <w:rPr>
                <w:rFonts w:ascii="Arial" w:cs="Arial" w:eastAsia="Arial" w:hAnsi="Arial"/>
                <w:sz w:val="18"/>
                <w:szCs w:val="18"/>
                <w:color w:val="auto"/>
                <w:w w:val="86"/>
              </w:rPr>
              <w:t>3 - 5 years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84"/>
              </w:rPr>
              <w:t>3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3800" w:type="dxa"/>
            <w:vAlign w:val="bottom"/>
          </w:tcPr>
          <w:p>
            <w:pPr>
              <w:jc w:val="center"/>
              <w:ind w:left="2210"/>
              <w:spacing w:after="0"/>
              <w:rPr>
                <w:sz w:val="20"/>
                <w:szCs w:val="20"/>
                <w:color w:val="auto"/>
              </w:rPr>
            </w:pPr>
            <w:r>
              <w:rPr>
                <w:rFonts w:ascii="Arial" w:cs="Arial" w:eastAsia="Arial" w:hAnsi="Arial"/>
                <w:sz w:val="18"/>
                <w:szCs w:val="18"/>
                <w:color w:val="auto"/>
                <w:w w:val="84"/>
              </w:rPr>
              <w:t>6 years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91"/>
              </w:rPr>
              <w:t>Contractual term</w:t>
            </w:r>
          </w:p>
        </w:tc>
      </w:tr>
    </w:tbl>
    <w:p>
      <w:pPr>
        <w:spacing w:after="0" w:line="202"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No impairment was recorded for the fiscal years ended April 30, 2022, 2021 or 2020.</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Goodwill represents the excess of the cost of an acquired entity over the fair value of the acquired net assets. Goodwill is tested at the reporting unit level for impairment annually during the fourth quarter of the Company’s fiscal year or when events or circumstances change in a manner that indicates goodwill might be impaired. Goodwill is assigned to the reporting units based on specific identification.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16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The Company’s evaluation of goodwill for impairment involves the comparison of the fair value of each reporting unit to its carrying value. For the impairment test, the Company first assesses qualitative factors, macroeconomic conditions, industry and market considerations, triggering events, cost factors, and overall financial performance, to determine whether it is necessary to perform a quantitative goodwill impairment test. Alternatively, the Company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the Company estimates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the Company’s industry and require the Company to make certain assumptions and estimates regarding industry economic factors and future profitability of its business.</w:t>
      </w:r>
    </w:p>
    <w:p>
      <w:pPr>
        <w:spacing w:after="0" w:line="179"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When performing the income approach for each reporting unit, the Company incorporates the use of projected financial information and a discount rate that are developed using market participant based assumptions. The cash-flow projections are based on seven-year financial forecasts developed by management that include revenue projections, capital spending trends, and investment in working capital to support anticipated revenue growth, which are updated 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color w:val="auto"/>
        </w:rPr>
        <w:t>least annually and reviewed by management. The selected discount rate considers the risk and nature of the respective reporting unit’s cash flows and the rates of return market participants would require to invest their capital in its reporting units.</w:t>
      </w:r>
    </w:p>
    <w:p>
      <w:pPr>
        <w:spacing w:after="0" w:line="184"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When performing the market approach for each reporting unit, the Company utilizes the guideline public company method and the guideline transaction method. The guideline public company method incorporates revenue and earnings multiples from publicly traded companies with operations and other characteristics similar to each reporting unit. The selected multiples consider each reporting unit’s relative growth, profitability, size, and risk relative to the selected publicly traded companies. The guideline transaction method incorporates implied multiples based on transactions from publicly traded companies with similar characteristics to each reporting unit.</w:t>
      </w:r>
    </w:p>
    <w:p>
      <w:pPr>
        <w:spacing w:after="0" w:line="178" w:lineRule="exact"/>
        <w:rPr>
          <w:sz w:val="20"/>
          <w:szCs w:val="20"/>
          <w:color w:val="auto"/>
        </w:rPr>
      </w:pPr>
    </w:p>
    <w:p>
      <w:pPr>
        <w:ind w:left="40" w:right="59" w:firstLine="648"/>
        <w:spacing w:after="0" w:line="263" w:lineRule="auto"/>
        <w:rPr>
          <w:sz w:val="20"/>
          <w:szCs w:val="20"/>
          <w:color w:val="auto"/>
        </w:rPr>
      </w:pPr>
      <w:r>
        <w:rPr>
          <w:rFonts w:ascii="Arial" w:cs="Arial" w:eastAsia="Arial" w:hAnsi="Arial"/>
          <w:sz w:val="18"/>
          <w:szCs w:val="18"/>
          <w:color w:val="auto"/>
        </w:rPr>
        <w:t>No impairment was recorded for the fiscal years ended April 30, 2022, 2021 or 2020. The MUAS reporting unit is considered at higher risk of failing future quantitative impairment tests as the estimated fair value exceeded the carrying value by 9% for the fiscal year ended April 30, 2022.</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left="40" w:right="579" w:firstLine="648"/>
        <w:spacing w:after="0" w:line="342"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Accrued Sales Commissions</w:t>
      </w:r>
    </w:p>
    <w:p>
      <w:pPr>
        <w:spacing w:after="0" w:line="22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As of April 30, 2022 and 2021, the Company accrued sales commissions in other current liabilities of $3,219,000 and $2,716,000, respectively.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Self-Insurance Liability</w:t>
      </w:r>
    </w:p>
    <w:p>
      <w:pPr>
        <w:spacing w:after="0" w:line="229"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2022 and 2021, the Company estimated and recorded a self-insurance liability in wages and related accruals of approximately $1,653,000 and $1,181,000, respectively.</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Advances</w:t>
      </w:r>
    </w:p>
    <w:p>
      <w:pPr>
        <w:spacing w:after="0" w:line="229" w:lineRule="exact"/>
        <w:rPr>
          <w:sz w:val="20"/>
          <w:szCs w:val="20"/>
          <w:color w:val="auto"/>
        </w:rPr>
      </w:pPr>
    </w:p>
    <w:p>
      <w:pPr>
        <w:jc w:val="both"/>
        <w:ind w:left="40" w:right="219" w:firstLine="648"/>
        <w:spacing w:after="0" w:line="311" w:lineRule="auto"/>
        <w:rPr>
          <w:sz w:val="20"/>
          <w:szCs w:val="20"/>
          <w:color w:val="auto"/>
        </w:rPr>
      </w:pPr>
      <w:r>
        <w:rPr>
          <w:rFonts w:ascii="Arial" w:cs="Arial" w:eastAsia="Arial" w:hAnsi="Arial"/>
          <w:sz w:val="16"/>
          <w:szCs w:val="16"/>
          <w:color w:val="auto"/>
        </w:rPr>
        <w:t>The Company receives advances, performance-based payments and progress payments from customers that may exceed costs incurred on certain contracts, including contracts with agencies of the U.S. government resulting in contract liabilities. These advances are classified as customer advances and will be offset against billings.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Obligations</w:t>
      </w:r>
    </w:p>
    <w:p>
      <w:pPr>
        <w:spacing w:after="0" w:line="229" w:lineRule="exact"/>
        <w:rPr>
          <w:sz w:val="20"/>
          <w:szCs w:val="20"/>
          <w:color w:val="auto"/>
        </w:rPr>
      </w:pPr>
    </w:p>
    <w:p>
      <w:pPr>
        <w:ind w:left="40" w:right="99" w:firstLine="648"/>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119" w:firstLine="648"/>
        <w:spacing w:after="0" w:line="267" w:lineRule="auto"/>
        <w:rPr>
          <w:sz w:val="20"/>
          <w:szCs w:val="20"/>
          <w:color w:val="auto"/>
        </w:rPr>
      </w:pPr>
      <w:r>
        <w:rPr>
          <w:rFonts w:ascii="Arial" w:cs="Arial" w:eastAsia="Arial" w:hAnsi="Arial"/>
          <w:sz w:val="17"/>
          <w:szCs w:val="17"/>
          <w:color w:val="auto"/>
        </w:rPr>
        <w:t>The Company’s performance obligations are satisfied over time, which accounted for 57%, 43% and 42% of revenue during its fiscal years ended April 30, 2022, 2021 and 2020, respectively, or at a point in time, 43%, 57% and 58% during its fiscal year ended April 30, 2022, 2021 and 2020, respectively.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ISR services, is recognized over time as services are rendered.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88" w:lineRule="exact"/>
        <w:rPr>
          <w:sz w:val="20"/>
          <w:szCs w:val="20"/>
          <w:color w:val="auto"/>
        </w:rPr>
      </w:pPr>
    </w:p>
    <w:p>
      <w:pPr>
        <w:ind w:left="40" w:right="519" w:firstLine="648"/>
        <w:spacing w:after="0" w:line="301" w:lineRule="auto"/>
        <w:rPr>
          <w:sz w:val="20"/>
          <w:szCs w:val="20"/>
          <w:color w:val="auto"/>
        </w:rPr>
      </w:pPr>
      <w:r>
        <w:rPr>
          <w:rFonts w:ascii="Arial" w:cs="Arial" w:eastAsia="Arial" w:hAnsi="Arial"/>
          <w:sz w:val="16"/>
          <w:szCs w:val="16"/>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57"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For performance obligations which are not satisfied over time per the aforementioned criteria above, revenue is recognized at the point in time in which each performance obligation is fully satisfied. The Company’s small UAS, MUAS and UGV product sales revenue is composed of revenue recognized on contracts for the delivery of small UAS, MUAS and UGV systems and spare parts. Revenue is recognized at the point in time when control transfers to the customer, which generally occurs when title and risk of loss have passed to the customer.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648"/>
        <w:spacing w:after="0" w:line="311" w:lineRule="auto"/>
        <w:rPr>
          <w:sz w:val="20"/>
          <w:szCs w:val="20"/>
          <w:color w:val="auto"/>
        </w:rPr>
      </w:pPr>
      <w:r>
        <w:rPr>
          <w:rFonts w:ascii="Arial" w:cs="Arial" w:eastAsia="Arial" w:hAnsi="Arial"/>
          <w:sz w:val="16"/>
          <w:szCs w:val="16"/>
          <w:color w:val="auto"/>
        </w:rPr>
        <w:t>On April 30, 2022, the Company had approximately $210,780,000 of remaining performance obligations under contracts with its customers, which the Company also refers to as backlog. The Company currently expects to recognize approximately 94% of the remaining performance obligations as revenue in fiscal 2023 and an additional 6% in fiscal 2024.</w:t>
      </w:r>
    </w:p>
    <w:p>
      <w:pPr>
        <w:spacing w:after="0" w:line="149" w:lineRule="exact"/>
        <w:rPr>
          <w:sz w:val="20"/>
          <w:szCs w:val="20"/>
          <w:color w:val="auto"/>
        </w:rPr>
      </w:pPr>
    </w:p>
    <w:p>
      <w:pPr>
        <w:ind w:left="40" w:right="299" w:firstLine="648"/>
        <w:spacing w:after="0" w:line="342" w:lineRule="auto"/>
        <w:rPr>
          <w:sz w:val="20"/>
          <w:szCs w:val="20"/>
          <w:color w:val="auto"/>
        </w:rPr>
      </w:pPr>
      <w:r>
        <w:rPr>
          <w:rFonts w:ascii="Arial" w:cs="Arial" w:eastAsia="Arial" w:hAnsi="Arial"/>
          <w:sz w:val="16"/>
          <w:szCs w:val="16"/>
          <w:color w:val="auto"/>
        </w:rPr>
        <w:t>The Company collects sales, value add, and other taxes concurrent with revenue producing activities, which are excluded from revenue when they are both imposed on a specific transaction and collected from a customer.</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Estimates</w:t>
      </w:r>
    </w:p>
    <w:p>
      <w:pPr>
        <w:spacing w:after="0" w:line="229" w:lineRule="exact"/>
        <w:rPr>
          <w:sz w:val="20"/>
          <w:szCs w:val="20"/>
          <w:color w:val="auto"/>
        </w:rPr>
      </w:pPr>
    </w:p>
    <w:p>
      <w:pPr>
        <w:ind w:left="40" w:right="199" w:firstLine="648"/>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87"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192"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years ended April 30, 2022, 2021 or 2020. During the year ended April 30, 2022, the Company revised its estimates of the total expected costs to complete a TMS contract. The aggregate impact of these adjustments in contract estimates on revenue related to performance obligations satisfied or partially satisfied in previous periods was a decrease to revenue of approximately $1,124,000. During the year ended April 30, 2021, the Company revised its estimates of the total expected costs to complete a TMS contract. The aggregate impact of these adjustments in contract estimates on revenue related to performance obligations satisfied or partially satisfied in previous periods was a decrease to revenue of approximately $1,041,000. During the year ended April 30, 2020, the Company revised its estimates of the total expected costs to complete a TMS contract and a contract associated with a design and development agreement. The aggregate impact of these adjustments in contract estimates on revenue related to performance obligations satisfied or partially satisfied in previous periods was a decrease of approximately $1,403,000 and an increase of approximately $1,099,000,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by Category</w:t>
      </w:r>
    </w:p>
    <w:p>
      <w:pPr>
        <w:spacing w:after="0" w:line="229"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following tables present the Company’s revenue disaggregated by segment,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Revenue by segment</w:t>
            </w:r>
          </w:p>
        </w:tc>
        <w:tc>
          <w:tcPr>
            <w:tcW w:w="2140" w:type="dxa"/>
            <w:vAlign w:val="bottom"/>
          </w:tcPr>
          <w:p>
            <w:pPr>
              <w:spacing w:after="0"/>
              <w:rPr>
                <w:sz w:val="14"/>
                <w:szCs w:val="14"/>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9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9"/>
              </w:rPr>
              <w:t>2021</w:t>
            </w:r>
          </w:p>
        </w:tc>
        <w:tc>
          <w:tcPr>
            <w:tcW w:w="9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2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$ 178,201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$ 235,854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$ 225,888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TMS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76,415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87,268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63,781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MUAS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HAPS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43,325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42,426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60,864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revenue</w:t>
            </w:r>
          </w:p>
        </w:tc>
        <w:tc>
          <w:tcPr>
            <w:tcW w:w="2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$ 445,732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$ 394,912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$ 367,296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2140" w:type="dxa"/>
            <w:vAlign w:val="bottom"/>
          </w:tcPr>
          <w:p>
            <w:pPr>
              <w:spacing w:after="0"/>
              <w:rPr>
                <w:sz w:val="24"/>
                <w:szCs w:val="24"/>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9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6"/>
              </w:rPr>
              <w:t>2021</w:t>
            </w:r>
          </w:p>
        </w:tc>
        <w:tc>
          <w:tcPr>
            <w:tcW w:w="9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2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$ 346,092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$ 307,413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$ 269,917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CPFF</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93,428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86,719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94,176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Total revenue</w:t>
            </w:r>
          </w:p>
        </w:tc>
        <w:tc>
          <w:tcPr>
            <w:tcW w:w="2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$ 445,732</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$ 394,912</w:t>
            </w:r>
          </w:p>
        </w:tc>
        <w:tc>
          <w:tcPr>
            <w:tcW w:w="18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$ 367,296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880" w:type="dxa"/>
            <w:vAlign w:val="bottom"/>
          </w:tcPr>
          <w:p>
            <w:pPr>
              <w:spacing w:after="0"/>
              <w:rPr>
                <w:sz w:val="14"/>
                <w:szCs w:val="1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6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6"/>
              </w:rPr>
              <w:t>2021</w:t>
            </w:r>
          </w:p>
        </w:tc>
        <w:tc>
          <w:tcPr>
            <w:tcW w:w="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8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$ 294,941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$ 271,273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$ 225,341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Non-U.S. government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150,791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123,639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141,955</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$ 445,732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$ 394,912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$ 367,296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880" w:type="dxa"/>
            <w:vAlign w:val="bottom"/>
          </w:tcPr>
          <w:p>
            <w:pPr>
              <w:spacing w:after="0"/>
              <w:rPr>
                <w:sz w:val="24"/>
                <w:szCs w:val="2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6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6"/>
              </w:rPr>
              <w:t>2021</w:t>
            </w:r>
          </w:p>
        </w:tc>
        <w:tc>
          <w:tcPr>
            <w:tcW w:w="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8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$ 262,258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$ 241,898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$ 201,046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183,474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153,014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166,250</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$ 445,732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$ 394,912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$ 367,296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color w:val="auto"/>
        </w:rPr>
        <w:t>the years ended April 30, 2022 or 2021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4" w:lineRule="exact"/>
        <w:rPr>
          <w:sz w:val="20"/>
          <w:szCs w:val="20"/>
          <w:color w:val="auto"/>
        </w:rPr>
      </w:pPr>
    </w:p>
    <w:p>
      <w:pPr>
        <w:ind w:left="40" w:right="419" w:firstLine="648"/>
        <w:spacing w:after="0" w:line="308" w:lineRule="auto"/>
        <w:rPr>
          <w:sz w:val="20"/>
          <w:szCs w:val="20"/>
          <w:color w:val="auto"/>
        </w:rPr>
      </w:pPr>
      <w:r>
        <w:rPr>
          <w:rFonts w:ascii="Arial" w:cs="Arial" w:eastAsia="Arial" w:hAnsi="Arial"/>
          <w:sz w:val="17"/>
          <w:szCs w:val="17"/>
          <w:color w:val="auto"/>
        </w:rPr>
        <w:t>Revenue recognized for the years ended April 30, 2022, 2021, and 2020 that was included in contract liability balances at the beginning of each year were $3,144,000, $5,468,000 and $1,670,000, respectively.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to Fulfill a Contract with a Customer</w:t>
      </w:r>
    </w:p>
    <w:p>
      <w:pPr>
        <w:spacing w:after="0" w:line="229"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 xml:space="preserve">The Company recognizes assets for the costs to fulfill a contract with a customer if the costs are specifically identifiable, generate or enhance resources used to satisfy future performance obligations, and are expected to be recovered in accordance with ASC 340-40 </w:t>
      </w:r>
      <w:r>
        <w:rPr>
          <w:rFonts w:ascii="Arial" w:cs="Arial" w:eastAsia="Arial" w:hAnsi="Arial"/>
          <w:sz w:val="17"/>
          <w:szCs w:val="17"/>
          <w:i w:val="1"/>
          <w:iCs w:val="1"/>
          <w:color w:val="auto"/>
        </w:rPr>
        <w:t>Other Assets and Deferred Costs: Contracts with Customers</w:t>
      </w:r>
      <w:r>
        <w:rPr>
          <w:rFonts w:ascii="Arial" w:cs="Arial" w:eastAsia="Arial" w:hAnsi="Arial"/>
          <w:sz w:val="17"/>
          <w:szCs w:val="17"/>
          <w:color w:val="auto"/>
        </w:rPr>
        <w:t>. The assets related to costs to fulfill contracts with customers are capitalized and amortized over the period the related performance obligations are satisfied. As of April 30, 2022 and 2021, the Company had $0 and $1,729,000 of costs to fulfill future performance obligations on contracts considered to be probable of occurrence. Costs to fulfill a contract are recorded in prepaid expenses and other current assets on the consolidated balance sheets.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40" w:right="179" w:firstLine="648"/>
        <w:spacing w:after="0" w:line="340" w:lineRule="auto"/>
        <w:rPr>
          <w:sz w:val="20"/>
          <w:szCs w:val="20"/>
          <w:color w:val="auto"/>
        </w:rPr>
      </w:pPr>
      <w:r>
        <w:rPr>
          <w:rFonts w:ascii="Arial" w:cs="Arial" w:eastAsia="Arial" w:hAnsi="Arial"/>
          <w:sz w:val="15"/>
          <w:szCs w:val="15"/>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Long-Term Incentive Awards</w:t>
      </w:r>
    </w:p>
    <w:p>
      <w:pPr>
        <w:spacing w:after="0" w:line="216" w:lineRule="exact"/>
        <w:rPr>
          <w:sz w:val="20"/>
          <w:szCs w:val="20"/>
          <w:color w:val="auto"/>
        </w:rPr>
      </w:pPr>
    </w:p>
    <w:p>
      <w:pPr>
        <w:ind w:left="40" w:right="359" w:firstLine="648"/>
        <w:spacing w:after="0" w:line="257" w:lineRule="auto"/>
        <w:rPr>
          <w:sz w:val="20"/>
          <w:szCs w:val="20"/>
          <w:color w:val="auto"/>
        </w:rPr>
      </w:pPr>
      <w:r>
        <w:rPr>
          <w:rFonts w:ascii="Arial" w:cs="Arial" w:eastAsia="Arial" w:hAnsi="Arial"/>
          <w:sz w:val="18"/>
          <w:szCs w:val="18"/>
          <w:color w:val="auto"/>
        </w:rPr>
        <w:t>For long-term incentive awards outstanding as of April 30, 2022,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spacing w:after="0" w:line="188"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16" w:lineRule="exact"/>
        <w:rPr>
          <w:sz w:val="20"/>
          <w:szCs w:val="20"/>
          <w:color w:val="auto"/>
        </w:rPr>
      </w:pPr>
    </w:p>
    <w:p>
      <w:pPr>
        <w:jc w:val="both"/>
        <w:ind w:left="40" w:right="539" w:firstLine="648"/>
        <w:spacing w:after="0" w:line="311" w:lineRule="auto"/>
        <w:rPr>
          <w:sz w:val="20"/>
          <w:szCs w:val="20"/>
          <w:color w:val="auto"/>
        </w:rPr>
      </w:pPr>
      <w:r>
        <w:rPr>
          <w:rFonts w:ascii="Arial" w:cs="Arial" w:eastAsia="Arial" w:hAnsi="Arial"/>
          <w:sz w:val="16"/>
          <w:szCs w:val="16"/>
          <w:color w:val="auto"/>
        </w:rPr>
        <w:t>Internally funded research and development costs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Customer-funded research and development costs are incurred pursuant to contracts (revenue arrangements) to</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 research and development activities according to customer specifications. These costs are direct contract costs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are expensed to cost of sales when the corresponding revenue is recognized, which is generally as the research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development services are performed. Revenue from customer-funded research and development was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$84,247,000, $74,218,000 and $80,934,000 for the years ended April 30, 2022, 2021 and 2020, respectively. The related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cost of sales for customer-funded research and development totaled approximately $59,054,000, $51,395,000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$56,440,000 for the years ended April 30, 2022, 2021 and 2020, respectively.</w:t>
      </w:r>
    </w:p>
    <w:p>
      <w:pPr>
        <w:spacing w:after="0" w:line="211" w:lineRule="exact"/>
        <w:rPr>
          <w:sz w:val="20"/>
          <w:szCs w:val="20"/>
          <w:color w:val="auto"/>
        </w:rPr>
      </w:pPr>
    </w:p>
    <w:p>
      <w:pPr>
        <w:ind w:left="40" w:right="199" w:firstLine="648"/>
        <w:spacing w:after="0" w:line="301" w:lineRule="auto"/>
        <w:rPr>
          <w:sz w:val="20"/>
          <w:szCs w:val="20"/>
          <w:color w:val="auto"/>
        </w:rPr>
      </w:pPr>
      <w:r>
        <w:rPr>
          <w:rFonts w:ascii="Arial" w:cs="Arial" w:eastAsia="Arial" w:hAnsi="Arial"/>
          <w:sz w:val="16"/>
          <w:szCs w:val="16"/>
          <w:color w:val="auto"/>
        </w:rPr>
        <w:t>In January 2017, the Company executed a cost sharing Other Transaction Agreement type contract funded by the US Federal Government to perform certain system design, development and functional testing activities specific to a new prototype UAS on a best-efforts basis. The term of the agreement was completed as of December 2020. Costs of $21,833,000 have been reimbursed to the Company as the activities were performed, while the Company was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spacing w:after="0" w:line="279" w:lineRule="auto"/>
        <w:rPr>
          <w:sz w:val="20"/>
          <w:szCs w:val="20"/>
          <w:color w:val="auto"/>
        </w:rPr>
      </w:pPr>
      <w:r>
        <w:rPr>
          <w:rFonts w:ascii="Arial" w:cs="Arial" w:eastAsia="Arial" w:hAnsi="Arial"/>
          <w:sz w:val="17"/>
          <w:szCs w:val="17"/>
          <w:color w:val="auto"/>
        </w:rPr>
        <w:t xml:space="preserve">responsible for funding a minimum of $11,225,000. The Company has determined that the contract meets the criteria of ASC 912-730-05 </w:t>
      </w:r>
      <w:r>
        <w:rPr>
          <w:rFonts w:ascii="Arial" w:cs="Arial" w:eastAsia="Arial" w:hAnsi="Arial"/>
          <w:sz w:val="17"/>
          <w:szCs w:val="17"/>
          <w:i w:val="1"/>
          <w:iCs w:val="1"/>
          <w:color w:val="auto"/>
        </w:rPr>
        <w:t>Contractors – Federal Government</w:t>
      </w:r>
      <w:r>
        <w:rPr>
          <w:rFonts w:ascii="Arial" w:cs="Arial" w:eastAsia="Arial" w:hAnsi="Arial"/>
          <w:sz w:val="17"/>
          <w:szCs w:val="17"/>
          <w:color w:val="auto"/>
        </w:rPr>
        <w:t xml:space="preserve"> and, therefore, all reimbursements are recorded as an offset to research and development expense in the consolidated statements of income. Reimbursements under the contract were $3,424,000 and $8,102,000 for the fiscal years ended April 30, 2021 and 2020, respectively.</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Lease Accounting</w:t>
      </w:r>
    </w:p>
    <w:p>
      <w:pPr>
        <w:spacing w:after="0" w:line="216" w:lineRule="exact"/>
        <w:rPr>
          <w:sz w:val="20"/>
          <w:szCs w:val="20"/>
          <w:color w:val="auto"/>
        </w:rPr>
      </w:pPr>
    </w:p>
    <w:p>
      <w:pPr>
        <w:ind w:left="40" w:right="219" w:firstLine="648"/>
        <w:spacing w:after="0" w:line="286" w:lineRule="auto"/>
        <w:rPr>
          <w:sz w:val="20"/>
          <w:szCs w:val="20"/>
          <w:color w:val="auto"/>
        </w:rPr>
      </w:pPr>
      <w:r>
        <w:rPr>
          <w:rFonts w:ascii="Arial" w:cs="Arial" w:eastAsia="Arial" w:hAnsi="Arial"/>
          <w:sz w:val="17"/>
          <w:szCs w:val="17"/>
          <w:color w:val="auto"/>
        </w:rPr>
        <w:t>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65"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66"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19" w:firstLine="648"/>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pacing w:after="0" w:line="170" w:lineRule="exact"/>
        <w:rPr>
          <w:sz w:val="20"/>
          <w:szCs w:val="20"/>
          <w:color w:val="auto"/>
        </w:rPr>
      </w:pPr>
    </w:p>
    <w:p>
      <w:pPr>
        <w:jc w:val="both"/>
        <w:ind w:left="40" w:right="159" w:firstLine="648"/>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40" w:right="759" w:firstLine="648"/>
        <w:spacing w:after="0" w:line="342" w:lineRule="auto"/>
        <w:rPr>
          <w:sz w:val="20"/>
          <w:szCs w:val="20"/>
          <w:color w:val="auto"/>
        </w:rPr>
      </w:pPr>
      <w:r>
        <w:rPr>
          <w:rFonts w:ascii="Arial" w:cs="Arial" w:eastAsia="Arial" w:hAnsi="Arial"/>
          <w:sz w:val="16"/>
          <w:szCs w:val="16"/>
          <w:color w:val="auto"/>
        </w:rPr>
        <w:t>Advertising costs are expensed as incurred. Advertising expenses included in SG&amp;A expenses were approximately $451,000, $675,000 and $934,000 for the years ended April 30, 2022, 2021 and 2020, respectively.</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ind w:left="40" w:right="219" w:firstLine="648"/>
        <w:spacing w:after="0" w:line="286" w:lineRule="auto"/>
        <w:rPr>
          <w:sz w:val="20"/>
          <w:szCs w:val="20"/>
          <w:color w:val="auto"/>
        </w:rPr>
      </w:pPr>
      <w:r>
        <w:rPr>
          <w:rFonts w:ascii="Arial" w:cs="Arial" w:eastAsia="Arial" w:hAnsi="Arial"/>
          <w:sz w:val="17"/>
          <w:szCs w:val="17"/>
          <w:color w:val="auto"/>
        </w:rPr>
        <w:t>Foreign currency transaction gains and losses are charged or credited to earnings as incurred. For the fiscal years ended April 30, 2022, 2021 and 2020, foreign currency transaction losses that are included in other (expense) income, net in the accompanying statements of income were $242,000, $1,000, and $1,000, respectively.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jc w:val="both"/>
        <w:ind w:left="40" w:right="219" w:firstLine="648"/>
        <w:spacing w:after="0" w:line="263" w:lineRule="auto"/>
        <w:rPr>
          <w:sz w:val="20"/>
          <w:szCs w:val="20"/>
          <w:color w:val="auto"/>
        </w:rPr>
      </w:pPr>
      <w:r>
        <w:rPr>
          <w:rFonts w:ascii="Arial" w:cs="Arial" w:eastAsia="Arial" w:hAnsi="Arial"/>
          <w:sz w:val="18"/>
          <w:szCs w:val="18"/>
          <w:color w:val="auto"/>
        </w:rPr>
        <w:t>Basic (loss) earnings per share are computed using the weighted-average number of common shares outstanding and excludes any anti-dilutive effects of options, restricted stock and restricted stock units. The dilutive effect of potential common shares outstanding is included in diluted (loss) earnings per share.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Year Ended April 30,</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2022</w:t>
            </w:r>
          </w:p>
        </w:tc>
        <w:tc>
          <w:tcPr>
            <w:tcW w:w="1160" w:type="dxa"/>
            <w:vAlign w:val="bottom"/>
            <w:gridSpan w:val="2"/>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 attributable to AeroVironment, 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(4,188,000)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$ 23,331,000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$ 41,339,000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Discontinued operations, net of tax</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AeroVironment, Inc.</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(4,188,000)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$ 23,331,000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$ 41,074,000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Denominator for basic earnings per share:</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24,685,534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24,049,851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23,806,208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20" w:type="dxa"/>
            <w:vAlign w:val="bottom"/>
          </w:tcPr>
          <w:p>
            <w:pPr>
              <w:ind w:left="220"/>
              <w:spacing w:after="0" w:line="201" w:lineRule="exact"/>
              <w:rPr>
                <w:sz w:val="20"/>
                <w:szCs w:val="20"/>
                <w:color w:val="auto"/>
              </w:rPr>
            </w:pPr>
            <w:r>
              <w:rPr>
                <w:rFonts w:ascii="Arial" w:cs="Arial" w:eastAsia="Arial" w:hAnsi="Arial"/>
                <w:sz w:val="18"/>
                <w:szCs w:val="18"/>
                <w:color w:val="auto"/>
              </w:rPr>
              <w:t>Dilutive effect of employee stock options, restricted stock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restricted stock units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312,805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281,959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24,685,534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24,362,656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24,088,167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648"/>
        <w:spacing w:after="0" w:line="254" w:lineRule="auto"/>
        <w:rPr>
          <w:sz w:val="20"/>
          <w:szCs w:val="20"/>
          <w:color w:val="auto"/>
        </w:rPr>
      </w:pPr>
      <w:r>
        <w:rPr>
          <w:rFonts w:ascii="Arial" w:cs="Arial" w:eastAsia="Arial" w:hAnsi="Arial"/>
          <w:sz w:val="18"/>
          <w:szCs w:val="18"/>
          <w:color w:val="auto"/>
        </w:rPr>
        <w:t>During the years ended April 30, 2022, 2021 and 2020, certain options, shares of restricted stock and restricted stock units were not included in the computation of diluted earnings per share because their inclusion would have been anti-dilutive. Due to the net loss for the fiscal year ended April 30, 2022, no shares reserved for issuance upon exercise of stock options or shares of unvested restricted stock were included in the computation of diluted loss per share as their inclusion would have been anti-dilutive. The number of options, restricted stock and restricted stock units which met this anti-dilutive criterion was approximately 224,000, 3,000 and 3,000 for the years ended April 30, 2022, 2021 and 2020, respectively.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 xml:space="preserve">Effective May 1, 2021, the Company adopted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including removing the requirement to limit income tax expense (benefit) in an interim period to the full year projected amounts. The Company adopted ASU 2019-12 using the prospective method, applying the new guidance accounting for income taxes after adoption. The adoption of ASU 2019-12 did not have a material impact on the Company’s consolidated financial statements.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Contract Liabilities from Contracts with Customers </w:t>
      </w:r>
      <w:r>
        <w:rPr>
          <w:rFonts w:ascii="Arial" w:cs="Arial" w:eastAsia="Arial" w:hAnsi="Arial"/>
          <w:sz w:val="17"/>
          <w:szCs w:val="17"/>
          <w:color w:val="auto"/>
        </w:rPr>
        <w:t>(“ASU 2021-08”). ASU 2021-08 requires an acquirer to</w:t>
      </w:r>
      <w:r>
        <w:rPr>
          <w:rFonts w:ascii="Arial" w:cs="Arial" w:eastAsia="Arial" w:hAnsi="Arial"/>
          <w:sz w:val="17"/>
          <w:szCs w:val="17"/>
          <w:i w:val="1"/>
          <w:iCs w:val="1"/>
          <w:color w:val="auto"/>
        </w:rPr>
        <w:t xml:space="preserve"> </w:t>
      </w:r>
      <w:r>
        <w:rPr>
          <w:rFonts w:ascii="Arial" w:cs="Arial" w:eastAsia="Arial" w:hAnsi="Arial"/>
          <w:sz w:val="17"/>
          <w:szCs w:val="17"/>
          <w:color w:val="auto"/>
        </w:rPr>
        <w:t>apply the guidance in ASC 606, Revenue from Contracts with Customers, to recognize and measure contract assets and contract liabilities in a business combination, rather than using fair value. The new standard is effective for fiscal years, and interim periods within those fiscal years, beginning after December 15, 2022, with early adoption permitted. ASU 2021-08 is adopted prospectively and could impact future acquisitions.</w:t>
      </w:r>
    </w:p>
    <w:p>
      <w:pPr>
        <w:spacing w:after="0" w:line="174" w:lineRule="exact"/>
        <w:rPr>
          <w:sz w:val="20"/>
          <w:szCs w:val="20"/>
          <w:color w:val="auto"/>
        </w:rPr>
      </w:pPr>
    </w:p>
    <w:p>
      <w:pPr>
        <w:ind w:left="680" w:hanging="636"/>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16"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EES Business to Webasto pursuant to a Purchase Agreement between Webasto and the Company. In accordance with the terms of the Purchase Agreement, as amended by a side letter agreement executed at the closing, the Company received cash consideration of $31,994,000 upon closing. During the year ended April 30, 2020, the Company and Webasto engaged an independent accounting firm to resolve a working capital dispute. In June 2020, the independent accounting firm determined the final adjustment to the working capital dispute to be $341,000 which has been recorded net of tax as a loss of discontinued operations in the consolidated statements of income for the year ended April 30, 2020.</w:t>
      </w:r>
    </w:p>
    <w:p>
      <w:pPr>
        <w:spacing w:after="0" w:line="166" w:lineRule="exact"/>
        <w:rPr>
          <w:sz w:val="20"/>
          <w:szCs w:val="20"/>
          <w:color w:val="auto"/>
        </w:rPr>
      </w:pPr>
    </w:p>
    <w:p>
      <w:pPr>
        <w:ind w:left="40" w:right="219" w:firstLine="648"/>
        <w:spacing w:after="0" w:line="311" w:lineRule="auto"/>
        <w:rPr>
          <w:sz w:val="20"/>
          <w:szCs w:val="20"/>
          <w:color w:val="auto"/>
        </w:rPr>
      </w:pPr>
      <w:r>
        <w:rPr>
          <w:rFonts w:ascii="Arial" w:cs="Arial" w:eastAsia="Arial" w:hAnsi="Arial"/>
          <w:sz w:val="16"/>
          <w:szCs w:val="16"/>
          <w:color w:val="auto"/>
        </w:rPr>
        <w:t>The Company was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April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During the three months ended October 27, 2018, Webasto filed a recall report with the National Highway Traffic Safety Administration that named certain of the Company’s EES products as subject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79" w:lineRule="exact"/>
        <w:rPr>
          <w:sz w:val="20"/>
          <w:szCs w:val="20"/>
          <w:color w:val="auto"/>
        </w:rPr>
      </w:pPr>
    </w:p>
    <w:p>
      <w:pPr>
        <w:ind w:left="40" w:right="119" w:firstLine="648"/>
        <w:spacing w:after="0" w:line="290" w:lineRule="auto"/>
        <w:rPr>
          <w:sz w:val="20"/>
          <w:szCs w:val="20"/>
          <w:color w:val="auto"/>
        </w:rPr>
      </w:pPr>
      <w:r>
        <w:rPr>
          <w:rFonts w:ascii="Arial" w:cs="Arial" w:eastAsia="Arial" w:hAnsi="Arial"/>
          <w:sz w:val="16"/>
          <w:szCs w:val="16"/>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order to avoid the future cost, expense, and distraction of continued litigation, the Company engaged in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settlement negotiations with Webasto in May 2021. While the negotiations did not result in a settlement of any of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Company’s or Webasto’s claims at such time, as a result of the settlement negotiations, the Company established a litigation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reserve, which reflected the scope of a rejected offer intended to communicate the Company’s serious and good faith</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intention to attempt to reach a settlement for the stated purposes. The offer did not reflect the Company’s view of the merits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 the claims made; however, as a result of the preparation of the good faith offer and the Company’s willingness to pursue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 for that amount, the Company recorded litigation reserve expenses in the amount of $9,300,000 during the year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ended April 30, 2021 recorded in other (expense) income on the consolidated statements of (loss) income and in other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 on the consolidated balance sheet. On December 2, 2021, the Company agreed in principle, subject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formal documentation with Webasto, to settle all existing claims related to the sale of its former EES business for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$20,000,000 and Webasto keeping the Holdback. As a result of the agreement in principle to settle the litigation,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 recorded additional litigation reserve expenses in the amount of $10,000,000 during the three months ended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30, 2021 in other (expense) income on the consolidated statements of operations and in other current liabilities 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consolidated balance sheet. The Company executed a written settlement agreement with Webasto effective December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16, 2021 to officially and fully settle all claims in the lawsuit. Under the terms of the written settlement agreement,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Company’s payment of the settlement amount of $20,000,000 will occur over a 24 month period from the effective date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settlement agreement and Webasto will retain the Holdback. As of April 30, 2022, $5,000,000 of the settlement has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been paid.</w:t>
      </w:r>
    </w:p>
    <w:p>
      <w:pPr>
        <w:spacing w:after="0" w:line="211"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$0, $38,000 and $551,000 and has been recorded in other income, net in the consolidated statements of (loss) income for the fiscal years ended April 30,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The Company determined that the EES Business met the criteria for classification as an asset held for sale as of April 30, 2018 and represents a strategic shift in the Company’s operations. Therefore, the results of operations of the EES Business are reported as discontinued operations for all periods presented. The table below presents the statements of income data for the EES Business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Year Ended April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w w:val="93"/>
              </w:rPr>
              <w:t>Loss on sale of business, net of tax benefit of $76 for the year ended April 30,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3.</w:t>
            </w:r>
          </w:p>
        </w:tc>
        <w:tc>
          <w:tcPr>
            <w:tcW w:w="56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Investments</w:t>
            </w: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vMerge w:val="continue"/>
          </w:tcPr>
          <w:p>
            <w:pPr>
              <w:spacing w:after="0"/>
              <w:rPr>
                <w:sz w:val="24"/>
                <w:szCs w:val="24"/>
                <w:color w:val="auto"/>
              </w:rPr>
            </w:pPr>
          </w:p>
        </w:tc>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Investments consist of the following:</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CCEEFF"/>
            </w:tcBorders>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U.S. government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tcPr>
          <w:p>
            <w:pPr>
              <w:spacing w:after="0"/>
              <w:rPr>
                <w:sz w:val="21"/>
                <w:szCs w:val="21"/>
                <w:color w:val="auto"/>
              </w:rPr>
            </w:pPr>
          </w:p>
        </w:tc>
        <w:tc>
          <w:tcPr>
            <w:tcW w:w="5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U.S. government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available-for-sale investments</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limited partnership fund</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 method investments</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As of April 30, 2022 and 2021, the balance of available-for-sale securities consisted of state and local government municipal securities, U.S. government securities, U.S. government agency securities, and investment grade corporate bonds. Interest earned from these investments is recorded in interest (expense) income. Realized gains on sales of these investments on the basis of specific identification is recorded in interest (expense)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firstLine="648"/>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investments recorded in short-term and long-term investments as of April 30,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April 30, 2022</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April 30, 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20" w:type="dxa"/>
            <w:vAlign w:val="bottom"/>
            <w:gridSpan w:val="3"/>
          </w:tcPr>
          <w:p>
            <w:pPr>
              <w:jc w:val="center"/>
              <w:ind w:left="5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$ 19,756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$ 19,725</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$ 23,227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6"/>
              </w:rPr>
              <w:t>U.S. government securities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00" w:type="dxa"/>
            <w:vAlign w:val="bottom"/>
          </w:tcPr>
          <w:p>
            <w:pPr>
              <w:spacing w:after="0" w:line="182" w:lineRule="exact"/>
              <w:rPr>
                <w:sz w:val="20"/>
                <w:szCs w:val="20"/>
                <w:color w:val="auto"/>
              </w:rPr>
            </w:pPr>
            <w:r>
              <w:rPr>
                <w:rFonts w:ascii="Arial" w:cs="Arial" w:eastAsia="Arial" w:hAnsi="Arial"/>
                <w:sz w:val="18"/>
                <w:szCs w:val="18"/>
                <w:color w:val="auto"/>
              </w:rPr>
              <w:t>Total available-for-sale</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$ 24,751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$ 24,716</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$ 36,953</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140" w:type="dxa"/>
            <w:vAlign w:val="bottom"/>
            <w:gridSpan w:val="2"/>
            <w:vMerge w:val="restart"/>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36,959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00" w:type="dxa"/>
            <w:vAlign w:val="bottom"/>
          </w:tcPr>
          <w:p>
            <w:pPr>
              <w:spacing w:after="0"/>
              <w:rPr>
                <w:sz w:val="20"/>
                <w:szCs w:val="20"/>
                <w:color w:val="auto"/>
              </w:rPr>
            </w:pPr>
            <w:r>
              <w:rPr>
                <w:rFonts w:ascii="Arial" w:cs="Arial" w:eastAsia="Arial" w:hAnsi="Arial"/>
                <w:sz w:val="18"/>
                <w:szCs w:val="18"/>
                <w:color w:val="auto"/>
              </w:rPr>
              <w:t>investments</w:t>
            </w:r>
          </w:p>
        </w:tc>
        <w:tc>
          <w:tcPr>
            <w:tcW w:w="84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The amortized cost and fair value of the Company’s available-for-sale securities by contractual maturity at April 30, 2022,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80" w:hanging="636"/>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1040" w:right="33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1040" w:right="99" w:hanging="321"/>
        <w:spacing w:after="0" w:line="263"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Fair Value Measurement Using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Quoted prices in</w:t>
            </w:r>
          </w:p>
        </w:tc>
        <w:tc>
          <w:tcPr>
            <w:tcW w:w="16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$ 24,716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Contingently returnable consideration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24,716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April 30,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Quoted prices in</w:t>
            </w: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4"/>
                <w:szCs w:val="14"/>
                <w:b w:val="1"/>
                <w:bCs w:val="1"/>
                <w:color w:val="auto"/>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$ 36,959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79" w:firstLine="648"/>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left="264"/>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w w:val="92"/>
              </w:rPr>
              <w:t>Measurements Using Measurements Using</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w w:val="93"/>
              </w:rPr>
              <w:t>Unobservable Inputs Unobservable Inputs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520"/>
              <w:spacing w:after="0"/>
              <w:rPr>
                <w:sz w:val="20"/>
                <w:szCs w:val="20"/>
                <w:color w:val="auto"/>
              </w:rPr>
            </w:pPr>
            <w:r>
              <w:rPr>
                <w:rFonts w:ascii="Arial" w:cs="Arial" w:eastAsia="Arial" w:hAnsi="Arial"/>
                <w:sz w:val="14"/>
                <w:szCs w:val="14"/>
                <w:b w:val="1"/>
                <w:bCs w:val="1"/>
                <w:color w:val="auto"/>
                <w:w w:val="95"/>
              </w:rPr>
              <w:t>Assets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Description</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244"/>
              <w:spacing w:after="0" w:line="149" w:lineRule="exact"/>
              <w:rPr>
                <w:sz w:val="20"/>
                <w:szCs w:val="20"/>
                <w:color w:val="auto"/>
              </w:rPr>
            </w:pPr>
            <w:r>
              <w:rPr>
                <w:rFonts w:ascii="Arial" w:cs="Arial" w:eastAsia="Arial" w:hAnsi="Arial"/>
                <w:sz w:val="14"/>
                <w:szCs w:val="14"/>
                <w:b w:val="1"/>
                <w:bCs w:val="1"/>
                <w:color w:val="auto"/>
                <w:w w:val="94"/>
              </w:rPr>
              <w:t>(Level 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2021</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Business acquisition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losses (realized or 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selling, general and administrative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line="195" w:lineRule="exact"/>
              <w:rPr>
                <w:sz w:val="20"/>
                <w:szCs w:val="20"/>
                <w:color w:val="auto"/>
              </w:rPr>
            </w:pPr>
            <w:r>
              <w:rPr>
                <w:rFonts w:ascii="Arial" w:cs="Arial" w:eastAsia="Arial" w:hAnsi="Arial"/>
                <w:sz w:val="18"/>
                <w:szCs w:val="18"/>
                <w:color w:val="auto"/>
              </w:rPr>
              <w:t>The amount of total (gains) or losses for the period</w:t>
            </w: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included in earnings attributable to the change in 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6"/>
              </w:rPr>
              <w:t>gains or losses relating to assets or liabilities still held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April 30, 2022</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7"/>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The fair value measurement tables above have been corrected to present the fair value of the contingently returnable consideration associated with the acquisition of ISG of $479,000 as of April 30, 2021 and subsequent changes in fair value, which is recorded in other assets on the consolidated balance sheet. The tables previously included the fair value of the contingent consideration, rather than the returnable contingent consideration. The returnable contingent consideration represents the difference between the $6,000,000 cash consideration paid to the sellers in escrow and the fair value of the contingent consideration of $5,857,000 as of April 30, 2022.</w:t>
      </w:r>
    </w:p>
    <w:p>
      <w:pPr>
        <w:spacing w:after="0" w:line="178" w:lineRule="exact"/>
        <w:rPr>
          <w:sz w:val="20"/>
          <w:szCs w:val="20"/>
          <w:color w:val="auto"/>
        </w:rPr>
      </w:pPr>
    </w:p>
    <w:p>
      <w:pPr>
        <w:ind w:left="40" w:right="339" w:firstLine="648"/>
        <w:spacing w:after="0" w:line="301" w:lineRule="auto"/>
        <w:rPr>
          <w:sz w:val="20"/>
          <w:szCs w:val="20"/>
          <w:color w:val="auto"/>
        </w:rPr>
      </w:pPr>
      <w:r>
        <w:rPr>
          <w:rFonts w:ascii="Arial" w:cs="Arial" w:eastAsia="Arial" w:hAnsi="Arial"/>
          <w:sz w:val="16"/>
          <w:szCs w:val="16"/>
          <w:color w:val="auto"/>
        </w:rPr>
        <w:t>Pursuant to the ISG Purchase Agreement, the sellers may receive up to a maximum of $6,000,000 in additional cash consideration (“contingent consideration”), if certain revenue targets are achieved during the 3 years following closing. The contingent consideration was valued using a Black-Scholes option-pricing model. The analysis considered, among other items, contractual terms of the ISG Purchase Agreement, the Company’s discount rate, the timing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71" w:lineRule="auto"/>
        <w:rPr>
          <w:sz w:val="20"/>
          <w:szCs w:val="20"/>
          <w:color w:val="auto"/>
        </w:rPr>
      </w:pPr>
      <w:r>
        <w:rPr>
          <w:rFonts w:ascii="Arial" w:cs="Arial" w:eastAsia="Arial" w:hAnsi="Arial"/>
          <w:sz w:val="17"/>
          <w:szCs w:val="17"/>
          <w:color w:val="auto"/>
        </w:rPr>
        <w:t>expected future cash flows and the probability that the revenue targets required for payment of the contingent consideration will be achieved. During the fiscal year ended April 30, 2022, the target for the first and second years were achieved, and the related consideration of $2,000,000 for the first year was released from an escrow account that is not controlled by the Company and, therefore, not recorded on the consolidated balance sheet. The related consideration of $2,000,000 for the second year is in an escrow account not controlled by the Company and is expected to be released during the three months ended July 30, 2022. The fair value of the contingently returnable consideration is equal to the difference between the maximum value of the contingent consideration and the fair value of the contingent consideration and is recorded in other assets on the consolidated balance sheet.</w:t>
      </w:r>
    </w:p>
    <w:p>
      <w:pPr>
        <w:spacing w:after="0" w:line="178"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7"/>
          <w:szCs w:val="17"/>
          <w:color w:val="auto"/>
        </w:rPr>
        <w:t>Pursuant to the Telerob Purchase Agreement, the Telerob Sellers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first year earnout of €2,000,000 was not achieved. The fair value of the contingent consideration is recorded in other current liabilities on the consolidated balance sheet. See Note 21—Business Acquisitions.</w:t>
      </w:r>
    </w:p>
    <w:p>
      <w:pPr>
        <w:spacing w:after="0" w:line="174" w:lineRule="exact"/>
        <w:rPr>
          <w:sz w:val="20"/>
          <w:szCs w:val="20"/>
          <w:color w:val="auto"/>
        </w:rPr>
      </w:pPr>
    </w:p>
    <w:p>
      <w:pPr>
        <w:ind w:left="680" w:hanging="636"/>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28"/>
        </w:trPr>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4"/>
          </w:tcPr>
          <w:p>
            <w:pPr>
              <w:jc w:val="right"/>
              <w:ind w:right="313"/>
              <w:spacing w:after="0" w:line="12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13,825</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40" w:type="dxa"/>
            <w:vAlign w:val="bottom"/>
            <w:shd w:val="clear" w:color="auto" w:fill="CCEEFF"/>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Inventories, gross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102,963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81,935</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(10,289)</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90,629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71,646</w:t>
            </w:r>
          </w:p>
        </w:tc>
        <w:tc>
          <w:tcPr>
            <w:tcW w:w="4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99" w:firstLine="648"/>
        <w:spacing w:after="0" w:line="259" w:lineRule="auto"/>
        <w:rPr>
          <w:sz w:val="20"/>
          <w:szCs w:val="20"/>
          <w:color w:val="auto"/>
        </w:rPr>
      </w:pPr>
      <w:r>
        <w:rPr>
          <w:rFonts w:ascii="Arial" w:cs="Arial" w:eastAsia="Arial" w:hAnsi="Arial"/>
          <w:sz w:val="18"/>
          <w:szCs w:val="18"/>
          <w:color w:val="auto"/>
        </w:rPr>
        <w:t>For the fiscal years ended April 30, 2022, 2021 and 2020, the Company recorded inventory reserve charges of $2,271,000, $1,178,000 and $5,377,000, respectively. Of the $5,377,000 inventory reserve recorded during fiscal year ended April 30, 2020, approximately $2,600,000 related to an impairment of the remaining net book value of the Company’s Quantix commercial UAS solution.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6"/>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intangibles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Licenses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68,073</w:t>
            </w:r>
          </w:p>
        </w:tc>
        <w:tc>
          <w:tcPr>
            <w:tcW w:w="10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Backlog</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Arial" w:cs="Arial" w:eastAsia="Arial" w:hAnsi="Arial"/>
                <w:sz w:val="20"/>
                <w:szCs w:val="20"/>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116,872</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(10,604)</w:t>
            </w:r>
          </w:p>
        </w:tc>
      </w:tr>
      <w:tr>
        <w:trPr>
          <w:trHeight w:val="209"/>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The weighted average amortization period at April 30, 2022 and 2021 was four years and five years, respectively. Amortization expense for the years ended April 30, 2022, 2021 and 2020 was $26,558,000, $6,469,000 and $2,822,000, respectively.</w:t>
      </w:r>
    </w:p>
    <w:p>
      <w:pPr>
        <w:spacing w:after="0" w:line="188"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Technology, backlog and customer relationship intangible assets were recognized in conjunction with the Company’s acquisition of Telerob on May 3, 2021. Technology and customer relationship intangible assets were recognized in conjunction with the Company’s acquisition of Arcturus on February 19, 2021. Technology and customer relationship intangible assets were recognized in conjunction with the Company’s acquisition of ISG on February 23, 2021. Technology, in-process research and development, customer relationships, trademarks and tradenames, and non-compete agreements were recognized in conjunction with the Company’s acquisition of Pulse on June 10, 2019. Refer to Note 21 - Business Combinations for further details.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r>
      <w:tr>
        <w:trPr>
          <w:trHeight w:val="210"/>
        </w:trPr>
        <w:tc>
          <w:tcPr>
            <w:tcW w:w="6200" w:type="dxa"/>
            <w:vAlign w:val="bottom"/>
            <w:tcBorders>
              <w:top w:val="single" w:sz="8" w:color="CCEEFF"/>
            </w:tcBorders>
            <w:shd w:val="clear" w:color="auto" w:fill="CCEEFF"/>
          </w:tcPr>
          <w:p>
            <w:pPr>
              <w:jc w:val="right"/>
              <w:ind w:right="5750"/>
              <w:spacing w:after="0"/>
              <w:rPr>
                <w:sz w:val="20"/>
                <w:szCs w:val="20"/>
                <w:color w:val="auto"/>
              </w:rPr>
            </w:pPr>
            <w:r>
              <w:rPr>
                <w:rFonts w:ascii="Arial" w:cs="Arial" w:eastAsia="Arial" w:hAnsi="Arial"/>
                <w:sz w:val="18"/>
                <w:szCs w:val="18"/>
                <w:color w:val="auto"/>
                <w:w w:val="84"/>
              </w:rPr>
              <w:t>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jc w:val="right"/>
              <w:ind w:right="5750"/>
              <w:spacing w:after="0"/>
              <w:rPr>
                <w:sz w:val="20"/>
                <w:szCs w:val="20"/>
                <w:color w:val="auto"/>
              </w:rPr>
            </w:pPr>
            <w:r>
              <w:rPr>
                <w:rFonts w:ascii="Arial" w:cs="Arial" w:eastAsia="Arial" w:hAnsi="Arial"/>
                <w:sz w:val="18"/>
                <w:szCs w:val="18"/>
                <w:color w:val="auto"/>
                <w:w w:val="84"/>
              </w:rPr>
              <w:t>2024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26,870</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jc w:val="right"/>
              <w:ind w:right="5750"/>
              <w:spacing w:after="0"/>
              <w:rPr>
                <w:sz w:val="20"/>
                <w:szCs w:val="20"/>
                <w:color w:val="auto"/>
              </w:rPr>
            </w:pPr>
            <w:r>
              <w:rPr>
                <w:rFonts w:ascii="Arial" w:cs="Arial" w:eastAsia="Arial" w:hAnsi="Arial"/>
                <w:sz w:val="18"/>
                <w:szCs w:val="18"/>
                <w:color w:val="auto"/>
                <w:w w:val="84"/>
              </w:rPr>
              <w:t>2025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jc w:val="right"/>
              <w:ind w:right="5750"/>
              <w:spacing w:after="0"/>
              <w:rPr>
                <w:sz w:val="20"/>
                <w:szCs w:val="20"/>
                <w:color w:val="auto"/>
              </w:rPr>
            </w:pPr>
            <w:r>
              <w:rPr>
                <w:rFonts w:ascii="Arial" w:cs="Arial" w:eastAsia="Arial" w:hAnsi="Arial"/>
                <w:sz w:val="18"/>
                <w:szCs w:val="18"/>
                <w:color w:val="auto"/>
                <w:w w:val="84"/>
              </w:rPr>
              <w:t>2026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13,114</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jc w:val="right"/>
              <w:ind w:right="5750"/>
              <w:spacing w:after="0"/>
              <w:rPr>
                <w:sz w:val="20"/>
                <w:szCs w:val="20"/>
                <w:color w:val="auto"/>
              </w:rPr>
            </w:pPr>
            <w:r>
              <w:rPr>
                <w:rFonts w:ascii="Arial" w:cs="Arial" w:eastAsia="Arial" w:hAnsi="Arial"/>
                <w:sz w:val="18"/>
                <w:szCs w:val="18"/>
                <w:color w:val="auto"/>
                <w:w w:val="84"/>
              </w:rPr>
              <w:t>2027</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8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88,385</w:t>
            </w:r>
          </w:p>
        </w:tc>
        <w:tc>
          <w:tcPr>
            <w:tcW w:w="8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80" w:hanging="636"/>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20" w:type="dxa"/>
            <w:vAlign w:val="bottom"/>
            <w:gridSpan w:val="3"/>
          </w:tcPr>
          <w:p>
            <w:pPr>
              <w:ind w:left="1340"/>
              <w:spacing w:after="0"/>
              <w:rPr>
                <w:sz w:val="20"/>
                <w:szCs w:val="20"/>
                <w:color w:val="auto"/>
              </w:rPr>
            </w:pPr>
            <w:r>
              <w:rPr>
                <w:rFonts w:ascii="Arial" w:cs="Arial" w:eastAsia="Arial" w:hAnsi="Arial"/>
                <w:sz w:val="14"/>
                <w:szCs w:val="14"/>
                <w:b w:val="1"/>
                <w:bCs w:val="1"/>
                <w:color w:val="auto"/>
                <w:w w:val="93"/>
              </w:rPr>
              <w:t>Small UAS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TMS</w:t>
            </w:r>
          </w:p>
        </w:tc>
        <w:tc>
          <w:tcPr>
            <w:tcW w:w="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rPr>
              <w:t>MUAS</w:t>
            </w:r>
          </w:p>
        </w:tc>
        <w:tc>
          <w:tcPr>
            <w:tcW w:w="8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HAPS</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2021</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$ 288,611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$ 19,254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314,205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Additions to goodwill</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20,142</w:t>
            </w:r>
          </w:p>
        </w:tc>
      </w:tr>
      <w:tr>
        <w:trPr>
          <w:trHeight w:val="209"/>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2022</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$ 37,850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334,347</w:t>
            </w: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20" w:type="dxa"/>
            <w:vAlign w:val="bottom"/>
            <w:gridSpan w:val="3"/>
          </w:tcPr>
          <w:p>
            <w:pPr>
              <w:ind w:left="1340"/>
              <w:spacing w:after="0"/>
              <w:rPr>
                <w:sz w:val="20"/>
                <w:szCs w:val="20"/>
                <w:color w:val="auto"/>
              </w:rPr>
            </w:pPr>
            <w:r>
              <w:rPr>
                <w:rFonts w:ascii="Arial" w:cs="Arial" w:eastAsia="Arial" w:hAnsi="Arial"/>
                <w:sz w:val="14"/>
                <w:szCs w:val="14"/>
                <w:b w:val="1"/>
                <w:bCs w:val="1"/>
                <w:color w:val="auto"/>
                <w:w w:val="93"/>
              </w:rPr>
              <w:t>Small UAS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TMS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MUAS</w:t>
            </w:r>
          </w:p>
        </w:tc>
        <w:tc>
          <w:tcPr>
            <w:tcW w:w="8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HAPS</w:t>
            </w: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2020</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16"/>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to goodwill</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288,611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19,254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307,865</w:t>
            </w: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2021</w:t>
            </w: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288,611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19,254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314,205</w:t>
            </w: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The addition during the fiscal year ended April 30, 2022 to the MUAS segment relates to measurement period adjustments for pre-acquisition tax returns. The addition to All other goodwill is attributable to the Telerob acquisition, which was recorded in Euros and translated to dollars at each reporting date. The addition during the fiscal year ended April 30, 2021 to the MUAS segment is attributable to the Arcturus Acquisition, and the addition to All other is attributable to the ISG acquisition. The goodwill balance at April 30, 2020 is attributable to the acquisition of Pulse. Refer to Note 21— Business Acquisitions for further details.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8.</w:t>
            </w:r>
          </w:p>
        </w:tc>
        <w:tc>
          <w:tcPr>
            <w:tcW w:w="5600" w:type="dxa"/>
            <w:vAlign w:val="bottom"/>
            <w:gridSpan w:val="2"/>
          </w:tcPr>
          <w:p>
            <w:pPr>
              <w:ind w:left="26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net consist of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6"/>
          </w:tcPr>
          <w:p>
            <w:pPr>
              <w:ind w:left="50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right"/>
              <w:ind w:right="352"/>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In-service ISR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36,047</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53,943</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36,618</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184,430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151,698</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(122,134)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(92,802)</w:t>
            </w:r>
          </w:p>
        </w:tc>
        <w:tc>
          <w:tcPr>
            <w:tcW w:w="2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5600" w:type="dxa"/>
            <w:vAlign w:val="bottom"/>
            <w:gridSpan w:val="2"/>
          </w:tcPr>
          <w:p>
            <w:pPr>
              <w:ind w:left="6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58,896</w:t>
            </w:r>
          </w:p>
        </w:tc>
        <w:tc>
          <w:tcPr>
            <w:tcW w:w="2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Depreciation expense for the years ended April 30, 2022, 2021 and 2020 was $30,493,000, $12,793,000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$7,066,000, respectively. During the fiscal year ended April 30, 2022, the Company recorded losses on the disposal of 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service ISR assets which included the write-off of $1,378,000 of non-cash purchase accounting fair value adjustments.</w:t>
      </w:r>
    </w:p>
    <w:p>
      <w:pPr>
        <w:spacing w:after="0" w:line="218" w:lineRule="exact"/>
        <w:rPr>
          <w:sz w:val="20"/>
          <w:szCs w:val="20"/>
          <w:color w:val="auto"/>
        </w:rPr>
      </w:pPr>
    </w:p>
    <w:p>
      <w:pPr>
        <w:ind w:left="680" w:hanging="636"/>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Companies Accounted for Using the Equity Method</w:t>
      </w:r>
    </w:p>
    <w:p>
      <w:pPr>
        <w:spacing w:after="0" w:line="229" w:lineRule="exact"/>
        <w:rPr>
          <w:sz w:val="20"/>
          <w:szCs w:val="20"/>
          <w:color w:val="auto"/>
        </w:rPr>
      </w:pPr>
    </w:p>
    <w:p>
      <w:pPr>
        <w:ind w:left="40" w:right="59" w:firstLine="648"/>
        <w:spacing w:after="0" w:line="283" w:lineRule="auto"/>
        <w:rPr>
          <w:sz w:val="20"/>
          <w:szCs w:val="20"/>
          <w:color w:val="auto"/>
        </w:rPr>
      </w:pPr>
      <w:r>
        <w:rPr>
          <w:rFonts w:ascii="Arial" w:cs="Arial" w:eastAsia="Arial" w:hAnsi="Arial"/>
          <w:sz w:val="16"/>
          <w:szCs w:val="16"/>
          <w:color w:val="auto"/>
        </w:rPr>
        <w:t>In December 2017, the Company and SoftBank formed a joint venture, HAPSMobile, which is a Japanese corporation. Concurrent with the formation of HAPSMobile, the Company executed a Design and Development Agreement (the “DDA”) with HAPSMobile.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w:t>
      </w:r>
    </w:p>
    <w:p>
      <w:pPr>
        <w:spacing w:after="0" w:line="5" w:lineRule="exact"/>
        <w:rPr>
          <w:sz w:val="20"/>
          <w:szCs w:val="20"/>
          <w:color w:val="auto"/>
        </w:rPr>
      </w:pPr>
    </w:p>
    <w:p>
      <w:pPr>
        <w:ind w:left="40" w:right="119"/>
        <w:spacing w:after="0" w:line="290" w:lineRule="auto"/>
        <w:rPr>
          <w:sz w:val="20"/>
          <w:szCs w:val="20"/>
          <w:color w:val="auto"/>
        </w:rPr>
      </w:pPr>
      <w:r>
        <w:rPr>
          <w:rFonts w:ascii="Arial" w:cs="Arial" w:eastAsia="Arial" w:hAnsi="Arial"/>
          <w:sz w:val="16"/>
          <w:szCs w:val="16"/>
          <w:color w:val="auto"/>
        </w:rPr>
        <w:t>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 In March 2022, the Company sold it’s 7% equity interest in HAPSMobile to SoftBank, for 808,008,000 yen ($6,497,000) and a gain was recorded in sale of ownership in HAPSMobile Inc. joint venture. Following the sale, SoftBank owns 100% of HAPSMobile. As of April 30, 2022, the Company had no ownership stake in HAPSMobile.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w:t>
      </w:r>
    </w:p>
    <w:p>
      <w:pPr>
        <w:spacing w:after="0" w:line="187"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 On March 1, 2022, HAPSMobile repaid the Company the loan in full plus accrued interest in the amount of 503,832,000 yen ($4,345,000). The repayment resulted in equity method income during the fiscal year ended April 30, 2022 up to the extent of the previously recognized equity method losses associate with the loan.</w:t>
      </w:r>
    </w:p>
    <w:p>
      <w:pPr>
        <w:spacing w:after="0" w:line="184"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Prior to the sale of the equity interest, the Company had the ability to exercise significant influence over the operating and financial policies of HAPSMobile pursuant to the applicable Joint Venture Agreement and related organizational documents, and therefore, the Company’s investment was accounted for as an equity method investment. At April 30, 2022, 2021 and 2020, the Company recorded its ownership percentage of the net loss of HAPSMobile, or $0, $10,530,000 and $4,982,000, respectively, in equity method investment loss, net of tax in the consolidated statements of income. During the fiscal year ended April 30, 2021, the Company recorded its proportion of a loss for HAPSMobile’s impairment of its investment in Loon LLC in the amount of $8,363,000. HAPSMobile initially made its investment in Loon LLC in April 2019. The impairment recorded by HAPSMobile is included in realized and unrealized losses on investments in the summarized financial information shown below. At April 30, 2022 and 2021, the carrying value of the investment in HAPSMobile of $0 was recorded in other assets, long-term.</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July 2019, the Company made its initial capital contributions totaling $4,948,000 to a limited partnership fund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focusing on highly relevant technologies and start-up companies serving defense and industrial markets. The Company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made additional contributions of $2,377,000 and $2,675,000 during the fiscal years ended April 30, 2022 and 2021,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respectively. Under the terms of the limited partnership agreement, there are no further contribution commitments to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fund as of April 30, 2022. The Company accounts for investments in limited partnerships as equity method investments as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is deemed to have influence when it holds more than a minor interest. At April 30, 2022, 2021 and 2020,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 recorded its ownership percentage of the net gain (loss) of the limited partnership, or $5,889,000 $49,000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$(394,000), respectively, in equity method investment income (loss), net of deferred taxes of $1,300,000, $11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$111,000, respectively, in the consolidated statements of income. At April 30, 2022 and 2021, the carrying value of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the limited partnership of $15,433,000 and $7,168,000, respectively, was recorded in available-for-sale long-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term investments.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March 2022, the Company entered into a limited partnership agreement with a second limited partnership fund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also focusing on highly relevant technologies and start-up companies serving defense and industrial markets. Under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terms of the limited partnership agreement, the Company is committed to contributions totaling $20,000,000 over an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five year period. In May 2022, the Company made its initial capital contribution to the second fund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$2,774,000. The Company accounts for investments in limited partnerships as equity method investments as the Company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 deemed to have influence when it holds more than a minor interest.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Summarized financial information of the equity method investments, including HAPSMobile for the period of fiscal year 2022 prior to the sale of equity interest, are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6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140,178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65,717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648"/>
        </w:trPr>
        <w:tc>
          <w:tcPr>
            <w:tcW w:w="6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rPr>
              <w:t>Year Ended April 30,</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(13,113)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(1,241)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losses on investments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(131,971)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(7,028)</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w w:val="92"/>
              </w:rPr>
              <w:t>Net loss</w:t>
            </w:r>
          </w:p>
        </w:tc>
        <w:tc>
          <w:tcPr>
            <w:tcW w:w="55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40,349</w:t>
            </w:r>
          </w:p>
        </w:tc>
        <w:tc>
          <w:tcPr>
            <w:tcW w:w="60" w:type="dxa"/>
            <w:vAlign w:val="bottom"/>
          </w:tcPr>
          <w:p>
            <w:pPr>
              <w:spacing w:after="0"/>
              <w:rPr>
                <w:sz w:val="20"/>
                <w:szCs w:val="20"/>
                <w:color w:val="auto"/>
              </w:rPr>
            </w:pPr>
          </w:p>
        </w:tc>
        <w:tc>
          <w:tcPr>
            <w:tcW w:w="1020" w:type="dxa"/>
            <w:vAlign w:val="bottom"/>
            <w:gridSpan w:val="6"/>
          </w:tcPr>
          <w:p>
            <w:pPr>
              <w:jc w:val="right"/>
              <w:ind w:right="80"/>
              <w:spacing w:after="0"/>
              <w:rPr>
                <w:sz w:val="20"/>
                <w:szCs w:val="20"/>
                <w:color w:val="auto"/>
              </w:rPr>
            </w:pPr>
            <w:r>
              <w:rPr>
                <w:rFonts w:ascii="Arial" w:cs="Arial" w:eastAsia="Arial" w:hAnsi="Arial"/>
                <w:sz w:val="18"/>
                <w:szCs w:val="18"/>
                <w:color w:val="auto"/>
                <w:w w:val="99"/>
              </w:rPr>
              <w:t>$ (190,454)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(85,818)</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5580" w:type="dxa"/>
            <w:vAlign w:val="bottom"/>
          </w:tcPr>
          <w:p>
            <w:pPr>
              <w:ind w:left="100"/>
              <w:spacing w:after="0"/>
              <w:rPr>
                <w:sz w:val="20"/>
                <w:szCs w:val="20"/>
                <w:color w:val="auto"/>
              </w:rPr>
            </w:pPr>
            <w:r>
              <w:rPr>
                <w:rFonts w:ascii="Arial" w:cs="Arial" w:eastAsia="Arial" w:hAnsi="Arial"/>
                <w:sz w:val="18"/>
                <w:szCs w:val="18"/>
                <w:b w:val="1"/>
                <w:bCs w:val="1"/>
                <w:color w:val="auto"/>
              </w:rPr>
              <w:t>Warranty Reserves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Warranty reserve activity is summarized as follows: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6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April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29"/>
        </w:trPr>
        <w:tc>
          <w:tcPr>
            <w:tcW w:w="6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6"/>
          </w:tcPr>
          <w:p>
            <w:pPr>
              <w:jc w:val="right"/>
              <w:ind w:right="313"/>
              <w:spacing w:after="0" w:line="12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Balance acquired from acquisition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Warranty costs settled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(1,324)</w:t>
            </w:r>
          </w:p>
        </w:tc>
      </w:tr>
      <w:tr>
        <w:trPr>
          <w:trHeight w:val="210"/>
        </w:trPr>
        <w:tc>
          <w:tcPr>
            <w:tcW w:w="6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hanging="716"/>
        <w:spacing w:after="0"/>
        <w:tabs>
          <w:tab w:leader="none" w:pos="7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29"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$6,842,000, $5,764,000 and $4,744,000 in contributions to the plan for the years ended April 30, 2022, 2021 and 2020, respectively.</w:t>
      </w:r>
    </w:p>
    <w:p>
      <w:pPr>
        <w:spacing w:after="0" w:line="180" w:lineRule="exact"/>
        <w:rPr>
          <w:sz w:val="20"/>
          <w:szCs w:val="20"/>
          <w:color w:val="auto"/>
        </w:rPr>
      </w:pPr>
    </w:p>
    <w:p>
      <w:pPr>
        <w:ind w:left="700" w:hanging="656"/>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87" w:lineRule="exact"/>
        <w:rPr>
          <w:sz w:val="20"/>
          <w:szCs w:val="20"/>
          <w:color w:val="auto"/>
        </w:rPr>
      </w:pPr>
    </w:p>
    <w:p>
      <w:pPr>
        <w:ind w:left="40" w:right="159" w:firstLine="648"/>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379" w:firstLine="648"/>
        <w:spacing w:after="0" w:line="275" w:lineRule="auto"/>
        <w:rPr>
          <w:sz w:val="20"/>
          <w:szCs w:val="20"/>
          <w:color w:val="auto"/>
        </w:rPr>
      </w:pPr>
      <w:r>
        <w:rPr>
          <w:rFonts w:ascii="Arial" w:cs="Arial" w:eastAsia="Arial" w:hAnsi="Arial"/>
          <w:sz w:val="17"/>
          <w:szCs w:val="17"/>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76"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66"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w:t>
      </w:r>
    </w:p>
    <w:p>
      <w:pPr>
        <w:spacing w:after="0" w:line="192"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95"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First Amendment to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342" w:lineRule="auto"/>
        <w:rPr>
          <w:sz w:val="20"/>
          <w:szCs w:val="20"/>
          <w:color w:val="auto"/>
        </w:rPr>
      </w:pPr>
      <w:r>
        <w:rPr>
          <w:rFonts w:ascii="Arial" w:cs="Arial" w:eastAsia="Arial" w:hAnsi="Arial"/>
          <w:sz w:val="16"/>
          <w:szCs w:val="16"/>
          <w:color w:val="auto"/>
        </w:rPr>
        <w:t>an additional 2% default interest rate in addition to the applicable rate if specified or the Base Rate plus Applicable Margin if an applicable rate is not specified. As of April 30, 2022, the Company is in compliance with all amended covenants.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211"/>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147"/>
              <w:spacing w:after="0"/>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3"/>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47"/>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1,076</w:t>
            </w:r>
          </w:p>
        </w:tc>
        <w:tc>
          <w:tcPr>
            <w:tcW w:w="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6400" w:type="dxa"/>
            <w:vAlign w:val="bottom"/>
          </w:tcPr>
          <w:p>
            <w:pPr>
              <w:ind w:left="660"/>
              <w:spacing w:after="0"/>
              <w:rPr>
                <w:sz w:val="20"/>
                <w:szCs w:val="20"/>
                <w:color w:val="auto"/>
              </w:rPr>
            </w:pPr>
            <w:r>
              <w:rPr>
                <w:rFonts w:ascii="Arial" w:cs="Arial" w:eastAsia="Arial" w:hAnsi="Arial"/>
                <w:sz w:val="18"/>
                <w:szCs w:val="18"/>
                <w:color w:val="auto"/>
                <w:w w:val="95"/>
              </w:rPr>
              <w:t>Future long-term debt principal payments at April 30, 2022 were as follows: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0" w:right="199" w:firstLine="693"/>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7"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eight years, some of which may include options to extend the lease for up to 10 years, and some of which may include options to terminate the lease after two years. If the Company determines it is reasonably certain of exercising an option to extend or terminate, the option is included in the Company’s determination of lease assets and liabilities. For operating leases, the Company recognizes lease expense for these leases on a straight-line basis over the lease term.</w:t>
      </w:r>
    </w:p>
    <w:p>
      <w:pPr>
        <w:spacing w:after="0" w:line="166"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initial possession as the commencement date, which is generally when the Company is given the right of access to the space and begins to make improvements in preparation for intended use.</w:t>
      </w:r>
    </w:p>
    <w:p>
      <w:pPr>
        <w:spacing w:after="0" w:line="170" w:lineRule="exact"/>
        <w:rPr>
          <w:sz w:val="20"/>
          <w:szCs w:val="20"/>
          <w:color w:val="auto"/>
        </w:rPr>
      </w:pPr>
    </w:p>
    <w:p>
      <w:pPr>
        <w:ind w:left="40" w:right="339" w:firstLine="648"/>
        <w:spacing w:after="0" w:line="277" w:lineRule="auto"/>
        <w:rPr>
          <w:sz w:val="20"/>
          <w:szCs w:val="20"/>
          <w:color w:val="auto"/>
        </w:rPr>
      </w:pPr>
      <w:r>
        <w:rPr>
          <w:rFonts w:ascii="Arial" w:cs="Arial" w:eastAsia="Arial" w:hAnsi="Arial"/>
          <w:sz w:val="18"/>
          <w:szCs w:val="18"/>
          <w:color w:val="auto"/>
        </w:rPr>
        <w:t>The Company does not have any material finance leases, restrictions or covenants in its lease agreements, sale-leaseback transactions, land easements or residual value guarantees.</w:t>
      </w:r>
    </w:p>
    <w:p>
      <w:pPr>
        <w:spacing w:after="0" w:line="170" w:lineRule="exact"/>
        <w:rPr>
          <w:sz w:val="20"/>
          <w:szCs w:val="20"/>
          <w:color w:val="auto"/>
        </w:rPr>
      </w:pPr>
    </w:p>
    <w:p>
      <w:pPr>
        <w:jc w:val="both"/>
        <w:ind w:left="40" w:right="159" w:firstLine="648"/>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7"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April 30,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Short term lease cost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640"/>
              <w:spacing w:after="0"/>
              <w:rPr>
                <w:sz w:val="20"/>
                <w:szCs w:val="20"/>
                <w:color w:val="auto"/>
              </w:rPr>
            </w:pPr>
            <w:r>
              <w:rPr>
                <w:rFonts w:ascii="Arial" w:cs="Arial" w:eastAsia="Arial" w:hAnsi="Arial"/>
                <w:sz w:val="18"/>
                <w:szCs w:val="18"/>
                <w:color w:val="auto"/>
              </w:rPr>
              <w:t>Supplemental lease information was as follows:</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ind w:right="5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April 30,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operating lease liabilities</w:t>
            </w:r>
          </w:p>
        </w:tc>
        <w:tc>
          <w:tcPr>
            <w:tcW w:w="4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48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10,238</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 months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80" w:type="dxa"/>
            <w:vAlign w:val="bottom"/>
            <w:gridSpan w:val="6"/>
          </w:tcPr>
          <w:p>
            <w:pPr>
              <w:ind w:left="640"/>
              <w:spacing w:after="0"/>
              <w:rPr>
                <w:sz w:val="20"/>
                <w:szCs w:val="20"/>
                <w:color w:val="auto"/>
              </w:rPr>
            </w:pPr>
            <w:r>
              <w:rPr>
                <w:rFonts w:ascii="Arial" w:cs="Arial" w:eastAsia="Arial" w:hAnsi="Arial"/>
                <w:sz w:val="18"/>
                <w:szCs w:val="18"/>
                <w:color w:val="auto"/>
                <w:w w:val="97"/>
              </w:rPr>
              <w:t>Maturities of operating lease liabilities as of April 30, 2022 were as follows (in thousands):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For the years ended April 30, 2022, 2021 and 2020, the Company recorded stock-based compensation expense of approximately $5,390,000, $6,932,000 and $6,227,000, respectively.</w:t>
      </w:r>
    </w:p>
    <w:p>
      <w:pPr>
        <w:spacing w:after="0" w:line="170" w:lineRule="exact"/>
        <w:rPr>
          <w:sz w:val="20"/>
          <w:szCs w:val="20"/>
          <w:color w:val="auto"/>
        </w:rPr>
      </w:pPr>
    </w:p>
    <w:p>
      <w:pPr>
        <w:ind w:left="40" w:right="119" w:firstLine="648"/>
        <w:spacing w:after="0" w:line="308" w:lineRule="auto"/>
        <w:rPr>
          <w:sz w:val="20"/>
          <w:szCs w:val="20"/>
          <w:color w:val="auto"/>
        </w:rPr>
      </w:pPr>
      <w:r>
        <w:rPr>
          <w:rFonts w:ascii="Arial" w:cs="Arial" w:eastAsia="Arial" w:hAnsi="Arial"/>
          <w:sz w:val="17"/>
          <w:szCs w:val="17"/>
          <w:color w:val="auto"/>
        </w:rPr>
        <w:t>On September 24, 2021, the stockholders of the Company approved the 2021 Equity Incentive Plan (“2021 Plan”) effective September 24, 2021, for officers, directors, key employees and consultants. Under the 2021 Plan,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incentive stock options, nonqualified stock options, restricted stock awards, stock appreciation right awards, performance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 awards, performance stock unit awards, dividend equivalents awards, stock payment awards, deferred stock awards,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stock unit awards, other stock-based awards, performance bonus awards or performance-based awards may be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granted at the discretion of the compensation committee, which consists of outside directors. The sum of any cash</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compensation, or other compensation, and the value of awards granted to a non-employee director as compensation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services as a non-employee director during any fiscal year may not exceed $500,000, which amount is increased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$700,000 in the fiscal year of a non-employee director’s initial year of service as a non-employee director. The exercise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price for any incentive stock option shall not be less than 100% of the fair market value on the date of grant. Vesting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awards is established at the time of grant.</w:t>
      </w:r>
    </w:p>
    <w:p>
      <w:pPr>
        <w:spacing w:after="0" w:line="211"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On January 14, 2007, the stockholders of the Company approved the 2006 Equity Incentive Plan (“2006 Plan”) effective January 21, 2007, for officers, directors, key employees and consultants. On September 29, 2011, the stockholders of the Company approved an amendment and restatement of the 2006 Plan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performance-based award during any twelve month period. The exercise price for any incentive stock option shall not be less than 100% of the fair market value on the date of grant. Vesting of awards is established at the time of grant. The Restated 2006 Plan expired in July 2021.</w:t>
      </w:r>
    </w:p>
    <w:p>
      <w:pPr>
        <w:spacing w:after="0" w:line="186" w:lineRule="exact"/>
        <w:rPr>
          <w:sz w:val="20"/>
          <w:szCs w:val="20"/>
          <w:color w:val="auto"/>
        </w:rPr>
      </w:pPr>
    </w:p>
    <w:p>
      <w:pPr>
        <w:jc w:val="both"/>
        <w:ind w:left="40" w:right="299" w:firstLine="648"/>
        <w:spacing w:after="0" w:line="255" w:lineRule="auto"/>
        <w:rPr>
          <w:sz w:val="20"/>
          <w:szCs w:val="20"/>
          <w:color w:val="auto"/>
        </w:rPr>
      </w:pPr>
      <w:r>
        <w:rPr>
          <w:rFonts w:ascii="Arial" w:cs="Arial" w:eastAsia="Arial" w:hAnsi="Arial"/>
          <w:sz w:val="18"/>
          <w:szCs w:val="18"/>
          <w:color w:val="auto"/>
        </w:rPr>
        <w:t>The Company had an equity incentive plan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became exercisable at various times over a five-year period from the grant date. The 2002 Plan was terminated on the effective date of the 2006 Plan. No additional awards may be made under the 2002 Plan.</w:t>
      </w:r>
    </w:p>
    <w:p>
      <w:pPr>
        <w:spacing w:after="0" w:line="192"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The Company had a 1992 nonqualified stock option plan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187"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The fair value of stock options granted previously was estimated at the grant date using the Black-Scholes option pricing model. Assumptions included in the Black-Scholes option pricing model included the expected term of stock options, the expected volatility, the risk 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 free interest rate is based on the implied yield on a U.S. Treasury zero-coupon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related to the stock option plans at April 30, 2022, 2021 and 2020, and for the years then ended is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b w:val="1"/>
                <w:bCs w:val="1"/>
                <w:color w:val="auto"/>
              </w:rPr>
              <w:t>Restated 2006 Plan</w:t>
            </w:r>
          </w:p>
        </w:tc>
        <w:tc>
          <w:tcPr>
            <w:tcW w:w="1580" w:type="dxa"/>
            <w:vAlign w:val="bottom"/>
            <w:gridSpan w:val="5"/>
          </w:tcPr>
          <w:p>
            <w:pPr>
              <w:ind w:left="420"/>
              <w:spacing w:after="0"/>
              <w:rPr>
                <w:sz w:val="20"/>
                <w:szCs w:val="20"/>
                <w:color w:val="auto"/>
              </w:rPr>
            </w:pPr>
            <w:r>
              <w:rPr>
                <w:rFonts w:ascii="Arial" w:cs="Arial" w:eastAsia="Arial" w:hAnsi="Arial"/>
                <w:sz w:val="14"/>
                <w:szCs w:val="14"/>
                <w:b w:val="1"/>
                <w:bCs w:val="1"/>
                <w:color w:val="auto"/>
              </w:rPr>
              <w:t>2002 Plan</w:t>
            </w:r>
          </w:p>
        </w:tc>
        <w:tc>
          <w:tcPr>
            <w:tcW w:w="1520" w:type="dxa"/>
            <w:vAlign w:val="bottom"/>
            <w:gridSpan w:val="6"/>
          </w:tcPr>
          <w:p>
            <w:pPr>
              <w:ind w:left="420"/>
              <w:spacing w:after="0"/>
              <w:rPr>
                <w:sz w:val="20"/>
                <w:szCs w:val="20"/>
                <w:color w:val="auto"/>
              </w:rPr>
            </w:pPr>
            <w:r>
              <w:rPr>
                <w:rFonts w:ascii="Arial" w:cs="Arial" w:eastAsia="Arial" w:hAnsi="Arial"/>
                <w:sz w:val="14"/>
                <w:szCs w:val="14"/>
                <w:b w:val="1"/>
                <w:bCs w:val="1"/>
                <w:color w:val="auto"/>
              </w:rPr>
              <w:t>1992 Plan</w:t>
            </w: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Average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Exercise</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(114,362)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Options exercisable at April 30, 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$ 24.78</w:t>
            </w:r>
          </w:p>
        </w:tc>
        <w:tc>
          <w:tcPr>
            <w:tcW w:w="140" w:type="dxa"/>
            <w:vAlign w:val="bottom"/>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The total intrinsic value of all options exercised during the years ended April 30, 2022, 2021 and 2020 was approximately $4,785,000, $4,828,000, and $833,000, respectively. The intrinsic value of all options outstanding at April 30, 2022 and 2021 was $9,229,000 and $24,068,000, respectively. The intrinsic value of all exercisable options at April 30, 2022 and 2021 was $9,229,000 and $24,068,000, respectively.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had zero non-vested stock options as of April 30, 2022 and the year then ended.</w:t>
      </w:r>
    </w:p>
    <w:p>
      <w:pPr>
        <w:spacing w:after="0" w:line="225" w:lineRule="exact"/>
        <w:rPr>
          <w:sz w:val="20"/>
          <w:szCs w:val="20"/>
          <w:color w:val="auto"/>
        </w:rPr>
      </w:pPr>
    </w:p>
    <w:p>
      <w:pPr>
        <w:jc w:val="both"/>
        <w:ind w:left="40" w:right="259" w:firstLine="648"/>
        <w:spacing w:after="0" w:line="286" w:lineRule="auto"/>
        <w:rPr>
          <w:sz w:val="20"/>
          <w:szCs w:val="20"/>
          <w:color w:val="auto"/>
        </w:rPr>
      </w:pPr>
      <w:r>
        <w:rPr>
          <w:rFonts w:ascii="Arial" w:cs="Arial" w:eastAsia="Arial" w:hAnsi="Arial"/>
          <w:sz w:val="17"/>
          <w:szCs w:val="17"/>
          <w:color w:val="auto"/>
        </w:rPr>
        <w:t>As of April 30, 2022, there was approximately $10,583,000 of total unrecognized compensation cost related to non-vested share-based compensation awards granted under the equity plans. That cost is expected to be recognized over an approximately two-year period or a weighted average period of approximately 2.1 years.</w:t>
      </w:r>
    </w:p>
    <w:p>
      <w:pPr>
        <w:spacing w:after="0" w:line="165" w:lineRule="exact"/>
        <w:rPr>
          <w:sz w:val="20"/>
          <w:szCs w:val="20"/>
          <w:color w:val="auto"/>
        </w:rPr>
      </w:pPr>
    </w:p>
    <w:p>
      <w:pPr>
        <w:ind w:left="40" w:right="519" w:firstLine="648"/>
        <w:spacing w:after="0" w:line="263" w:lineRule="auto"/>
        <w:rPr>
          <w:sz w:val="20"/>
          <w:szCs w:val="20"/>
          <w:color w:val="auto"/>
        </w:rPr>
      </w:pPr>
      <w:r>
        <w:rPr>
          <w:rFonts w:ascii="Arial" w:cs="Arial" w:eastAsia="Arial" w:hAnsi="Arial"/>
          <w:sz w:val="18"/>
          <w:szCs w:val="18"/>
          <w:color w:val="auto"/>
        </w:rPr>
        <w:t>No options were granted during the fiscal years ended April 30, 2022, 2021 and 2020. The total fair value of shares vesting during the years ended April 30, 2022, 2021 and 2020 was $5,901,000, $5,312,000 and $4,900,000, respectively.</w:t>
      </w:r>
    </w:p>
    <w:p>
      <w:pPr>
        <w:spacing w:after="0" w:line="184"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7"/>
          <w:szCs w:val="17"/>
          <w:color w:val="auto"/>
        </w:rPr>
        <w:t>Proceeds from all option exercises under all stock option plans for the years ended April 30, 2022, 2021 and 2020 were approximately $2,776,000, $1,522,000 and $100,000, respectively. The tax benefit realized from stock-based compensation was $0 during the years ended April 30, 2022, 2021 and 2020, respectively.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tabulation summarizes certain information concerning outstanding and exercisable options at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3"/>
              </w:rPr>
              <w:t>Options Outstanding</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ind w:left="8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Remaining</w:t>
            </w:r>
          </w:p>
        </w:tc>
        <w:tc>
          <w:tcPr>
            <w:tcW w:w="20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Weighted</w:t>
            </w:r>
          </w:p>
        </w:tc>
        <w:tc>
          <w:tcPr>
            <w:tcW w:w="13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218"/>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Average</w:t>
            </w: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Life In</w:t>
            </w:r>
          </w:p>
        </w:tc>
        <w:tc>
          <w:tcPr>
            <w:tcW w:w="2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April 30,</w:t>
            </w:r>
          </w:p>
        </w:tc>
        <w:tc>
          <w:tcPr>
            <w:tcW w:w="2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18.07 -</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18.33 -</w:t>
            </w:r>
          </w:p>
        </w:tc>
        <w:tc>
          <w:tcPr>
            <w:tcW w:w="760" w:type="dxa"/>
            <w:vAlign w:val="bottom"/>
          </w:tcPr>
          <w:p>
            <w:pPr>
              <w:jc w:val="right"/>
              <w:spacing w:after="0"/>
              <w:rPr>
                <w:sz w:val="20"/>
                <w:szCs w:val="20"/>
                <w:color w:val="auto"/>
              </w:rPr>
            </w:pPr>
            <w:r>
              <w:rPr>
                <w:rFonts w:ascii="Arial" w:cs="Arial" w:eastAsia="Arial" w:hAnsi="Arial"/>
                <w:sz w:val="18"/>
                <w:szCs w:val="18"/>
                <w:color w:val="auto"/>
              </w:rPr>
              <w:t>22.64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22.65 -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27.00 -</w:t>
            </w:r>
          </w:p>
        </w:tc>
        <w:tc>
          <w:tcPr>
            <w:tcW w:w="760" w:type="dxa"/>
            <w:vAlign w:val="bottom"/>
          </w:tcPr>
          <w:p>
            <w:pPr>
              <w:jc w:val="right"/>
              <w:spacing w:after="0"/>
              <w:rPr>
                <w:sz w:val="20"/>
                <w:szCs w:val="20"/>
                <w:color w:val="auto"/>
              </w:rPr>
            </w:pPr>
            <w:r>
              <w:rPr>
                <w:rFonts w:ascii="Arial" w:cs="Arial" w:eastAsia="Arial" w:hAnsi="Arial"/>
                <w:sz w:val="18"/>
                <w:szCs w:val="18"/>
                <w:color w:val="auto"/>
              </w:rPr>
              <w:t>29.27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29.28 -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rPr>
              <w:t>18.07 -</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166,164</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166,164</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remaining weighted average contractual life of exercisable options at April 30, 2022 was 1.93 years.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related to the Company’s restricted stock awards at April 30, 2022 and for the year then ended is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4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2021 Plan</w:t>
            </w:r>
          </w:p>
        </w:tc>
        <w:tc>
          <w:tcPr>
            <w:tcW w:w="100" w:type="dxa"/>
            <w:vAlign w:val="bottom"/>
          </w:tcPr>
          <w:p>
            <w:pPr>
              <w:spacing w:after="0"/>
              <w:rPr>
                <w:sz w:val="14"/>
                <w:szCs w:val="14"/>
                <w:color w:val="auto"/>
              </w:rPr>
            </w:pPr>
          </w:p>
        </w:tc>
        <w:tc>
          <w:tcPr>
            <w:tcW w:w="1600" w:type="dxa"/>
            <w:vAlign w:val="bottom"/>
            <w:gridSpan w:val="8"/>
          </w:tcPr>
          <w:p>
            <w:pPr>
              <w:ind w:left="180"/>
              <w:spacing w:after="0"/>
              <w:rPr>
                <w:sz w:val="20"/>
                <w:szCs w:val="20"/>
                <w:color w:val="auto"/>
              </w:rPr>
            </w:pPr>
            <w:r>
              <w:rPr>
                <w:rFonts w:ascii="Arial" w:cs="Arial" w:eastAsia="Arial" w:hAnsi="Arial"/>
                <w:sz w:val="14"/>
                <w:szCs w:val="14"/>
                <w:b w:val="1"/>
                <w:bCs w:val="1"/>
                <w:color w:val="auto"/>
              </w:rPr>
              <w:t>Restated 2006 Plan</w:t>
            </w: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4"/>
          </w:tcPr>
          <w:p>
            <w:pPr>
              <w:jc w:val="center"/>
              <w:ind w:left="88"/>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180,028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Stock 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47,026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75.66</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57,376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Stock canceled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74.27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(30,170)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45,076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112,845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920" w:type="dxa"/>
            <w:vAlign w:val="bottom"/>
            <w:gridSpan w:val="15"/>
          </w:tcPr>
          <w:p>
            <w:pPr>
              <w:ind w:left="660"/>
              <w:spacing w:after="0"/>
              <w:rPr>
                <w:sz w:val="20"/>
                <w:szCs w:val="20"/>
                <w:color w:val="auto"/>
              </w:rPr>
            </w:pPr>
            <w:r>
              <w:rPr>
                <w:rFonts w:ascii="Arial" w:cs="Arial" w:eastAsia="Arial" w:hAnsi="Arial"/>
                <w:sz w:val="18"/>
                <w:szCs w:val="18"/>
                <w:color w:val="auto"/>
                <w:w w:val="94"/>
              </w:rPr>
              <w:t>Information related to the Company’s restricted stock units at April 30, 2022 and for the year then ended is as</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follows: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ind w:left="20"/>
              <w:spacing w:after="0"/>
              <w:rPr>
                <w:sz w:val="20"/>
                <w:szCs w:val="20"/>
                <w:color w:val="auto"/>
              </w:rPr>
            </w:pPr>
            <w:r>
              <w:rPr>
                <w:rFonts w:ascii="Arial" w:cs="Arial" w:eastAsia="Arial" w:hAnsi="Arial"/>
                <w:sz w:val="14"/>
                <w:szCs w:val="14"/>
                <w:b w:val="1"/>
                <w:bCs w:val="1"/>
                <w:color w:val="auto"/>
              </w:rPr>
              <w:t>Restated 2006 Plan</w:t>
            </w: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8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2021</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Stock granted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Stock canceled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2022</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Awards</w:t>
      </w:r>
    </w:p>
    <w:p>
      <w:pPr>
        <w:spacing w:after="0" w:line="229"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performance-based restricted stock units (“PRSUs”), which vest based on the Company’s achievement of revenue and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54" w:lineRule="auto"/>
        <w:rPr>
          <w:sz w:val="20"/>
          <w:szCs w:val="20"/>
          <w:color w:val="auto"/>
        </w:rPr>
      </w:pPr>
      <w:r>
        <w:rPr>
          <w:rFonts w:ascii="Arial" w:cs="Arial" w:eastAsia="Arial" w:hAnsi="Arial"/>
          <w:sz w:val="18"/>
          <w:szCs w:val="18"/>
          <w:color w:val="auto"/>
        </w:rPr>
        <w:t>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 ended April 30, 2022, the Company recorded $752,000 of compensation expense related to the Fiscal 2022 LTIP. At April 30, 2022, the maximum compensation expense that may be recorded for the performance-based portion of the Fiscal 2022 LTIP is $10,473,000.</w:t>
      </w:r>
    </w:p>
    <w:p>
      <w:pPr>
        <w:spacing w:after="0" w:line="195"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 (ii) 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 ended April 30, 2022, the Company recorded a reversal of $(634,000) compensation expense related to the Fiscal 2021 LTIP. During the fiscal year ended April 30, 2021, the Company recorded $1,072,000 of compensation expense related to the Fiscal 2021 LTIP. At April 30, 2022, the maximum compensation expense that may be recorded for the performance-based portion of the Fiscal 2021 LTIP is $6,021,000.</w:t>
      </w:r>
    </w:p>
    <w:p>
      <w:pPr>
        <w:spacing w:after="0" w:line="182"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During the three months ended July 27, 2019, the Company granted awards under its amended and restated 2006 Equity Incentive Plan (the “Restated 2006 Plan”) to key employees (“Fiscal 2020 LTIP”). Awards under the Fiscal 2020 LTIP consist of: (i) time-based restricted stock awards, which vest in equal tranches in July 2020, July 2021 and July 2022, and (ii) performance-based restricted stock units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 ended April 30, 2022, the Company recorded a reversal of $(701,000) compensation expense related to the Fiscal 2020 LTIP. During the fiscal years ended April 30, 2021 and 2020, the Company recorded $620,000 and $649,000 of compensation expense related to the Fiscal 2020 LTIP, respectively. At April 30, 2022, the maximum compensation expense that may be recorded for the performance-based portion of the Fiscal 2020 LTIP is $3,335,000.</w:t>
      </w:r>
    </w:p>
    <w:p>
      <w:pPr>
        <w:spacing w:after="0" w:line="167" w:lineRule="exact"/>
        <w:rPr>
          <w:sz w:val="20"/>
          <w:szCs w:val="20"/>
          <w:color w:val="auto"/>
        </w:rPr>
      </w:pPr>
    </w:p>
    <w:p>
      <w:pPr>
        <w:ind w:left="40" w:right="219" w:firstLine="648"/>
        <w:spacing w:after="0" w:line="271" w:lineRule="auto"/>
        <w:rPr>
          <w:sz w:val="20"/>
          <w:szCs w:val="20"/>
          <w:color w:val="auto"/>
        </w:rPr>
      </w:pPr>
      <w:r>
        <w:rPr>
          <w:rFonts w:ascii="Arial" w:cs="Arial" w:eastAsia="Arial" w:hAnsi="Arial"/>
          <w:sz w:val="17"/>
          <w:szCs w:val="17"/>
          <w:color w:val="auto"/>
        </w:rPr>
        <w:t>During the three months ended July 28, 2018, the Company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During the three months ended July 31, 2021, the Company issued a total of 12,101 fully-vested shares of common stock to settle the PRSUs in the Fiscal 2019 LTIP. No compensation expense was recorded during fiscal year ended April 30, 2022 for the Fiscal 2019 LTIP. During the fiscal years ended April 30, 2021 and 2020, the Company recorded $368,000, and $386,000 of compensation expense related to the Fiscal 2019 LTIP, respectively.</w:t>
      </w:r>
    </w:p>
    <w:p>
      <w:pPr>
        <w:spacing w:after="0" w:line="178"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6"/>
          <w:szCs w:val="16"/>
          <w:color w:val="auto"/>
        </w:rPr>
        <w:t>During the three months ended July 29, 2017, the Company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During the three months ended August 1, 2020, the Company issued a total of 16,228 fully-vested shares of common stock to settle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19"/>
        <w:spacing w:after="0" w:line="263" w:lineRule="auto"/>
        <w:rPr>
          <w:sz w:val="20"/>
          <w:szCs w:val="20"/>
          <w:color w:val="auto"/>
        </w:rPr>
      </w:pPr>
      <w:r>
        <w:rPr>
          <w:rFonts w:ascii="Arial" w:cs="Arial" w:eastAsia="Arial" w:hAnsi="Arial"/>
          <w:sz w:val="18"/>
          <w:szCs w:val="18"/>
          <w:color w:val="auto"/>
        </w:rPr>
        <w:t>PRSUs in the Fiscal 2018 LTIP. No compensation expense was recorded during fiscal years ended April 30, 2022 or 2021 for the Fiscal 2018 LTIP. During the fiscal years ended April 30, 2020, the Company recorded $193,000 of compensation expense related to the Fiscal 2018 LTIP</w:t>
      </w:r>
    </w:p>
    <w:p>
      <w:pPr>
        <w:spacing w:after="0" w:line="184"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At April 30, 2022 and 2021, the Company recorded cumulative stock-based compensation expense from these long-term incentive awards of $4,594,000 and $5,177,000,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57" w:lineRule="exact"/>
        <w:rPr>
          <w:sz w:val="20"/>
          <w:szCs w:val="20"/>
          <w:color w:val="auto"/>
        </w:rPr>
      </w:pPr>
    </w:p>
    <w:p>
      <w:pPr>
        <w:ind w:left="720" w:hanging="676"/>
        <w:spacing w:after="0"/>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income before income taxes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52,730</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Foreign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(8,956)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52,670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(5,487)</w:t>
            </w:r>
          </w:p>
        </w:tc>
      </w:tr>
      <w:tr>
        <w:trPr>
          <w:trHeight w:val="224"/>
        </w:trPr>
        <w:tc>
          <w:tcPr>
            <w:tcW w:w="6380" w:type="dxa"/>
            <w:vAlign w:val="bottom"/>
          </w:tcPr>
          <w:p>
            <w:pPr>
              <w:spacing w:after="0"/>
              <w:rPr>
                <w:sz w:val="20"/>
                <w:szCs w:val="20"/>
                <w:color w:val="auto"/>
              </w:rPr>
            </w:pPr>
            <w:r>
              <w:rPr>
                <w:rFonts w:ascii="Arial" w:cs="Arial" w:eastAsia="Arial" w:hAnsi="Arial"/>
                <w:sz w:val="18"/>
                <w:szCs w:val="18"/>
                <w:color w:val="auto"/>
              </w:rPr>
              <w:t>Total income from continuing operations before income taxes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(13,254)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47,183</w:t>
            </w:r>
          </w:p>
        </w:tc>
        <w:tc>
          <w:tcPr>
            <w:tcW w:w="60" w:type="dxa"/>
            <w:vAlign w:val="bottom"/>
          </w:tcPr>
          <w:p>
            <w:pPr>
              <w:spacing w:after="0"/>
              <w:rPr>
                <w:sz w:val="19"/>
                <w:szCs w:val="19"/>
                <w:color w:val="auto"/>
              </w:rPr>
            </w:pPr>
          </w:p>
        </w:tc>
      </w:tr>
    </w:tbl>
    <w:p>
      <w:pPr>
        <w:spacing w:after="0" w:line="187" w:lineRule="exact"/>
        <w:rPr>
          <w:sz w:val="20"/>
          <w:szCs w:val="20"/>
          <w:color w:val="auto"/>
        </w:rPr>
      </w:pPr>
    </w:p>
    <w:p>
      <w:pPr>
        <w:ind w:left="40" w:right="259" w:firstLine="648"/>
        <w:spacing w:after="0" w:line="263" w:lineRule="auto"/>
        <w:rPr>
          <w:sz w:val="20"/>
          <w:szCs w:val="20"/>
          <w:color w:val="auto"/>
        </w:rPr>
      </w:pPr>
      <w:r>
        <w:rPr>
          <w:rFonts w:ascii="Arial" w:cs="Arial" w:eastAsia="Arial" w:hAnsi="Arial"/>
          <w:sz w:val="18"/>
          <w:szCs w:val="18"/>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79" w:firstLine="648"/>
        <w:spacing w:after="0" w:line="277" w:lineRule="auto"/>
        <w:rPr>
          <w:sz w:val="20"/>
          <w:szCs w:val="20"/>
          <w:color w:val="auto"/>
        </w:rPr>
      </w:pPr>
      <w:r>
        <w:rPr>
          <w:rFonts w:ascii="Arial" w:cs="Arial" w:eastAsia="Arial" w:hAnsi="Arial"/>
          <w:sz w:val="18"/>
          <w:szCs w:val="18"/>
          <w:color w:val="auto"/>
        </w:rPr>
        <w:t>A reconciliation of income tax expense computed using the U.S. federal statutory rates to actual income tax expense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12"/>
          </w:tcPr>
          <w:p>
            <w:pPr>
              <w:jc w:val="center"/>
              <w:ind w:right="1180"/>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1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9"/>
              </w:rPr>
              <w:t>State and local income taxes, net of federal benefit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(1.4)</w:t>
            </w:r>
          </w:p>
        </w:tc>
        <w:tc>
          <w:tcPr>
            <w:tcW w:w="800" w:type="dxa"/>
            <w:vAlign w:val="bottom"/>
            <w:tcBorders>
              <w:right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R&amp;D and other tax credits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90"/>
              <w:spacing w:after="0"/>
              <w:rPr>
                <w:sz w:val="20"/>
                <w:szCs w:val="20"/>
                <w:color w:val="auto"/>
              </w:rPr>
            </w:pPr>
            <w:r>
              <w:rPr>
                <w:rFonts w:ascii="Arial" w:cs="Arial" w:eastAsia="Arial" w:hAnsi="Arial"/>
                <w:sz w:val="18"/>
                <w:szCs w:val="18"/>
                <w:color w:val="auto"/>
                <w:w w:val="97"/>
              </w:rPr>
              <w:t>(11.5)</w:t>
            </w: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(6.8)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(37.4)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Return to provision adjustments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(0.3)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Foreign derived intangible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(7.6)</w:t>
            </w: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Excess benefit of equity awards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(5.7)</w:t>
            </w:r>
          </w:p>
        </w:tc>
        <w:tc>
          <w:tcPr>
            <w:tcW w:w="800" w:type="dxa"/>
            <w:vAlign w:val="bottom"/>
            <w:tcBorders>
              <w:right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Effective income tax rate</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11.1</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4"/>
            <w:vMerge w:val="restart"/>
          </w:tcPr>
          <w:p>
            <w:pPr>
              <w:jc w:val="right"/>
              <w:ind w:right="7"/>
              <w:spacing w:after="0"/>
              <w:rPr>
                <w:sz w:val="20"/>
                <w:szCs w:val="20"/>
                <w:color w:val="auto"/>
              </w:rPr>
            </w:pPr>
            <w:r>
              <w:rPr>
                <w:rFonts w:ascii="Arial" w:cs="Arial" w:eastAsia="Arial" w:hAnsi="Arial"/>
                <w:sz w:val="18"/>
                <w:szCs w:val="18"/>
                <w:color w:val="auto"/>
              </w:rPr>
              <w:t>The components of the provision for income taxes are as follows (in</w:t>
            </w: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gridSpan w:val="4"/>
            <w:vMerge w:val="continue"/>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w w:val="82"/>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12"/>
          </w:tcPr>
          <w:p>
            <w:pPr>
              <w:jc w:val="center"/>
              <w:ind w:right="1140"/>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40" w:type="dxa"/>
            <w:vAlign w:val="bottom"/>
            <w:tcBorders>
              <w:right w:val="single" w:sz="8" w:color="CCEEFF"/>
            </w:tcBorders>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Federal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(3,025)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3,094</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$ 3,005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CCEEFF"/>
            </w:tcBorders>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right w:val="single" w:sz="8" w:color="CCEEFF"/>
            </w:tcBorders>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CCEEFF"/>
            </w:tcBorders>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(3,247)</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CCEEFF"/>
            </w:tcBorders>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(7,788)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(3,003)</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2,453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right w:val="single" w:sz="8" w:color="CCEEFF"/>
            </w:tcBorders>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(10,369)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$ 5,848</w:t>
            </w:r>
          </w:p>
        </w:tc>
        <w:tc>
          <w:tcPr>
            <w:tcW w:w="10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components of the Company’s deferred income tax assets and liabilities are as follows (in thousands):</w:t>
      </w:r>
    </w:p>
    <w:p>
      <w:pPr>
        <w:spacing w:after="0" w:line="25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46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4,422</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Allowances, reserves,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1,482</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Outside basis difference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Unrealized loss on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Intangibles basis</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40" w:type="dxa"/>
            <w:vAlign w:val="bottom"/>
            <w:shd w:val="clear" w:color="auto" w:fill="CCEEFF"/>
          </w:tcPr>
          <w:p>
            <w:pPr>
              <w:spacing w:after="0"/>
              <w:rPr>
                <w:sz w:val="18"/>
                <w:szCs w:val="18"/>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assets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51,923</w:t>
            </w:r>
          </w:p>
        </w:tc>
        <w:tc>
          <w:tcPr>
            <w:tcW w:w="40" w:type="dxa"/>
            <w:vAlign w:val="bottom"/>
            <w:tcBorders>
              <w:bottom w:val="single" w:sz="8" w:color="CCEEFF"/>
            </w:tcBorders>
          </w:tcPr>
          <w:p>
            <w:pPr>
              <w:spacing w:after="0"/>
              <w:rPr>
                <w:sz w:val="18"/>
                <w:szCs w:val="18"/>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Fixed asset basis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(10,413)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(10,286)</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(5,119)</w:t>
            </w: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Intangibles basis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(17,004)</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(31,794)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(32,409)</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(24,840)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(17,453)</w:t>
            </w:r>
          </w:p>
        </w:tc>
        <w:tc>
          <w:tcPr>
            <w:tcW w:w="40" w:type="dxa"/>
            <w:vAlign w:val="bottom"/>
            <w:tcBorders>
              <w:bottom w:val="single" w:sz="8" w:color="CCEEFF"/>
            </w:tcBorders>
          </w:tcPr>
          <w:p>
            <w:pPr>
              <w:spacing w:after="0"/>
              <w:rPr>
                <w:sz w:val="18"/>
                <w:szCs w:val="18"/>
                <w:color w:val="auto"/>
              </w:rPr>
            </w:pPr>
          </w:p>
        </w:tc>
      </w:tr>
      <w:tr>
        <w:trPr>
          <w:trHeight w:val="21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At April 30, 2022 and 2021 the Company recorded a valuation allowance of $24,840,000 and $17,453,000, respectively, primarily against state R&amp;D credits as the Company is currently generating more tax credits than it will utilize in future years and against capital loss carryforward. The valuation allowance increased by $7,387,000 and $3,304,000 for April 30, 2022 and April 30, 2021, respectively.</w:t>
      </w:r>
    </w:p>
    <w:p>
      <w:pPr>
        <w:spacing w:after="0" w:line="187"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At April 30, 2022 the Company had state credit carryforwards of $31,379,000 that do not expire and federal tax credit carryforwards of $5,875,000 that begin to expire in 2041.</w:t>
      </w:r>
    </w:p>
    <w:p>
      <w:pPr>
        <w:spacing w:after="0" w:line="170" w:lineRule="exact"/>
        <w:rPr>
          <w:sz w:val="20"/>
          <w:szCs w:val="20"/>
          <w:color w:val="auto"/>
        </w:rPr>
      </w:pPr>
    </w:p>
    <w:p>
      <w:pPr>
        <w:ind w:left="40" w:right="199" w:firstLine="648"/>
        <w:spacing w:after="0" w:line="273" w:lineRule="auto"/>
        <w:rPr>
          <w:sz w:val="20"/>
          <w:szCs w:val="20"/>
          <w:color w:val="auto"/>
        </w:rPr>
      </w:pPr>
      <w:r>
        <w:rPr>
          <w:rFonts w:ascii="Arial" w:cs="Arial" w:eastAsia="Arial" w:hAnsi="Arial"/>
          <w:sz w:val="17"/>
          <w:szCs w:val="17"/>
          <w:color w:val="auto"/>
        </w:rPr>
        <w:t>At April 30, 2022, the Company had federal, state and foreign net operating loss carryforwards of approximately $88,863,000, $93,485,000 and $64,000, respectively. The federal and $47,000 of the state net operating losses carry forward indefinitely. $93,438,000 of state net operating losses will begin expiring in fiscal year 2032, and the foreign loss carryforward will begin expiring in fiscal year 2023. Utilization of federal and state net operating loss carryforwards may be subject to substantial annual limitation due to the ownership change limitations provided by Section 382 of the Internal Revenue Code, as amended and similar state provisions.</w:t>
      </w:r>
    </w:p>
    <w:p>
      <w:pPr>
        <w:spacing w:after="0" w:line="178"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color w:val="auto"/>
        </w:rPr>
        <w:t>At April 30, 2022 and 2021, the Company had approximately $17,806,000 and $17,556,000, respectively, of unrecognized tax benefits of which $4,969,000 would impact the Company’s rate and $9,956,000 would result in an increase in valuation allowance. The Company estimates that $3,263,000 of its unrecognized tax benefits will decrease in the next twelve months due to statute of limitation expiration.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for the years ended April 30, 2022 and 2021 (in thousands):</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5"/>
          </w:tcPr>
          <w:p>
            <w:pPr>
              <w:ind w:left="48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$ 17,556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$ 14,347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Balance as of April 30</w:t>
            </w:r>
          </w:p>
        </w:tc>
        <w:tc>
          <w:tcPr>
            <w:tcW w:w="7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$ 17,806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$ 17,556</w:t>
            </w:r>
          </w:p>
        </w:tc>
        <w:tc>
          <w:tcPr>
            <w:tcW w:w="6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Company records interest and penalties on uncertain tax positions to income tax expense. As of April 30, 2022 and 2021, the Company had accrued approximately $302,000 and $23,000, respectively, of interest and penalties related to uncertain tax positions. The Company is currently under audit by various state jurisdictions. The 2018 to 2021 tax years remain open to examination by the IRS for federal income taxes. The tax years 2010 to 2012 and 2018 to 2021 remain open for major state taxing jurisdictions.</w:t>
      </w:r>
    </w:p>
    <w:p>
      <w:pPr>
        <w:spacing w:after="0" w:line="188"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 xml:space="preserve">On March 27, 2020, the U.S. government enacted the Coronavirus Aid, Relief, and Economic Security Act, or the CARES Act, a $2 trillion relief package comprising a combination of tax provisions and other stimulus measures. The CARES Act broadly provides entities tax payment relief and significant business incentives and makes certain technical corrections to the 2017 Tax Cuts and Jobs Act, or the Tax Act. The tax relief measures for entities include a five-year net operating loss carry back, increases interest expense deduction limits, acceleration of alternative minimum tax credit refunds, payroll tax relief, and a technical correction to allow accelerated deductions for qualified improvement property. The Act also provides other non-income tax benefits, including federal funding for a range of stabilization measures and emergency funding to assist those impacted by the COVID-19 pandemic. Similar legislation is being enacted in other jurisdictions in which the Company operates.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the effect of changes in tax rates and laws on deferred tax balances to be recognized in the period in which new legislation is enacted. The enactment of the CARES Act and similar legislation in other jurisdictions in which the Company operates was not material to the Company’s income tax benefit for the year ended April 30, 2022.</w:t>
      </w:r>
    </w:p>
    <w:p>
      <w:pPr>
        <w:spacing w:after="0" w:line="175" w:lineRule="exact"/>
        <w:rPr>
          <w:sz w:val="20"/>
          <w:szCs w:val="20"/>
          <w:color w:val="auto"/>
        </w:rPr>
      </w:pPr>
    </w:p>
    <w:p>
      <w:pPr>
        <w:ind w:left="700" w:hanging="656"/>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accumulated other comprehensive income are as follows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Available-for-Sale</w:t>
            </w:r>
          </w:p>
        </w:tc>
        <w:tc>
          <w:tcPr>
            <w:tcW w:w="160" w:type="dxa"/>
            <w:vAlign w:val="bottom"/>
          </w:tcPr>
          <w:p>
            <w:pPr>
              <w:spacing w:after="0"/>
              <w:rPr>
                <w:sz w:val="12"/>
                <w:szCs w:val="12"/>
                <w:color w:val="auto"/>
              </w:rPr>
            </w:pPr>
          </w:p>
        </w:tc>
        <w:tc>
          <w:tcPr>
            <w:tcW w:w="14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9"/>
              </w:rPr>
              <w:t>Foreign Currency</w:t>
            </w:r>
          </w:p>
        </w:tc>
        <w:tc>
          <w:tcPr>
            <w:tcW w:w="100" w:type="dxa"/>
            <w:vAlign w:val="bottom"/>
          </w:tcPr>
          <w:p>
            <w:pPr>
              <w:spacing w:after="0"/>
              <w:rPr>
                <w:sz w:val="12"/>
                <w:szCs w:val="12"/>
                <w:color w:val="auto"/>
              </w:rPr>
            </w:pPr>
          </w:p>
        </w:tc>
        <w:tc>
          <w:tcPr>
            <w:tcW w:w="11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01"/>
              <w:spacing w:after="0"/>
              <w:rPr>
                <w:sz w:val="20"/>
                <w:szCs w:val="20"/>
                <w:color w:val="auto"/>
              </w:rPr>
            </w:pPr>
            <w:r>
              <w:rPr>
                <w:rFonts w:ascii="Arial" w:cs="Arial" w:eastAsia="Arial" w:hAnsi="Arial"/>
                <w:sz w:val="14"/>
                <w:szCs w:val="14"/>
                <w:b w:val="1"/>
                <w:bCs w:val="1"/>
                <w:color w:val="auto"/>
                <w:w w:val="98"/>
              </w:rPr>
              <w:t>Securities</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Translation Adjustments</w:t>
            </w:r>
          </w:p>
        </w:tc>
        <w:tc>
          <w:tcPr>
            <w:tcW w:w="100" w:type="dxa"/>
            <w:vAlign w:val="bottom"/>
          </w:tcPr>
          <w:p>
            <w:pPr>
              <w:spacing w:after="0"/>
              <w:rPr>
                <w:sz w:val="14"/>
                <w:szCs w:val="14"/>
                <w:color w:val="auto"/>
              </w:rPr>
            </w:pPr>
          </w:p>
        </w:tc>
        <w:tc>
          <w:tcPr>
            <w:tcW w:w="110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3"/>
        </w:trPr>
        <w:tc>
          <w:tcPr>
            <w:tcW w:w="50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9"/>
              </w:rPr>
              <w:t>Total accumulated other comprehensive income balance as of April 30,</w:t>
            </w: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6"/>
                <w:szCs w:val="16"/>
                <w:color w:val="auto"/>
              </w:rPr>
              <w:t>Unrealized losses, net of $8 of taxes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foreign currency translation adjustments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(6,471)</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Arial" w:cs="Arial" w:eastAsia="Arial" w:hAnsi="Arial"/>
                <w:sz w:val="16"/>
                <w:szCs w:val="16"/>
                <w:color w:val="auto"/>
              </w:rPr>
              <w:t>Amounts reclassified to other (expense) income,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99"/>
              </w:rPr>
              <w:t>Total accumulated other comprehensive income balance as of April 30,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(53)$</w:t>
            </w: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(6,461)$</w:t>
            </w: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(6,514)</w:t>
            </w:r>
          </w:p>
        </w:tc>
        <w:tc>
          <w:tcPr>
            <w:tcW w:w="0" w:type="dxa"/>
            <w:vAlign w:val="bottom"/>
          </w:tcPr>
          <w:p>
            <w:pPr>
              <w:spacing w:after="0"/>
              <w:rPr>
                <w:sz w:val="1"/>
                <w:szCs w:val="1"/>
                <w:color w:val="auto"/>
              </w:rPr>
            </w:pPr>
          </w:p>
        </w:tc>
      </w:tr>
      <w:tr>
        <w:trPr>
          <w:trHeight w:val="19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8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10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Estimates</w:t>
      </w:r>
    </w:p>
    <w:p>
      <w:pPr>
        <w:spacing w:after="0" w:line="148" w:lineRule="exact"/>
        <w:rPr>
          <w:sz w:val="20"/>
          <w:szCs w:val="20"/>
          <w:color w:val="auto"/>
        </w:rPr>
      </w:pPr>
    </w:p>
    <w:p>
      <w:pPr>
        <w:ind w:left="40" w:right="239" w:firstLine="648"/>
        <w:spacing w:after="0" w:line="291" w:lineRule="auto"/>
        <w:rPr>
          <w:sz w:val="20"/>
          <w:szCs w:val="20"/>
          <w:color w:val="auto"/>
        </w:rPr>
      </w:pPr>
      <w:r>
        <w:rPr>
          <w:rFonts w:ascii="Arial" w:cs="Arial" w:eastAsia="Arial" w:hAnsi="Arial"/>
          <w:sz w:val="16"/>
          <w:szCs w:val="16"/>
          <w:color w:val="auto"/>
        </w:rPr>
        <w:t>During the year ended April 30, 2022, the Company revised its estimates of the achievement of the performance metrics of the Company’s long term incentive plans, which resulted in a cumulative adjustment to reduce previously recognized compensation expense of $1,602,000. During the years ended April 30, 2022, 2021 and 2020, the Company revised its estimates at completion of various contracts recognized using the over time method,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During the year ended April 30, 2022,</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69" w:lineRule="auto"/>
        <w:rPr>
          <w:sz w:val="20"/>
          <w:szCs w:val="20"/>
          <w:color w:val="auto"/>
        </w:rPr>
      </w:pPr>
      <w:r>
        <w:rPr>
          <w:rFonts w:ascii="Arial" w:cs="Arial" w:eastAsia="Arial" w:hAnsi="Arial"/>
          <w:sz w:val="17"/>
          <w:szCs w:val="17"/>
          <w:color w:val="auto"/>
        </w:rPr>
        <w:t>the Company revised its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$1,124,000. During the year ended April 30, 2021, the Company revised its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$1,041,000. During the year ended April 30, 2020, the Company revised its estimates of the total expected costs to complete a TMS contract and a contract associated with a design and development agreement. The aggregate impact of these adjustments in contract estimates on revenue related to performance obligations satisfied or partially satisfied in previous periods was a decrease of approximately $1,403,000 and an increase of approximately $1,099,000, respectively.</w:t>
      </w:r>
    </w:p>
    <w:p>
      <w:pPr>
        <w:spacing w:after="0" w:line="181" w:lineRule="exact"/>
        <w:rPr>
          <w:sz w:val="20"/>
          <w:szCs w:val="20"/>
          <w:color w:val="auto"/>
        </w:rPr>
      </w:pPr>
    </w:p>
    <w:p>
      <w:pPr>
        <w:ind w:left="720" w:hanging="676"/>
        <w:spacing w:after="0"/>
        <w:tabs>
          <w:tab w:leader="none" w:pos="7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jc w:val="both"/>
        <w:ind w:left="40" w:right="479" w:firstLine="648"/>
        <w:spacing w:after="0" w:line="263" w:lineRule="auto"/>
        <w:rPr>
          <w:sz w:val="20"/>
          <w:szCs w:val="20"/>
          <w:color w:val="auto"/>
        </w:rPr>
      </w:pPr>
      <w:r>
        <w:rPr>
          <w:rFonts w:ascii="Arial" w:cs="Arial" w:eastAsia="Arial" w:hAnsi="Arial"/>
          <w:sz w:val="18"/>
          <w:szCs w:val="18"/>
          <w:color w:val="auto"/>
        </w:rPr>
        <w:t>Pursuant to a consulting agreement, the Company paid a board member approximately $36,000, $29,000 and $59,000 for fiscal years ended April 30, 2022, 2021 and 2020, respectively, for consulting services independent of his board service.</w:t>
      </w:r>
    </w:p>
    <w:p>
      <w:pPr>
        <w:spacing w:after="0" w:line="184"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Under the DDA and related efforts with HAPSMobile, the Company designed and built prototype solar powered high altitude aircraft and ground control stations for HAPSMobile and conducted low altitude and high altitude flight tests of the prototype aircraft on a best efforts basis, up to a maximum net value of $185,202,000. The Company will continue the development of Solar HAPS with SoftBank under the MDDA. Upon the execution of the MDDA, SoftBank issued the first order under the MDDA, which has a maximum value of approximately $51,200,000.</w:t>
      </w:r>
    </w:p>
    <w:p>
      <w:pPr>
        <w:spacing w:after="0" w:line="176" w:lineRule="exact"/>
        <w:rPr>
          <w:sz w:val="20"/>
          <w:szCs w:val="20"/>
          <w:color w:val="auto"/>
        </w:rPr>
      </w:pPr>
    </w:p>
    <w:p>
      <w:pPr>
        <w:jc w:val="both"/>
        <w:ind w:left="40" w:right="119" w:firstLine="648"/>
        <w:spacing w:after="0" w:line="286" w:lineRule="auto"/>
        <w:rPr>
          <w:sz w:val="20"/>
          <w:szCs w:val="20"/>
          <w:color w:val="auto"/>
        </w:rPr>
      </w:pPr>
      <w:r>
        <w:rPr>
          <w:rFonts w:ascii="Arial" w:cs="Arial" w:eastAsia="Arial" w:hAnsi="Arial"/>
          <w:sz w:val="16"/>
          <w:szCs w:val="16"/>
          <w:color w:val="auto"/>
        </w:rPr>
        <w:t>The Company recorded revenue under both the MDDA and DDA and preliminary design agreements between the Company and SoftBank of $43,325,000, $42,426,000 and $60,864,000 for the fiscal years ended April 30, 2022, 2021 and 2020, respectively. At April 30, 2022 and 2021, the Company had unbilled related party receivables from HAPSMobile of $2,229,000 and $544,000 recorded in unbilled receivables and retentions on the consolidated balance sheet, respectively.</w:t>
      </w:r>
    </w:p>
    <w:p>
      <w:pPr>
        <w:spacing w:after="0" w:line="1" w:lineRule="exact"/>
        <w:rPr>
          <w:sz w:val="20"/>
          <w:szCs w:val="20"/>
          <w:color w:val="auto"/>
        </w:rPr>
      </w:pPr>
    </w:p>
    <w:p>
      <w:pPr>
        <w:jc w:val="both"/>
        <w:ind w:left="40" w:right="119"/>
        <w:spacing w:after="0" w:line="260" w:lineRule="auto"/>
        <w:rPr>
          <w:sz w:val="20"/>
          <w:szCs w:val="20"/>
          <w:color w:val="auto"/>
        </w:rPr>
      </w:pPr>
      <w:r>
        <w:rPr>
          <w:rFonts w:ascii="Arial" w:cs="Arial" w:eastAsia="Arial" w:hAnsi="Arial"/>
          <w:sz w:val="18"/>
          <w:szCs w:val="18"/>
          <w:color w:val="auto"/>
        </w:rPr>
        <w:t>As of April 30, 2022, the Company had no ownership stake in HAPSMobile and SoftBank and HAPSMobile are no longer considered related parties. Refer to Note 9 – Equity Method Investments for further details.</w:t>
      </w:r>
    </w:p>
    <w:p>
      <w:pPr>
        <w:spacing w:after="0" w:line="181" w:lineRule="exact"/>
        <w:rPr>
          <w:sz w:val="20"/>
          <w:szCs w:val="20"/>
          <w:color w:val="auto"/>
        </w:rPr>
      </w:pPr>
    </w:p>
    <w:p>
      <w:pPr>
        <w:ind w:left="700" w:right="5759" w:hanging="656"/>
        <w:spacing w:after="0" w:line="409" w:lineRule="auto"/>
        <w:tabs>
          <w:tab w:leader="none" w:pos="72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operations are conducted in leased facilities. Refer to Note 13—Leases for additional information.</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40" w:right="339" w:firstLine="648"/>
        <w:spacing w:after="0" w:line="296" w:lineRule="auto"/>
        <w:rPr>
          <w:sz w:val="20"/>
          <w:szCs w:val="20"/>
          <w:color w:val="auto"/>
        </w:rPr>
      </w:pPr>
      <w:r>
        <w:rPr>
          <w:rFonts w:ascii="Arial" w:cs="Arial" w:eastAsia="Arial" w:hAnsi="Arial"/>
          <w:sz w:val="16"/>
          <w:szCs w:val="16"/>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 During the fiscal year ended April 30, 2022 the Company entered into a settlement agreement with Webasto to settle all claims. Refer to Note 2—Discontinued Operations for further details.</w:t>
      </w:r>
    </w:p>
    <w:p>
      <w:pPr>
        <w:spacing w:after="0" w:line="161"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At April 30, 2022 and 2021, the Company had outstanding letters of credit totaling $5,968,000 and $5,029,000, respectively.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Cost Audits</w:t>
      </w:r>
    </w:p>
    <w:p>
      <w:pPr>
        <w:spacing w:after="0" w:line="229"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79" w:firstLine="648"/>
        <w:spacing w:after="0" w:line="273" w:lineRule="auto"/>
        <w:rPr>
          <w:sz w:val="20"/>
          <w:szCs w:val="20"/>
          <w:color w:val="auto"/>
        </w:rPr>
      </w:pPr>
      <w:r>
        <w:rPr>
          <w:rFonts w:ascii="Arial" w:cs="Arial" w:eastAsia="Arial" w:hAnsi="Arial"/>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78"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The Company’s revenue recognition policy calls for revenue recognized on all cost reimbursable government contracts to be recorded at actual rates unless collectability is not reasonably assured. During the fiscal year ended April 30, 2020, the Company settled rates for its incurred cost claims with the DCAA for fiscal year 2015 for an amount not significant. At April 30, 2022 and 2021, the Company had no reserve for open incurred cost claim audits.</w:t>
      </w:r>
    </w:p>
    <w:p>
      <w:pPr>
        <w:spacing w:after="0" w:line="167" w:lineRule="exact"/>
        <w:rPr>
          <w:sz w:val="20"/>
          <w:szCs w:val="20"/>
          <w:color w:val="auto"/>
        </w:rPr>
      </w:pPr>
    </w:p>
    <w:p>
      <w:pPr>
        <w:ind w:left="700" w:right="6639" w:hanging="656"/>
        <w:spacing w:after="0" w:line="603" w:lineRule="auto"/>
        <w:tabs>
          <w:tab w:leader="none" w:pos="727"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Telerob Acquisition</w:t>
      </w:r>
    </w:p>
    <w:p>
      <w:pPr>
        <w:spacing w:after="0" w:line="1"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Pursuant to the Telerob Purchase Agreement at closing, the Company paid €37,455,000 (approximately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$45,400,000) in cash to the Telerob Seller (subject to certain purchase price adjustments as set forth in the Telerob Purchase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Agreement), less (a) €3,000,000 (approximately $3,636,000) to be held in escrow for breaches of the Telerob Seller’s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fundamental warranties or any other of Telerob Seller’s warranties to the extent not covered by a representation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insurance policy (the “RWI Policy”) obtained by the Company in support of certain indemnifications provided by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Telerob Seller; (b) transaction-related fees and costs incurred by the Telerob Seller, including change in control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payments triggered by the transaction; and (c) 50% of the cost of obtaining the RWI Policy. In addition, at closing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 paid off approximately €7,811,000 (approximately $9,468,000), of certain indebtedness of Telerob, which</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 was paid in combination to the Telerob Seller and the lender under an agreement between Telerob GmbH and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lender providing for a reduced payoff amount. This indebtedness was offset by cash on hand at Telerob at closing.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escrow amount is to be released to the Telerob Seller, less any amounts paid or reserved, 30 months following the closing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addition to the consideration paid at closing, the Telerob Seller may receive €2,000,000 (approximately</w:t>
      </w:r>
    </w:p>
    <w:p>
      <w:pPr>
        <w:spacing w:after="0" w:line="23" w:lineRule="exact"/>
        <w:rPr>
          <w:sz w:val="20"/>
          <w:szCs w:val="20"/>
          <w:color w:val="auto"/>
        </w:rPr>
      </w:pPr>
    </w:p>
    <w:p>
      <w:pPr>
        <w:ind w:left="40" w:right="79"/>
        <w:spacing w:after="0" w:line="252" w:lineRule="auto"/>
        <w:rPr>
          <w:sz w:val="20"/>
          <w:szCs w:val="20"/>
          <w:color w:val="auto"/>
        </w:rPr>
      </w:pPr>
      <w:r>
        <w:rPr>
          <w:rFonts w:ascii="Arial" w:cs="Arial" w:eastAsia="Arial" w:hAnsi="Arial"/>
          <w:sz w:val="18"/>
          <w:szCs w:val="18"/>
          <w:color w:val="auto"/>
        </w:rPr>
        <w:t>$2,424,000) in additional cash consideration if specific revenue targets for Telerob are achieved during the 12 month period after closing beginning on the first day of the calendar month following the closing (the “First Earnout Year”) and an additional €2,000,000 (approximately $2,424,000) in cash consideration if specific revenue targets for Telerob are achieved in the 12 month period following the First Earnout Year. The Telerob Seller may also receive up to €2,000,000 (approximately $2,424,000) in additional cash consideration if specific awards and/or orders from the U.S. military are achieved prior to the end of a 36-month post-closing period.</w:t>
      </w:r>
    </w:p>
    <w:p>
      <w:pPr>
        <w:spacing w:after="0" w:line="194"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r>
      <w:tr>
        <w:trPr>
          <w:trHeight w:val="201"/>
        </w:trPr>
        <w:tc>
          <w:tcPr>
            <w:tcW w:w="7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assets acquired: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receivable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15,074</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Backlog</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18"/>
                <w:szCs w:val="18"/>
                <w:color w:val="auto"/>
              </w:rPr>
            </w:pPr>
          </w:p>
        </w:tc>
      </w:tr>
      <w:tr>
        <w:trPr>
          <w:trHeight w:val="250"/>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60,637</w:t>
            </w:r>
          </w:p>
        </w:tc>
        <w:tc>
          <w:tcPr>
            <w:tcW w:w="120" w:type="dxa"/>
            <w:vAlign w:val="bottom"/>
            <w:tcBorders>
              <w:bottom w:val="single" w:sz="8" w:color="CCEEFF"/>
            </w:tcBorders>
          </w:tcPr>
          <w:p>
            <w:pPr>
              <w:spacing w:after="0"/>
              <w:rPr>
                <w:sz w:val="21"/>
                <w:szCs w:val="21"/>
                <w:color w:val="auto"/>
              </w:rPr>
            </w:pPr>
          </w:p>
        </w:tc>
      </w:tr>
      <w:tr>
        <w:trPr>
          <w:trHeight w:val="196"/>
        </w:trPr>
        <w:tc>
          <w:tcPr>
            <w:tcW w:w="7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Fair value of liabilities assumed: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Wages and related accruals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advances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tcPr>
          <w:p>
            <w:pPr>
              <w:spacing w:after="0"/>
              <w:rPr>
                <w:sz w:val="18"/>
                <w:szCs w:val="18"/>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120" w:type="dxa"/>
            <w:vAlign w:val="bottom"/>
            <w:shd w:val="clear" w:color="auto" w:fill="CCEEFF"/>
          </w:tcPr>
          <w:p>
            <w:pPr>
              <w:spacing w:after="0"/>
              <w:rPr>
                <w:sz w:val="18"/>
                <w:szCs w:val="18"/>
                <w:color w:val="auto"/>
              </w:rPr>
            </w:pPr>
          </w:p>
        </w:tc>
      </w:tr>
      <w:tr>
        <w:trPr>
          <w:trHeight w:val="250"/>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identifiable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Borders>
              <w:bottom w:val="single" w:sz="8" w:color="CCEEFF"/>
            </w:tcBorders>
          </w:tcPr>
          <w:p>
            <w:pPr>
              <w:spacing w:after="0"/>
              <w:rPr>
                <w:sz w:val="21"/>
                <w:szCs w:val="21"/>
                <w:color w:val="auto"/>
              </w:rPr>
            </w:pPr>
          </w:p>
        </w:tc>
      </w:tr>
      <w:tr>
        <w:trPr>
          <w:trHeight w:val="196"/>
        </w:trPr>
        <w:tc>
          <w:tcPr>
            <w:tcW w:w="7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Fair value of consideration: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18"/>
                <w:szCs w:val="18"/>
                <w:color w:val="auto"/>
              </w:rPr>
            </w:pPr>
          </w:p>
        </w:tc>
      </w:tr>
      <w:tr>
        <w:trPr>
          <w:trHeight w:val="210"/>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239" w:firstLine="648"/>
        <w:spacing w:after="0" w:line="286" w:lineRule="auto"/>
        <w:rPr>
          <w:sz w:val="20"/>
          <w:szCs w:val="20"/>
          <w:color w:val="auto"/>
        </w:rPr>
      </w:pPr>
      <w:r>
        <w:rPr>
          <w:rFonts w:ascii="Arial" w:cs="Arial" w:eastAsia="Arial" w:hAnsi="Arial"/>
          <w:sz w:val="17"/>
          <w:szCs w:val="17"/>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Telerob revenue and loss from operations for the year ended April 30, 2022 since acquisition on May 3, 2021 was $29,177,000 and $12,115,000, respectively. The following unaudited pro forma summary presents consolidated information of the Company as if the business acquisition had occurred on May 1, 2020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tcBorders>
              <w:bottom w:val="single" w:sz="8" w:color="auto"/>
            </w:tcBorders>
          </w:tcPr>
          <w:p>
            <w:pPr>
              <w:spacing w:after="0"/>
              <w:rPr>
                <w:sz w:val="14"/>
                <w:szCs w:val="14"/>
                <w:color w:val="auto"/>
              </w:rPr>
            </w:pPr>
          </w:p>
        </w:tc>
      </w:tr>
      <w:tr>
        <w:trPr>
          <w:trHeight w:val="211"/>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b w:val="1"/>
                <w:bCs w:val="1"/>
                <w:color w:val="auto"/>
              </w:rPr>
              <w:t>April 30,</w:t>
            </w:r>
          </w:p>
        </w:tc>
      </w:tr>
      <w:tr>
        <w:trPr>
          <w:trHeight w:val="201"/>
        </w:trPr>
        <w:tc>
          <w:tcPr>
            <w:tcW w:w="6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445,732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428,353</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income attributable to AeroVironment, Inc.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2,334</w:t>
            </w:r>
          </w:p>
        </w:tc>
        <w:tc>
          <w:tcPr>
            <w:tcW w:w="760" w:type="dxa"/>
            <w:vAlign w:val="bottom"/>
            <w:gridSpan w:val="3"/>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17,345</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71" w:lineRule="exact"/>
        <w:rPr>
          <w:sz w:val="20"/>
          <w:szCs w:val="20"/>
          <w:color w:val="auto"/>
        </w:rPr>
      </w:pPr>
    </w:p>
    <w:p>
      <w:pPr>
        <w:jc w:val="both"/>
        <w:ind w:left="40" w:right="239" w:firstLine="648"/>
        <w:spacing w:after="0" w:line="263" w:lineRule="auto"/>
        <w:rPr>
          <w:sz w:val="20"/>
          <w:szCs w:val="20"/>
          <w:color w:val="auto"/>
        </w:rPr>
      </w:pPr>
      <w:r>
        <w:rPr>
          <w:rFonts w:ascii="Arial" w:cs="Arial" w:eastAsia="Arial" w:hAnsi="Arial"/>
          <w:sz w:val="18"/>
          <w:szCs w:val="18"/>
          <w:color w:val="auto"/>
        </w:rPr>
        <w:t>The Company incurred approximately $1,186,000 of acquisition-related expenses for the fiscal year ended April 30, 2022. These expenses are included in selling, general and administrative on the Company’s consolidated statement of operations.</w:t>
      </w:r>
    </w:p>
    <w:p>
      <w:pPr>
        <w:spacing w:after="0" w:line="184"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Arcturus Acquisition</w:t>
      </w:r>
    </w:p>
    <w:p>
      <w:pPr>
        <w:spacing w:after="0" w:line="229" w:lineRule="exact"/>
        <w:rPr>
          <w:sz w:val="20"/>
          <w:szCs w:val="20"/>
          <w:color w:val="auto"/>
        </w:rPr>
      </w:pPr>
    </w:p>
    <w:p>
      <w:pPr>
        <w:ind w:left="40" w:right="559" w:firstLine="648"/>
        <w:spacing w:after="0" w:line="301" w:lineRule="auto"/>
        <w:rPr>
          <w:sz w:val="20"/>
          <w:szCs w:val="20"/>
          <w:color w:val="auto"/>
        </w:rPr>
      </w:pPr>
      <w:r>
        <w:rPr>
          <w:rFonts w:ascii="Arial" w:cs="Arial" w:eastAsia="Arial" w:hAnsi="Arial"/>
          <w:sz w:val="16"/>
          <w:szCs w:val="16"/>
          <w:color w:val="auto"/>
        </w:rPr>
        <w:t>On February 19, 2021, the Company closed its acquisition of Arcturus pursuant to the terms of the Arcturus Purchase Agreement. Arcturus,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w:t>
      </w:r>
    </w:p>
    <w:p>
      <w:pPr>
        <w:spacing w:after="0" w:line="157"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7"/>
          <w:szCs w:val="17"/>
          <w:color w:val="auto"/>
        </w:rPr>
        <w:t>Pursuant to the Arcturus Purchase Agreement at the closing of the Arcturus Acquisition, the Company paid approximately $422,602,000, net of cash acquired (subject to certain customary adjustments and escrow arrangements set forth in the Arcturus Purchase Agreement), financed with a combination of approximately $150,218,000 of cash-on-hand, $200,000,000 of financing pursuant to the Term Loan Facility and the issuance of approximately $72,384,000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spacing w:after="0" w:line="177"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The final cash consideration is subject to certain customary adjustments, including for net working capital, cash, debt and unpaid transaction expenses (including change in control related payments triggered by the transaction) of Arcturus at the Arcturus closing, less $6,500,000 to be held in escrow to address final purchase price adjustments post-Arcturus closing, if any (the “Adjustment Escrow”), and $1,822,500 to be held in escrow to address Arcturus’s and/or the Sellers’ indemnification obligations (the “Indemnification Escrow”). During the fiscal year ended April 30, 2022, the Adjustment Escrow of $6,500,000, less $509,000 of post-closing adjustments, and Indemnification Escrow of $1,822,500 was released to the Arcturus Sellers. To further address potential breaches of Arcturus’s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Equity consideration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February 19,</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2021</w:t>
      </w:r>
    </w:p>
    <w:p>
      <w:pPr>
        <w:spacing w:after="0" w:line="225" w:lineRule="exact"/>
        <w:rPr>
          <w:sz w:val="20"/>
          <w:szCs w:val="20"/>
          <w:color w:val="auto"/>
        </w:rPr>
      </w:pPr>
    </w:p>
    <w:p>
      <w:pPr>
        <w:ind w:left="480" w:hanging="479"/>
        <w:spacing w:after="0"/>
        <w:tabs>
          <w:tab w:leader="none" w:pos="4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6,050</w:t>
      </w:r>
    </w:p>
    <w:p>
      <w:pPr>
        <w:spacing w:after="0" w:line="57"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4,176</w:t>
      </w:r>
    </w:p>
    <w:p>
      <w:pPr>
        <w:spacing w:after="0" w:line="44"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21,701</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2,709</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38,739</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11,429</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20,500</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62,700</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290,006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11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ind w:left="300" w:hanging="299"/>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458,146</w:t>
      </w:r>
    </w:p>
    <w:p>
      <w:pPr>
        <w:spacing w:after="0" w:line="200" w:lineRule="exact"/>
        <w:rPr>
          <w:sz w:val="20"/>
          <w:szCs w:val="20"/>
          <w:color w:val="auto"/>
        </w:rPr>
      </w:pPr>
    </w:p>
    <w:p>
      <w:pPr>
        <w:spacing w:after="0" w:line="263" w:lineRule="exact"/>
        <w:rPr>
          <w:sz w:val="20"/>
          <w:szCs w:val="20"/>
          <w:color w:val="auto"/>
        </w:rPr>
      </w:pPr>
    </w:p>
    <w:p>
      <w:pPr>
        <w:ind w:left="480" w:hanging="479"/>
        <w:spacing w:after="0"/>
        <w:tabs>
          <w:tab w:leader="none" w:pos="4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3,085</w:t>
      </w:r>
    </w:p>
    <w:p>
      <w:pPr>
        <w:spacing w:after="0" w:line="57"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1,698</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1,818</w:t>
      </w:r>
    </w:p>
    <w:p>
      <w:pPr>
        <w:spacing w:after="0" w:line="44"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9,562</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12,297</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1,190</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11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jc w:val="right"/>
        <w:ind w:right="239"/>
        <w:spacing w:after="0"/>
        <w:rPr>
          <w:sz w:val="20"/>
          <w:szCs w:val="20"/>
          <w:color w:val="auto"/>
        </w:rPr>
      </w:pPr>
      <w:r>
        <w:rPr>
          <w:rFonts w:ascii="Arial" w:cs="Arial" w:eastAsia="Arial" w:hAnsi="Arial"/>
          <w:sz w:val="18"/>
          <w:szCs w:val="18"/>
          <w:color w:val="auto"/>
        </w:rPr>
        <w:t>35,519</w:t>
      </w:r>
    </w:p>
    <w:p>
      <w:pPr>
        <w:spacing w:after="0" w:line="23" w:lineRule="exact"/>
        <w:rPr>
          <w:sz w:val="20"/>
          <w:szCs w:val="20"/>
          <w:color w:val="auto"/>
        </w:rPr>
      </w:pPr>
    </w:p>
    <w:p>
      <w:pPr>
        <w:ind w:left="300" w:hanging="299"/>
        <w:spacing w:after="0"/>
        <w:tabs>
          <w:tab w:leader="none" w:pos="300" w:val="left"/>
        </w:tabs>
        <w:numPr>
          <w:ilvl w:val="0"/>
          <w:numId w:val="6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5911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00" w:hanging="299"/>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350,243</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72,384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11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2" w:lineRule="exact"/>
        <w:rPr>
          <w:sz w:val="20"/>
          <w:szCs w:val="20"/>
          <w:color w:val="auto"/>
        </w:rPr>
      </w:pPr>
    </w:p>
    <w:p>
      <w:pPr>
        <w:ind w:left="300" w:hanging="299"/>
        <w:spacing w:after="0"/>
        <w:tabs>
          <w:tab w:leader="none" w:pos="300" w:val="left"/>
        </w:tabs>
        <w:numPr>
          <w:ilvl w:val="0"/>
          <w:numId w:val="6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5911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180" w:space="720"/>
            <w:col w:w="1119"/>
          </w:cols>
          <w:pgMar w:left="1440" w:top="517" w:right="1440" w:bottom="1440" w:gutter="0" w:footer="0" w:header="0"/>
          <w:type w:val="continuous"/>
        </w:sectPr>
      </w:pPr>
    </w:p>
    <w:p>
      <w:pPr>
        <w:spacing w:after="0" w:line="52"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78" w:lineRule="exact"/>
        <w:rPr>
          <w:sz w:val="20"/>
          <w:szCs w:val="20"/>
          <w:color w:val="auto"/>
        </w:rPr>
      </w:pPr>
    </w:p>
    <w:p>
      <w:pPr>
        <w:ind w:left="40" w:right="279" w:firstLine="648"/>
        <w:spacing w:after="0" w:line="286" w:lineRule="auto"/>
        <w:rPr>
          <w:sz w:val="20"/>
          <w:szCs w:val="20"/>
          <w:color w:val="auto"/>
        </w:rPr>
      </w:pPr>
      <w:r>
        <w:rPr>
          <w:rFonts w:ascii="Arial" w:cs="Arial" w:eastAsia="Arial" w:hAnsi="Arial"/>
          <w:sz w:val="17"/>
          <w:szCs w:val="17"/>
          <w:color w:val="auto"/>
        </w:rPr>
        <w:t>The goodwill is attributable to the synergies the Company expects to achieve through leveraging the acquired technology to its existing customers, the workforce of Arcturus and expected future customers in the MUAS market. For tax purposes the acquisition was treated as a stock purchase and the goodwill is not deductible.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jc w:val="both"/>
        <w:ind w:left="40" w:right="299" w:firstLine="648"/>
        <w:spacing w:after="0" w:line="311" w:lineRule="auto"/>
        <w:rPr>
          <w:sz w:val="20"/>
          <w:szCs w:val="20"/>
          <w:color w:val="auto"/>
        </w:rPr>
      </w:pPr>
      <w:r>
        <w:rPr>
          <w:rFonts w:ascii="Arial" w:cs="Arial" w:eastAsia="Arial" w:hAnsi="Arial"/>
          <w:sz w:val="16"/>
          <w:szCs w:val="16"/>
          <w:color w:val="auto"/>
        </w:rPr>
        <w:t>Arcturus revenue and loss from operations for the year ended April 30, 2021 since acquisition on February 19, 2021 was $15,837,000 and $1,869,000, respectively. The following unaudited pro forma summary presents consolidated information of the Company as if the business acquisition had occurred on May 1, 2019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tcBorders>
              <w:bottom w:val="single" w:sz="8" w:color="auto"/>
            </w:tcBorders>
          </w:tcPr>
          <w:p>
            <w:pPr>
              <w:spacing w:after="0"/>
              <w:rPr>
                <w:sz w:val="14"/>
                <w:szCs w:val="14"/>
                <w:color w:val="auto"/>
              </w:rPr>
            </w:pPr>
          </w:p>
        </w:tc>
      </w:tr>
      <w:tr>
        <w:trPr>
          <w:trHeight w:val="211"/>
        </w:trPr>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b w:val="1"/>
                <w:bCs w:val="1"/>
                <w:color w:val="auto"/>
              </w:rPr>
              <w:t>April 30,</w:t>
            </w:r>
          </w:p>
        </w:tc>
      </w:tr>
      <w:tr>
        <w:trPr>
          <w:trHeight w:val="201"/>
        </w:trPr>
        <w:tc>
          <w:tcPr>
            <w:tcW w:w="47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478,579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454,769</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27,572</w:t>
            </w:r>
          </w:p>
        </w:tc>
        <w:tc>
          <w:tcPr>
            <w:tcW w:w="760" w:type="dxa"/>
            <w:vAlign w:val="bottom"/>
            <w:gridSpan w:val="3"/>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31,264</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Arcturus prior to acquisition.</w:t>
      </w:r>
    </w:p>
    <w:p>
      <w:pPr>
        <w:spacing w:after="0" w:line="171"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The Company incurred approximately $6,015,000 acquisition-related expenses for the year ended April 30, 2021. These expenses are included in selling, general and administrative expense on the Company’s consolidated statement of operations.</w:t>
      </w:r>
    </w:p>
    <w:p>
      <w:pPr>
        <w:spacing w:after="0" w:line="184"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2019, nor are they indicative of results of operations that may occur in the future.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ISG Acquisition</w:t>
      </w:r>
    </w:p>
    <w:p>
      <w:pPr>
        <w:spacing w:after="0" w:line="229"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On February 23, 2021, the Company purchased certain assets of, and assumed certain liabilities of, ISG pursuant to the terms of the ISG Purchase Agreement. ISG is engaged in development of artificial intelligence-enabled computer vision, machine learning and perceptive autonomy technologies and provides related services to United States government customers.</w:t>
      </w:r>
    </w:p>
    <w:p>
      <w:pPr>
        <w:spacing w:after="0" w:line="187"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In connection with the ISG Acquisition, the Company (i) paid a base purchase price of $29,700,000 in cash at closing and (ii) may pay additional cash consideration of up to $6,000,000, which is held in escrow account not controlled by the Company, based on the achievement of certain revenue targets by ISG during the 3 years following closing, in each case, subject to the terms and conditions of the ISG Purchase Agreement, including certain customary adjustments. During the fiscal year ended April 30, 2022, the target for the first year was achieved and the related consideration of $2,000,000 was released from an escrow account that is not controlled by the Company and, therefore, not recorded on the consolidated balance sheet.</w:t>
      </w:r>
    </w:p>
    <w:p>
      <w:pPr>
        <w:spacing w:after="0" w:line="195"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As a condition to closing pursuant to the ISG Purchase Agreement, the Company and the ISG Seller entered into certain ancillary agreements, including a transition services agreement through February 2023 and two subleases pursuant to which the ISG Seller will provide the Company certain services and facilities space to accommodate the transition of ISG to the Company.</w:t>
      </w:r>
    </w:p>
    <w:p>
      <w:pPr>
        <w:spacing w:after="0" w:line="187"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Company and the ISG Seller. To supplement certain indemnifications provided by the ISG Seller, the Company obtained a representation and warranty insurance policy.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23,</w:t>
            </w:r>
          </w:p>
        </w:tc>
        <w:tc>
          <w:tcPr>
            <w:tcW w:w="0" w:type="dxa"/>
            <w:vAlign w:val="bottom"/>
          </w:tcPr>
          <w:p>
            <w:pPr>
              <w:spacing w:after="0"/>
              <w:rPr>
                <w:sz w:val="1"/>
                <w:szCs w:val="1"/>
                <w:color w:val="auto"/>
              </w:rPr>
            </w:pPr>
          </w:p>
        </w:tc>
      </w:tr>
      <w:tr>
        <w:trPr>
          <w:trHeight w:val="201"/>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w:t>
            </w:r>
          </w:p>
        </w:tc>
        <w:tc>
          <w:tcPr>
            <w:tcW w:w="272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2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78"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For tax purposes the acquisition was treated as an asset purchase and the goodwill is deductible ratably over a period of fifteen years.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ISG revenue for the year ended April 30, 2021 since acquisition on February 23, 2021 was $1,724,000. Other than the aforementioned revenue and intangible asset amortization expense of $474,000 for the year ended April 30, 2021 since the acquisition on February 23, 2021, the ISG financial results were not significant. The following unaudited pro forma summary presents consolidated information of the Company as if the business acquisition had occurred on May 1, 2019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tcBorders>
              <w:bottom w:val="single" w:sz="8" w:color="auto"/>
            </w:tcBorders>
          </w:tcPr>
          <w:p>
            <w:pPr>
              <w:spacing w:after="0"/>
              <w:rPr>
                <w:sz w:val="14"/>
                <w:szCs w:val="14"/>
                <w:color w:val="auto"/>
              </w:rPr>
            </w:pPr>
          </w:p>
        </w:tc>
      </w:tr>
      <w:tr>
        <w:trPr>
          <w:trHeight w:val="211"/>
        </w:trPr>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b w:val="1"/>
                <w:bCs w:val="1"/>
                <w:color w:val="auto"/>
              </w:rPr>
              <w:t>April 30,</w:t>
            </w:r>
          </w:p>
        </w:tc>
      </w:tr>
      <w:tr>
        <w:trPr>
          <w:trHeight w:val="201"/>
        </w:trPr>
        <w:tc>
          <w:tcPr>
            <w:tcW w:w="47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406,444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379,627</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23,787</w:t>
            </w:r>
          </w:p>
        </w:tc>
        <w:tc>
          <w:tcPr>
            <w:tcW w:w="760" w:type="dxa"/>
            <w:vAlign w:val="bottom"/>
            <w:gridSpan w:val="3"/>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39,025</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ISG prior to acquisition.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79" w:firstLine="648"/>
        <w:spacing w:after="0" w:line="263" w:lineRule="auto"/>
        <w:rPr>
          <w:sz w:val="20"/>
          <w:szCs w:val="20"/>
          <w:color w:val="auto"/>
        </w:rPr>
      </w:pPr>
      <w:r>
        <w:rPr>
          <w:rFonts w:ascii="Arial" w:cs="Arial" w:eastAsia="Arial" w:hAnsi="Arial"/>
          <w:sz w:val="18"/>
          <w:szCs w:val="18"/>
          <w:color w:val="auto"/>
        </w:rPr>
        <w:t>The Company incurred approximately $954,000 acquisition-related expenses for the year ended April 30, 2021. These expenses are included in selling, general and administrative expenses on the Company’s consolidated statement of operations.</w:t>
      </w:r>
    </w:p>
    <w:p>
      <w:pPr>
        <w:spacing w:after="0" w:line="184" w:lineRule="exact"/>
        <w:rPr>
          <w:sz w:val="20"/>
          <w:szCs w:val="20"/>
          <w:color w:val="auto"/>
        </w:rPr>
      </w:pPr>
    </w:p>
    <w:p>
      <w:pPr>
        <w:jc w:val="both"/>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2019, nor are they indicative of results of operations that may occur in the future.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Pulse Acquisition</w:t>
      </w:r>
    </w:p>
    <w:p>
      <w:pPr>
        <w:spacing w:after="0" w:line="229"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7"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 During fiscal year ended April 30, 2021, the Company paid a total of $1,492,000 in holdback and retention payments.</w:t>
      </w:r>
    </w:p>
    <w:p>
      <w:pPr>
        <w:spacing w:after="0" w:line="192" w:lineRule="exact"/>
        <w:rPr>
          <w:sz w:val="20"/>
          <w:szCs w:val="20"/>
          <w:color w:val="auto"/>
        </w:rPr>
      </w:pPr>
    </w:p>
    <w:p>
      <w:pPr>
        <w:ind w:left="40" w:right="159" w:firstLine="648"/>
        <w:spacing w:after="0" w:line="289" w:lineRule="auto"/>
        <w:rPr>
          <w:sz w:val="20"/>
          <w:szCs w:val="20"/>
          <w:color w:val="auto"/>
        </w:rPr>
      </w:pPr>
      <w:r>
        <w:rPr>
          <w:rFonts w:ascii="Arial" w:cs="Arial" w:eastAsia="Arial" w:hAnsi="Arial"/>
          <w:sz w:val="16"/>
          <w:szCs w:val="16"/>
          <w:color w:val="auto"/>
        </w:rPr>
        <w:t>In addition to the consideration paid at closing, the acquisition of Pulse included contingent consideration arrangements that required additional consideration to be paid by the Company to the sellers of Pulse if two specified research and development milestones were achieved by December 10, 2021 and the continued employment of specified employees. Amounts were payable upon the achievement of the milestones. The range of the undiscounted amounts the Company could pay under each of the contingent consideration agreements was zero or $2,500,000 ($5,000,000 in total if both milestones are achieved and specific key employees continued employment). The fair value of the contingent consideration recognized on the acquisition date of $1,703,000 was estimated by applying the income approach. That measure was based on significant Level 3 inputs not observable in the market. Key assumptions include (1) a discount rate of 4.5% and (2) the probability that each of the milestones would be achieved.</w:t>
      </w:r>
    </w:p>
    <w:p>
      <w:pPr>
        <w:spacing w:after="0" w:line="166"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8"/>
          <w:szCs w:val="18"/>
          <w:color w:val="auto"/>
        </w:rPr>
        <w:t>During the year ended April 30,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The Company accounted for the acquisition under the acquisition method of accounting for business combinations. During the fiscal year ended April 30, 2020, the Company finalized its determination of the fair value of the assets and liabilities assumed as of the acquisition date, which is summarized in the following table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10,</w:t>
            </w:r>
          </w:p>
        </w:tc>
      </w:tr>
      <w:tr>
        <w:trPr>
          <w:trHeight w:val="201"/>
        </w:trPr>
        <w:tc>
          <w:tcPr>
            <w:tcW w:w="7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 net of liabilities assumed</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r>
      <w:tr>
        <w:trPr>
          <w:trHeight w:val="210"/>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Retention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Pulse revenue for the year ended April 30, 2020 since acquisition on June 10, 2019 was $6,607,000. Other than the aforementioned revenue and intangible asset amortization expense of $2,461,000 for the year ended April 30, 2020 since the acquisition on June 10, 2019, the Pulse financial results were not significant. The following unaudited pro forma summary presents consolidated information of the Company as if the business acquisition had occurred on May 1, 2018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tcBorders>
              <w:bottom w:val="single" w:sz="8" w:color="auto"/>
            </w:tcBorders>
          </w:tcPr>
          <w:p>
            <w:pPr>
              <w:spacing w:after="0"/>
              <w:rPr>
                <w:sz w:val="14"/>
                <w:szCs w:val="14"/>
                <w:color w:val="auto"/>
              </w:rPr>
            </w:pPr>
          </w:p>
        </w:tc>
      </w:tr>
      <w:tr>
        <w:trPr>
          <w:trHeight w:val="211"/>
        </w:trPr>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b w:val="1"/>
                <w:bCs w:val="1"/>
                <w:color w:val="auto"/>
              </w:rPr>
              <w:t>April 30,</w:t>
            </w:r>
          </w:p>
        </w:tc>
      </w:tr>
      <w:tr>
        <w:trPr>
          <w:trHeight w:val="201"/>
        </w:trPr>
        <w:tc>
          <w:tcPr>
            <w:tcW w:w="47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316,878</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41,481</w:t>
            </w:r>
          </w:p>
        </w:tc>
        <w:tc>
          <w:tcPr>
            <w:tcW w:w="760" w:type="dxa"/>
            <w:vAlign w:val="bottom"/>
            <w:gridSpan w:val="3"/>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43,204</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439" w:firstLine="648"/>
        <w:spacing w:after="0" w:line="342" w:lineRule="auto"/>
        <w:rPr>
          <w:sz w:val="20"/>
          <w:szCs w:val="20"/>
          <w:color w:val="auto"/>
        </w:rPr>
      </w:pPr>
      <w:r>
        <w:rPr>
          <w:rFonts w:ascii="Arial" w:cs="Arial" w:eastAsia="Arial" w:hAnsi="Arial"/>
          <w:sz w:val="16"/>
          <w:szCs w:val="16"/>
          <w:color w:val="auto"/>
        </w:rPr>
        <w:t>These pro forma amounts have been calculated by applying the Company’s accounting policies, assuming transaction costs had been incurred during the three months ended July 28, 2018, reflecting the additional amortization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that would have been charged assuming the fair value adjustments to intangible assets had been applied from May 1, 2018 with the consequential tax effects, and including the results of Pulse prior to acquisition.</w:t>
      </w:r>
    </w:p>
    <w:p>
      <w:pPr>
        <w:spacing w:after="0" w:line="170" w:lineRule="exact"/>
        <w:rPr>
          <w:sz w:val="20"/>
          <w:szCs w:val="20"/>
          <w:color w:val="auto"/>
        </w:rPr>
      </w:pPr>
    </w:p>
    <w:p>
      <w:pPr>
        <w:ind w:left="40" w:right="359" w:firstLine="648"/>
        <w:spacing w:after="0" w:line="263" w:lineRule="auto"/>
        <w:rPr>
          <w:sz w:val="20"/>
          <w:szCs w:val="20"/>
          <w:color w:val="auto"/>
        </w:rPr>
      </w:pPr>
      <w:r>
        <w:rPr>
          <w:rFonts w:ascii="Arial" w:cs="Arial" w:eastAsia="Arial" w:hAnsi="Arial"/>
          <w:sz w:val="18"/>
          <w:szCs w:val="18"/>
          <w:color w:val="auto"/>
        </w:rPr>
        <w:t>The Company did not incur significant acquisition-related expenses for the year ended April 30, 2020. These expenses are included in selling, general and administrative, research and development, and product cost of sales on the Company’s consolidated statement of operations.</w:t>
      </w:r>
    </w:p>
    <w:p>
      <w:pPr>
        <w:spacing w:after="0" w:line="184"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2018, nor are they indicative of results of operations that may occur in the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22. Pension</w:t>
      </w:r>
    </w:p>
    <w:p>
      <w:pPr>
        <w:spacing w:after="0" w:line="229"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(“RZV”) service plan covers three former employees based on individual contracts issued to the employees. No other employees are eligible to participate. The Company has reinsurance policies were taken out for participating former employees, which were pledged to the employees. The measurement date for the Company’s pension plan was April 30, 2022.</w:t>
      </w:r>
    </w:p>
    <w:p>
      <w:pPr>
        <w:spacing w:after="0" w:line="188" w:lineRule="exact"/>
        <w:rPr>
          <w:sz w:val="20"/>
          <w:szCs w:val="20"/>
          <w:color w:val="auto"/>
        </w:rPr>
      </w:pPr>
    </w:p>
    <w:p>
      <w:pPr>
        <w:ind w:left="40" w:right="319" w:firstLine="648"/>
        <w:spacing w:after="0" w:line="308" w:lineRule="auto"/>
        <w:rPr>
          <w:sz w:val="20"/>
          <w:szCs w:val="20"/>
          <w:color w:val="auto"/>
        </w:rPr>
      </w:pPr>
      <w:r>
        <w:rPr>
          <w:rFonts w:ascii="Arial" w:cs="Arial" w:eastAsia="Arial" w:hAnsi="Arial"/>
          <w:sz w:val="17"/>
          <w:szCs w:val="17"/>
          <w:color w:val="auto"/>
        </w:rPr>
        <w:t>The table below includes the projected benefit obligation and fair value of plan assets as of April 30, 2022. The net projected benefit obligation (in thousands) is recorded in other assets on the consolidated balance sheet.</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9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w:t>
            </w:r>
          </w:p>
        </w:tc>
        <w:tc>
          <w:tcPr>
            <w:tcW w:w="15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of the plan</w:t>
            </w:r>
          </w:p>
        </w:tc>
        <w:tc>
          <w:tcPr>
            <w:tcW w:w="15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640"/>
              <w:spacing w:after="0"/>
              <w:rPr>
                <w:sz w:val="20"/>
                <w:szCs w:val="20"/>
                <w:color w:val="auto"/>
              </w:rPr>
            </w:pPr>
            <w:r>
              <w:rPr>
                <w:rFonts w:ascii="Arial" w:cs="Arial" w:eastAsia="Arial" w:hAnsi="Arial"/>
                <w:sz w:val="18"/>
                <w:szCs w:val="18"/>
                <w:color w:val="auto"/>
              </w:rPr>
              <w:t>Change in projected benefit obligation (in thousands):</w:t>
            </w: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9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Pension benefit obligation balance as of May 3, 2021</w:t>
            </w:r>
          </w:p>
        </w:tc>
        <w:tc>
          <w:tcPr>
            <w:tcW w:w="19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Benefits paid</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15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Pension benefit obligation balance as of April 30, 2022</w:t>
            </w:r>
          </w:p>
        </w:tc>
        <w:tc>
          <w:tcPr>
            <w:tcW w:w="156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120" w:type="dxa"/>
            <w:vAlign w:val="bottom"/>
          </w:tcPr>
          <w:p>
            <w:pPr>
              <w:ind w:left="640"/>
              <w:spacing w:after="0"/>
              <w:rPr>
                <w:sz w:val="20"/>
                <w:szCs w:val="20"/>
                <w:color w:val="auto"/>
              </w:rPr>
            </w:pPr>
            <w:r>
              <w:rPr>
                <w:rFonts w:ascii="Arial" w:cs="Arial" w:eastAsia="Arial" w:hAnsi="Arial"/>
                <w:sz w:val="18"/>
                <w:szCs w:val="18"/>
                <w:color w:val="auto"/>
              </w:rPr>
              <w:t>Change in plan assets (in thousands):</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9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as of May 3, 2021</w:t>
            </w:r>
          </w:p>
        </w:tc>
        <w:tc>
          <w:tcPr>
            <w:tcW w:w="19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exchange rate changes</w:t>
            </w:r>
          </w:p>
        </w:tc>
        <w:tc>
          <w:tcPr>
            <w:tcW w:w="15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as of April 30, 2022</w:t>
            </w:r>
          </w:p>
        </w:tc>
        <w:tc>
          <w:tcPr>
            <w:tcW w:w="15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1450"/>
              <w:spacing w:after="0"/>
              <w:rPr>
                <w:sz w:val="20"/>
                <w:szCs w:val="20"/>
                <w:color w:val="auto"/>
              </w:rPr>
            </w:pPr>
            <w:r>
              <w:rPr>
                <w:rFonts w:ascii="Arial" w:cs="Arial" w:eastAsia="Arial" w:hAnsi="Arial"/>
                <w:sz w:val="18"/>
                <w:szCs w:val="18"/>
                <w:color w:val="auto"/>
              </w:rPr>
              <w:t>123</w:t>
            </w: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14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4" w:name="page125"/>
    <w:bookmarkEnd w:id="1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59" w:firstLine="648"/>
        <w:spacing w:after="0" w:line="293" w:lineRule="auto"/>
        <w:rPr>
          <w:sz w:val="20"/>
          <w:szCs w:val="20"/>
          <w:color w:val="auto"/>
        </w:rPr>
      </w:pPr>
      <w:r>
        <w:rPr>
          <w:rFonts w:ascii="Arial" w:cs="Arial" w:eastAsia="Arial" w:hAnsi="Arial"/>
          <w:sz w:val="16"/>
          <w:szCs w:val="16"/>
          <w:color w:val="auto"/>
        </w:rPr>
        <w:t>The projected benefit obligation includes assumptions of a discount rate of 1.7% and pension increase for in-payment benefits of 1.5% for April 30, 2022. The accumulated benefit obligation is approximately equal to the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2023. The Company assumed expected return on plan assets of 2.9% for April 30, 2022.</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20" w:type="dxa"/>
            <w:vAlign w:val="bottom"/>
          </w:tcPr>
          <w:p>
            <w:pPr>
              <w:ind w:left="640"/>
              <w:spacing w:after="0"/>
              <w:rPr>
                <w:sz w:val="20"/>
                <w:szCs w:val="20"/>
                <w:color w:val="auto"/>
              </w:rPr>
            </w:pPr>
            <w:r>
              <w:rPr>
                <w:rFonts w:ascii="Arial" w:cs="Arial" w:eastAsia="Arial" w:hAnsi="Arial"/>
                <w:sz w:val="18"/>
                <w:szCs w:val="18"/>
                <w:color w:val="auto"/>
              </w:rPr>
              <w:t>Expected benefits payments as of April 30, 2022 (in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2028-2032</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640"/>
              <w:spacing w:after="0"/>
              <w:rPr>
                <w:sz w:val="20"/>
                <w:szCs w:val="20"/>
                <w:color w:val="auto"/>
              </w:rPr>
            </w:pPr>
            <w:r>
              <w:rPr>
                <w:rFonts w:ascii="Arial" w:cs="Arial" w:eastAsia="Arial" w:hAnsi="Arial"/>
                <w:sz w:val="18"/>
                <w:szCs w:val="18"/>
                <w:color w:val="auto"/>
                <w:w w:val="96"/>
              </w:rPr>
              <w:t>Net periodic benefit cost (in thousands) is recorded in interest (expense) income, net.</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20" w:hanging="676"/>
        <w:spacing w:after="0"/>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reportable segments are as follows:</w:t>
      </w:r>
    </w:p>
    <w:p>
      <w:pPr>
        <w:spacing w:after="0" w:line="225" w:lineRule="exact"/>
        <w:rPr>
          <w:sz w:val="20"/>
          <w:szCs w:val="20"/>
          <w:color w:val="auto"/>
        </w:rPr>
      </w:pPr>
    </w:p>
    <w:p>
      <w:pPr>
        <w:jc w:val="both"/>
        <w:ind w:left="40" w:right="159" w:firstLine="648"/>
        <w:spacing w:after="0" w:line="259" w:lineRule="auto"/>
        <w:rPr>
          <w:sz w:val="20"/>
          <w:szCs w:val="20"/>
          <w:color w:val="auto"/>
        </w:rPr>
      </w:pPr>
      <w:r>
        <w:rPr>
          <w:rFonts w:ascii="Arial" w:cs="Arial" w:eastAsia="Arial" w:hAnsi="Arial"/>
          <w:sz w:val="18"/>
          <w:szCs w:val="18"/>
          <w:color w:val="auto"/>
        </w:rPr>
        <w:t>Small Unmanned Aircraft Systems —The Small UAS segment focuses primarily on products designed to operate reliably at 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7" w:lineRule="exact"/>
        <w:rPr>
          <w:sz w:val="20"/>
          <w:szCs w:val="20"/>
          <w:color w:val="auto"/>
        </w:rPr>
      </w:pPr>
    </w:p>
    <w:p>
      <w:pPr>
        <w:ind w:left="40" w:right="459" w:firstLine="648"/>
        <w:spacing w:after="0" w:line="301" w:lineRule="auto"/>
        <w:rPr>
          <w:sz w:val="20"/>
          <w:szCs w:val="20"/>
          <w:color w:val="auto"/>
        </w:rPr>
      </w:pPr>
      <w:r>
        <w:rPr>
          <w:rFonts w:ascii="Arial" w:cs="Arial" w:eastAsia="Arial" w:hAnsi="Arial"/>
          <w:sz w:val="16"/>
          <w:szCs w:val="16"/>
          <w:color w:val="auto"/>
        </w:rPr>
        <w:t>Tactical Missile Systems – The TMS segment focuses primarily on TMS products, which are tube-launched aircraft that deploy with the push of a button, fly at higher speeds than small UAS products, and perform either effects delivery or reconnaissance missions, and related support services including training, spare parts, product repair, and product replacement. The TMS segment also includes customer-funded research and development programs.</w:t>
      </w:r>
    </w:p>
    <w:p>
      <w:pPr>
        <w:spacing w:after="0" w:line="157" w:lineRule="exact"/>
        <w:rPr>
          <w:sz w:val="20"/>
          <w:szCs w:val="20"/>
          <w:color w:val="auto"/>
        </w:rPr>
      </w:pPr>
    </w:p>
    <w:p>
      <w:pPr>
        <w:ind w:left="40" w:right="299" w:firstLine="648"/>
        <w:spacing w:after="0" w:line="342" w:lineRule="auto"/>
        <w:rPr>
          <w:sz w:val="20"/>
          <w:szCs w:val="20"/>
          <w:color w:val="auto"/>
        </w:rPr>
      </w:pPr>
      <w:r>
        <w:rPr>
          <w:rFonts w:ascii="Arial" w:cs="Arial" w:eastAsia="Arial" w:hAnsi="Arial"/>
          <w:sz w:val="16"/>
          <w:szCs w:val="16"/>
          <w:color w:val="auto"/>
        </w:rPr>
        <w:t>Medium Unmanned Aircraft Systems—The MUAS segment, which originates with the acquisition of Arcturus, focuses on designs, engineers, tools, and manufactures unmanned aerial and aircraft systems including airborne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color w:val="auto"/>
        </w:rPr>
        <w:t>platforms, payloads and payload integration, ground control systems, and ground support equipment and other items and services related generally to unmanned aircraft systems including ISR services.</w:t>
      </w:r>
    </w:p>
    <w:p>
      <w:pPr>
        <w:spacing w:after="0" w:line="170" w:lineRule="exact"/>
        <w:rPr>
          <w:sz w:val="20"/>
          <w:szCs w:val="20"/>
          <w:color w:val="auto"/>
        </w:rPr>
      </w:pPr>
    </w:p>
    <w:p>
      <w:pPr>
        <w:ind w:left="40" w:right="559" w:firstLine="648"/>
        <w:spacing w:after="0" w:line="308" w:lineRule="auto"/>
        <w:rPr>
          <w:sz w:val="20"/>
          <w:szCs w:val="20"/>
          <w:color w:val="auto"/>
        </w:rPr>
      </w:pPr>
      <w:r>
        <w:rPr>
          <w:rFonts w:ascii="Arial" w:cs="Arial" w:eastAsia="Arial" w:hAnsi="Arial"/>
          <w:sz w:val="17"/>
          <w:szCs w:val="17"/>
          <w:color w:val="auto"/>
        </w:rPr>
        <w:t>High Altitude Pseudo-Satellite Unmanned Aircraft Systems (“HAPS”)—The HAPS segment consists of the Company’s existing development of High Altitude Pseudo-Satellite systems in conjunction with SoftBank.</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other—All other segments include MacCready Works and the recently acquired ISG and Telerob businesses.</w:t>
      </w:r>
    </w:p>
    <w:p>
      <w:pPr>
        <w:spacing w:after="0" w:line="248"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The accounting policies of the segments are the same as those described in Note 1–Organization and Significant Accounting Policies. The operating segments do not make sales to each other. The following table (in thousands) sets forth segment revenue, gross margin, operating (loss) income and adjusted operating (loss) income from operations for the periods indicated. Adjusted operating (loss) income is defined as operating (loss) income before intangible amortization, amortization of purchase accounting adjustment related to increasing the carrying value of certain assets to fair value, and acquisition related expenses.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Year Ended April 30, 2022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Small UAS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MUAS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HAPS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8"/>
              </w:rPr>
              <w:t>All other</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$ 178,201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141,236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9"/>
              </w:rPr>
              <w:t>Income (loss) from continuing operations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April 30, 2021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Small UAS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MUAS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HAPS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$ 235,854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394,912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119,062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164,558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9"/>
              </w:rPr>
              <w:t>Income (loss) from continuing operations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252"/>
              <w:spacing w:after="0"/>
              <w:rPr>
                <w:sz w:val="20"/>
                <w:szCs w:val="20"/>
                <w:color w:val="auto"/>
              </w:rPr>
            </w:pPr>
            <w:r>
              <w:rPr>
                <w:rFonts w:ascii="Arial" w:cs="Arial" w:eastAsia="Arial" w:hAnsi="Arial"/>
                <w:sz w:val="18"/>
                <w:szCs w:val="18"/>
                <w:color w:val="auto"/>
                <w:w w:val="86"/>
              </w:rPr>
              <w:t>125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6" w:name="page127"/>
    <w:bookmarkEnd w:id="1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Year Ended April 30, 2020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3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Small UAS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MUAS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HAPS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225,888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367,296</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117,538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153,102</w:t>
            </w:r>
          </w:p>
        </w:tc>
      </w:tr>
      <w:tr>
        <w:trPr>
          <w:trHeight w:val="229"/>
        </w:trPr>
        <w:tc>
          <w:tcPr>
            <w:tcW w:w="3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w w:val="99"/>
              </w:rPr>
              <w:t>Income (loss) from continuing operations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(15,822)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(11,467)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47,135</w:t>
            </w:r>
          </w:p>
        </w:tc>
      </w:tr>
      <w:tr>
        <w:trPr>
          <w:trHeight w:val="230"/>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02"/>
        </w:trPr>
        <w:tc>
          <w:tcPr>
            <w:tcW w:w="324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w w:val="98"/>
              </w:rPr>
              <w:t>assets and other purchase accounting</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50,721</w:t>
            </w:r>
          </w:p>
        </w:tc>
      </w:tr>
    </w:tbl>
    <w:p>
      <w:pPr>
        <w:spacing w:after="0" w:line="20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April 30, 2022</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MUAS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HAPS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$ 110,286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$ 91,862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$ 388,058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$ 8,148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$ 86,617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$ 229,229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914,200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16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MUAS</w:t>
            </w: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April 30, 2021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HAPS</w:t>
            </w: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$ 115,156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$ 72,073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$ 400,901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598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$ 37,677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$ 302,161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928,566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20" w:hanging="676"/>
        <w:spacing w:after="0"/>
        <w:tabs>
          <w:tab w:leader="none" w:pos="7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Sales to non-U.S. customers, including U.S. government foreign military sales in which an end user is a foreign government, accounted for 41%, 39% and 45% of revenue for each of the fiscal years ended April 30, 2022, 2021 and 2020, respectively. With the acquisition of Arcturus and Telerob, the Company deploys in-service assets internationally, which as of April 30, 2022 was $48,496,000 and $1,601,000, respectively. As of April 30, 2021, the Company deployed in-service assets internationally for Arcturus of $36,047,000.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2"/>
              </w:rPr>
              <w:t>Additions</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Charged to</w:t>
            </w:r>
          </w:p>
        </w:tc>
        <w:tc>
          <w:tcPr>
            <w:tcW w:w="7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Charged to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7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Acquired from Costs and</w:t>
            </w:r>
          </w:p>
        </w:tc>
        <w:tc>
          <w:tcPr>
            <w:tcW w:w="8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Deductions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Expenses</w:t>
            </w: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3"/>
              </w:rPr>
              <w:t>Accounts</w:t>
            </w:r>
          </w:p>
        </w:tc>
        <w:tc>
          <w:tcPr>
            <w:tcW w:w="16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Period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Allowance for doubtful accounts for the year</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ended April 30: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jc w:val="right"/>
              <w:ind w:right="2911"/>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2,069</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jc w:val="right"/>
              <w:ind w:right="2911"/>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1,089</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Reserve for inventory excess and obsolescence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 ended April 30: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7,824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5,377</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jc w:val="right"/>
              <w:ind w:right="2911"/>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10,289</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Reserve for self-insured medical claims for the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April 30: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13,031</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(13,222)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jc w:val="right"/>
              <w:ind w:right="2911"/>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(10,789)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14,724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(14,364)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8" w:name="page129"/>
    <w:bookmarkEnd w:id="1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Rules 13a-15(e) and 15d-15(e)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not effective due to the material weaknesses in internal control over financial reporting described 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8" w:lineRule="exact"/>
        <w:rPr>
          <w:sz w:val="20"/>
          <w:szCs w:val="20"/>
          <w:color w:val="auto"/>
        </w:rPr>
      </w:pPr>
    </w:p>
    <w:p>
      <w:pPr>
        <w:ind w:left="1040" w:right="339" w:hanging="321"/>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1040" w:right="99" w:hanging="321"/>
        <w:spacing w:after="0" w:line="259"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1040" w:right="359" w:hanging="321"/>
        <w:spacing w:after="0" w:line="342" w:lineRule="auto"/>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left="40" w:right="359"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have assessed our internal control over financial reporting as of April 30, 2022, based on criteria for effective internal control over financial reporting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(“COSO”). Based on this assessment, management concluded that its internal control over financial reporting was not effective as of April 30, 2022, due to the material weaknesses as described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related to certain newly acquired businesses, have been identified:</w:t>
      </w:r>
    </w:p>
    <w:p>
      <w:pPr>
        <w:spacing w:after="0" w:line="187"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Management identified deficiencies related to inadequate design and operation of certain controls at certain newly acquired businesses. Specifically, management did not effectively select and develop certain information technology (“IT”) general controls related to access, computer operations and change management controls that led to deficiencies in the design and operation of control activities, including segregation of duties at certain newly acquired businesses. The Company also had deficiencies in the design and operation of account reconciliations at certain newly acquired businesses.</w:t>
      </w:r>
    </w:p>
    <w:p>
      <w:pPr>
        <w:spacing w:after="0" w:line="161"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The material weaknesses within certain IT systems at certain newly acquired businesses had a pervasive impact to various business activity level processes and accounts, including but not limited to financial reporting, inventory and cost of sales, fixed assets and depreciation. The material weaknesses could also impact the effectiveness of IT-dependent controls, such as automated controls that address the risk of a material misstatement to one or more assertions, along with the IT controls and underlying data that support the effectiveness of system-generated data and reports. These deficiencies and a lack of sufficient resources contributed to the potential for there to have been material errors in the Company’s financial statements and therefore resulted in the following additional material weaknesses:</w:t>
      </w:r>
    </w:p>
    <w:p>
      <w:pPr>
        <w:spacing w:after="0" w:line="166" w:lineRule="exact"/>
        <w:rPr>
          <w:sz w:val="20"/>
          <w:szCs w:val="20"/>
          <w:color w:val="auto"/>
        </w:rPr>
      </w:pPr>
    </w:p>
    <w:p>
      <w:pPr>
        <w:ind w:left="720" w:right="119" w:hanging="325"/>
        <w:spacing w:after="0" w:line="259"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 Environment – control deficiencies constituting material weaknesses, either individually or in the aggregate, relating to: (i) establishing structures with the appropriate segregation of duties in the pursuit of objectives and (ii) demonstrating a commitment to attract, develop, and retain competent individuals in alignment with objectives;</w:t>
      </w:r>
    </w:p>
    <w:p>
      <w:pPr>
        <w:spacing w:after="0" w:line="186" w:lineRule="exact"/>
        <w:rPr>
          <w:rFonts w:ascii="Arial" w:cs="Arial" w:eastAsia="Arial" w:hAnsi="Arial"/>
          <w:sz w:val="18"/>
          <w:szCs w:val="18"/>
          <w:color w:val="auto"/>
        </w:rPr>
      </w:pPr>
    </w:p>
    <w:p>
      <w:pPr>
        <w:ind w:left="720" w:right="359" w:hanging="325"/>
        <w:spacing w:after="0" w:line="27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Risk Assessment – control deficiencies constituting material weaknesses, relating to identifying and analyzing risks to achieve their objectives;</w:t>
      </w:r>
    </w:p>
    <w:p>
      <w:pPr>
        <w:spacing w:after="0" w:line="170" w:lineRule="exact"/>
        <w:rPr>
          <w:rFonts w:ascii="Arial" w:cs="Arial" w:eastAsia="Arial" w:hAnsi="Arial"/>
          <w:sz w:val="18"/>
          <w:szCs w:val="18"/>
          <w:color w:val="auto"/>
        </w:rPr>
      </w:pPr>
    </w:p>
    <w:p>
      <w:pPr>
        <w:ind w:left="720" w:right="159" w:hanging="325"/>
        <w:spacing w:after="0" w:line="259"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 Activities – control deficiencies constituting material weaknesses, either individually or in the aggregate, relating to: (i) selecting and developing general control activities over technology to support the achievement of objectives, and (ii) selecting and developing control activities that contribute to the mitigation of risks to the achievement of objectives to acceptable levels;</w:t>
      </w:r>
    </w:p>
    <w:p>
      <w:pPr>
        <w:spacing w:after="0" w:line="186" w:lineRule="exact"/>
        <w:rPr>
          <w:rFonts w:ascii="Arial" w:cs="Arial" w:eastAsia="Arial" w:hAnsi="Arial"/>
          <w:sz w:val="18"/>
          <w:szCs w:val="18"/>
          <w:color w:val="auto"/>
        </w:rPr>
      </w:pPr>
    </w:p>
    <w:p>
      <w:pPr>
        <w:ind w:left="720" w:right="139" w:hanging="325"/>
        <w:spacing w:after="0" w:line="279" w:lineRule="auto"/>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Information and Communication – control deficiencies constituting material weaknesses, either individually or in the aggregate, relating to: (i) obtaining, generating, and using relevant quality information used in business process and related control activities, and (ii) internally communicating information, including objectives and responsibilities for internal control, necessary to support the functioning of internal control;</w:t>
      </w:r>
    </w:p>
    <w:p>
      <w:pPr>
        <w:spacing w:after="0" w:line="171" w:lineRule="exact"/>
        <w:rPr>
          <w:rFonts w:ascii="Arial" w:cs="Arial" w:eastAsia="Arial" w:hAnsi="Arial"/>
          <w:sz w:val="17"/>
          <w:szCs w:val="17"/>
          <w:color w:val="auto"/>
        </w:rPr>
      </w:pPr>
    </w:p>
    <w:p>
      <w:pPr>
        <w:ind w:left="720" w:right="279" w:hanging="325"/>
        <w:spacing w:after="0" w:line="27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Monitoring – control deficiencies constituting material weaknesses relating to monitoring activities to ascertain whether the components of internal control are present and functioning.</w:t>
      </w:r>
    </w:p>
    <w:p>
      <w:pPr>
        <w:spacing w:after="0" w:line="170" w:lineRule="exact"/>
        <w:rPr>
          <w:sz w:val="20"/>
          <w:szCs w:val="20"/>
          <w:color w:val="auto"/>
        </w:rPr>
      </w:pPr>
    </w:p>
    <w:p>
      <w:pPr>
        <w:ind w:left="40" w:right="439" w:firstLine="648"/>
        <w:spacing w:after="0" w:line="342" w:lineRule="auto"/>
        <w:rPr>
          <w:sz w:val="20"/>
          <w:szCs w:val="20"/>
          <w:color w:val="auto"/>
        </w:rPr>
      </w:pPr>
      <w:r>
        <w:rPr>
          <w:rFonts w:ascii="Arial" w:cs="Arial" w:eastAsia="Arial" w:hAnsi="Arial"/>
          <w:sz w:val="16"/>
          <w:szCs w:val="16"/>
          <w:color w:val="auto"/>
        </w:rPr>
        <w:t>While these deficiencies did not result in any material misstatements of the Company’s consolidated financial statements, they did, however, collectively represent material weaknesses in internal control over financial reporting.</w:t>
      </w:r>
    </w:p>
    <w:p>
      <w:pPr>
        <w:spacing w:after="0" w:line="124" w:lineRule="exact"/>
        <w:rPr>
          <w:sz w:val="20"/>
          <w:szCs w:val="20"/>
          <w:color w:val="auto"/>
        </w:rPr>
      </w:pPr>
    </w:p>
    <w:p>
      <w:pPr>
        <w:ind w:left="40" w:right="119" w:firstLine="648"/>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April 30, 2022 has been audited by Deloitte &amp; Touche LLP, an independent registered public accounting firm, as stated in their report which is included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Remediation of Material Weakness</w:t>
      </w:r>
    </w:p>
    <w:p>
      <w:pPr>
        <w:spacing w:after="0" w:line="229" w:lineRule="exact"/>
        <w:rPr>
          <w:sz w:val="20"/>
          <w:szCs w:val="20"/>
          <w:color w:val="auto"/>
        </w:rPr>
      </w:pPr>
    </w:p>
    <w:p>
      <w:pPr>
        <w:ind w:left="40" w:right="199" w:firstLine="648"/>
        <w:spacing w:after="0" w:line="301" w:lineRule="auto"/>
        <w:rPr>
          <w:sz w:val="20"/>
          <w:szCs w:val="20"/>
          <w:color w:val="auto"/>
        </w:rPr>
      </w:pPr>
      <w:r>
        <w:rPr>
          <w:rFonts w:ascii="Arial" w:cs="Arial" w:eastAsia="Arial" w:hAnsi="Arial"/>
          <w:sz w:val="16"/>
          <w:szCs w:val="16"/>
          <w:color w:val="auto"/>
        </w:rPr>
        <w:t>As of the date of this report, management has implemented measures it believes will remediate the identified deficiencies for one of the newly acquired businesses as certain IT systems at certain newly acquired businesses related to inventory and cost of sales was transitioned to the Corporate ERP system in late May 2022. Regarding the material weakness identified in the other acquisition, management’s remediation efforts are ongoing, and management has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committed to a remediation plan to address the deficiencies and enhance the internal control environment. The remediation plan includes, but is not limited to:</w:t>
      </w:r>
    </w:p>
    <w:p>
      <w:pPr>
        <w:spacing w:after="0" w:line="170" w:lineRule="exact"/>
        <w:rPr>
          <w:sz w:val="20"/>
          <w:szCs w:val="20"/>
          <w:color w:val="auto"/>
        </w:rPr>
      </w:pPr>
    </w:p>
    <w:p>
      <w:pPr>
        <w:ind w:left="1040" w:right="199" w:hanging="321"/>
        <w:spacing w:after="0" w:line="342" w:lineRule="auto"/>
        <w:tabs>
          <w:tab w:leader="none" w:pos="1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rationalizing access privileges for all system users and documenting the assignment of access privileges and the rationale for allowing access for each authorized user to address segregation of duties;</w:t>
      </w:r>
    </w:p>
    <w:p>
      <w:pPr>
        <w:spacing w:after="0" w:line="123" w:lineRule="exact"/>
        <w:rPr>
          <w:rFonts w:ascii="Arial" w:cs="Arial" w:eastAsia="Arial" w:hAnsi="Arial"/>
          <w:sz w:val="16"/>
          <w:szCs w:val="16"/>
          <w:color w:val="auto"/>
        </w:rPr>
      </w:pPr>
    </w:p>
    <w:p>
      <w:pPr>
        <w:ind w:left="1040" w:right="1019" w:hanging="321"/>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implementing controls that require the periodic re-evaluation of user access privileges, including administrative access;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enhancing system monitoring controls to confirm the adequacy of program change management controls; and</w:t>
      </w:r>
    </w:p>
    <w:p>
      <w:pPr>
        <w:spacing w:after="0" w:line="248" w:lineRule="exact"/>
        <w:rPr>
          <w:rFonts w:ascii="Arial" w:cs="Arial" w:eastAsia="Arial" w:hAnsi="Arial"/>
          <w:sz w:val="16"/>
          <w:szCs w:val="16"/>
          <w:color w:val="auto"/>
        </w:rPr>
      </w:pPr>
    </w:p>
    <w:p>
      <w:pPr>
        <w:ind w:left="1040" w:right="219" w:hanging="321"/>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training of personnel on the design and operation of our internal controls over financial reporting, as well as the hiring of additional resources with experience with COSO.</w:t>
      </w:r>
    </w:p>
    <w:p>
      <w:pPr>
        <w:spacing w:after="0" w:line="170"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However, remedial controls must operate for a sufficient period of time for a definitive conclusion, through testing, that the deficiencies have been fully remediated and, as such, management can give no assurance that the measures it has undertaken have fully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Except for the identification of the material weaknesses described above, there were no changes in our internal control over financial reporting or in other factors identified in connection with the evaluation required by paragraph (d) of Exchange Act Rules 13a-15(f) or 15d-15(f) that occurred during the quarter ended April 30, 2022 that have materially affected, or are reasonably likely to materially affect, our internal control over financial reporting.</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 AeroVironment, Inc.</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We have audited the internal control over financial reporting of AeroVironment, Inc. and subsidiaries (the “Company”) as of April 30, 2022, based on criteria established in Internal Control — Integrated Framework (2013)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April 30, 2022, based on criteria established in Internal Control — Integrated Framework (2013) issued by COSO.</w:t>
      </w:r>
    </w:p>
    <w:p>
      <w:pPr>
        <w:spacing w:after="0" w:line="178"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April 30, 2022, of the Company and our report dated June 28, 2022, expressed an unqualified opinion on those financial statements.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Weaknesses</w:t>
      </w:r>
    </w:p>
    <w:p>
      <w:pPr>
        <w:spacing w:after="0" w:line="229"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not be prevented or detected on a timely basis. The following material weaknesses, related to certain newly acquired businesses, have been identified and included in management's assessment:</w:t>
      </w:r>
    </w:p>
    <w:p>
      <w:pPr>
        <w:spacing w:after="0" w:line="170"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Company identified deficiencies related to inadequate design and operation of certain controls at certain newly acquired businesses. Specifically, the Company did not effectively select and develop certain information technology (“IT”) general controls related to access, computer operations and change management controls that led to deficiencies in the design and operation of control activities, including segregation of duties at certain newly acquired businesses. The Company also had deficiencies in the design and operation of account reconciliations at certain newly acquired businesses.</w:t>
      </w:r>
    </w:p>
    <w:p>
      <w:pPr>
        <w:spacing w:after="0" w:line="161"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The material weaknesses within certain IT systems at certain newly acquired businesses had a pervasive impact to various business activity level processes and accounts, including but not limited to financial reporting, inventory and cost of sales, fixed assets and depreciation. The material weaknesses could also impact the effectiveness of IT-dependent controls, such as automated controls that address the risk of a material misstatement to one or more assertions, along with the IT controls and underlying data that support the effectiveness of system-generated data and reports. These deficiencies and a lack of sufficient resources contributed to the potential for there to have been material errors in the Company’s consolidated financial statements and therefore resulted in the following additional material weaknesses:</w:t>
      </w:r>
    </w:p>
    <w:p>
      <w:pPr>
        <w:spacing w:after="0" w:line="166" w:lineRule="exact"/>
        <w:rPr>
          <w:sz w:val="20"/>
          <w:szCs w:val="20"/>
          <w:color w:val="auto"/>
        </w:rPr>
      </w:pPr>
    </w:p>
    <w:p>
      <w:pPr>
        <w:jc w:val="both"/>
        <w:ind w:left="720" w:right="59" w:hanging="325"/>
        <w:spacing w:after="0" w:line="25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Control Environment – control deficiencies constituting material weaknesses, either individually or in the aggregate, relating to: (i) establishing structures with the appropriate segregation of duties in the pursuit of objectives and (ii) demonstrating a commitment to attract, develop, and retain competent individuals in alignment with objectives;</w:t>
      </w:r>
    </w:p>
    <w:p>
      <w:pPr>
        <w:spacing w:after="0" w:line="186"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Risk Assessment – control deficiencies constituting material weaknesses, relating to identifying and analyzing risks to achieve their objectives;</w:t>
      </w:r>
    </w:p>
    <w:p>
      <w:pPr>
        <w:spacing w:after="0" w:line="170" w:lineRule="exact"/>
        <w:rPr>
          <w:rFonts w:ascii="Arial" w:cs="Arial" w:eastAsia="Arial" w:hAnsi="Arial"/>
          <w:sz w:val="18"/>
          <w:szCs w:val="18"/>
          <w:color w:val="auto"/>
        </w:rPr>
      </w:pPr>
    </w:p>
    <w:p>
      <w:pPr>
        <w:jc w:val="both"/>
        <w:ind w:left="720" w:right="79" w:hanging="325"/>
        <w:spacing w:after="0" w:line="25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Control Activities – control deficiencies constituting material weaknesses, either individually or in the aggregate, relating to: (i) selecting and developing general control activities over technology to support the achievement of objectives, and (ii) selecting and developing control activities that contribute to the mitigation of risks to the achievement of objectives to acceptable levels;</w:t>
      </w:r>
    </w:p>
    <w:p>
      <w:pPr>
        <w:spacing w:after="0" w:line="186" w:lineRule="exact"/>
        <w:rPr>
          <w:rFonts w:ascii="Arial" w:cs="Arial" w:eastAsia="Arial" w:hAnsi="Arial"/>
          <w:sz w:val="18"/>
          <w:szCs w:val="18"/>
          <w:color w:val="auto"/>
        </w:rPr>
      </w:pPr>
    </w:p>
    <w:p>
      <w:pPr>
        <w:jc w:val="both"/>
        <w:ind w:left="720" w:right="79" w:hanging="325"/>
        <w:spacing w:after="0" w:line="279" w:lineRule="auto"/>
        <w:tabs>
          <w:tab w:leader="none" w:pos="7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Information and Communication – control deficiencies constituting material weaknesses, either individually or in the aggregate, relating to: (i) obtaining, generating, and using relevant quality information used in business process and related control activities, and (ii) internally communicating information, including objectives and responsibilities for internal control, necessary to support the functioning of internal control;</w:t>
      </w:r>
    </w:p>
    <w:p>
      <w:pPr>
        <w:spacing w:after="0" w:line="171"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Monitoring – control deficiencies constituting material weaknesses relating to monitoring activities to ascertain whether the components of internal control are present and functioning.</w:t>
      </w:r>
    </w:p>
    <w:p>
      <w:pPr>
        <w:spacing w:after="0" w:line="170"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 consolidated financial statements as of and for the year ended April 30, 2022, of the Company, and this report does not affect our report on such financial statements.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Certain information required by Item 401 and Item 405 of Regulation S-K will be included in the definitive proxy statement for our 2022 Annual Meeting of Stockholders, which will be filed no later than 120 days after April 30, 2022, and that information is incorporated by reference herein.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Codes of Ethics</w:t>
      </w:r>
    </w:p>
    <w:p>
      <w:pPr>
        <w:spacing w:after="0" w:line="229"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We have adopted a Code of Business Conduct and Ethics (“Code of Conduct”). The Code of Conduct is posted on our website, http://investor.avinc.com/corporate-governance.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225"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170" w:lineRule="exact"/>
        <w:rPr>
          <w:sz w:val="20"/>
          <w:szCs w:val="20"/>
          <w:color w:val="auto"/>
        </w:rPr>
      </w:pPr>
    </w:p>
    <w:p>
      <w:pPr>
        <w:ind w:left="40" w:right="399" w:firstLine="648"/>
        <w:spacing w:after="0" w:line="342" w:lineRule="auto"/>
        <w:rPr>
          <w:sz w:val="20"/>
          <w:szCs w:val="20"/>
          <w:color w:val="auto"/>
        </w:rPr>
      </w:pPr>
      <w:r>
        <w:rPr>
          <w:rFonts w:ascii="Arial" w:cs="Arial" w:eastAsia="Arial" w:hAnsi="Arial"/>
          <w:sz w:val="16"/>
          <w:szCs w:val="16"/>
          <w:color w:val="auto"/>
        </w:rPr>
        <w:t>The information required by Item 407(d)(4) and (5) of Regulation S-K will be included in the definitive proxy statement for our 2022 Annual Meeting of Stockholders, and that information is incorporated by reference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The information required by Item 402 and Item 407(e)(4) and (5) of Regulation S-K will be included in the definitive proxy statement for our 2022 Annual Meeting of Stockholders, and that information is incorporated by reference herein.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The information required by Item 201(d) and Item 403 of Regulation S-K will be included in the definitive proxy statement for our 2022 Annual Meeting of Stockholders, and that information is incorporated by reference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The information required by Item 404 and Item 407(a) of Regulation S-K will be included in the definitive proxy statement for our 2022 Annual Meeting of Stockholders, and that information is incorporated by reference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independent public accounting firm is Deloitte &amp; Touche LLP, Los Angeles, California, PCAOB Auditor ID</w:t>
      </w:r>
    </w:p>
    <w:p>
      <w:pPr>
        <w:spacing w:after="0" w:line="35" w:lineRule="exact"/>
        <w:rPr>
          <w:sz w:val="20"/>
          <w:szCs w:val="20"/>
          <w:color w:val="auto"/>
        </w:rPr>
      </w:pPr>
    </w:p>
    <w:p>
      <w:pPr>
        <w:ind w:left="40" w:right="179" w:firstLine="4"/>
        <w:spacing w:after="0" w:line="260" w:lineRule="auto"/>
        <w:tabs>
          <w:tab w:leader="none" w:pos="3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required by this Item 14 of Form 10-K will be included in the definitive proxy statement for our 2022 Annual Meeting of Stockholders, and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700" w:hanging="6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 Financial Statements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185" w:lineRule="exact"/>
        <w:rPr>
          <w:sz w:val="20"/>
          <w:szCs w:val="20"/>
          <w:color w:val="auto"/>
        </w:rPr>
      </w:pPr>
    </w:p>
    <w:p>
      <w:pPr>
        <w:ind w:left="1040" w:hanging="321"/>
        <w:spacing w:after="0"/>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Balance Sheets at April 30, 2022 and 2021</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(Loss) Income for the Years Ended April 30, 2022, 2021 and 2020</w:t>
      </w:r>
    </w:p>
    <w:p>
      <w:pPr>
        <w:spacing w:after="0" w:line="184" w:lineRule="exact"/>
        <w:rPr>
          <w:rFonts w:ascii="Arial" w:cs="Arial" w:eastAsia="Arial" w:hAnsi="Arial"/>
          <w:sz w:val="18"/>
          <w:szCs w:val="18"/>
          <w:color w:val="auto"/>
        </w:rPr>
      </w:pPr>
    </w:p>
    <w:p>
      <w:pPr>
        <w:ind w:left="1040" w:right="399" w:hanging="321"/>
        <w:spacing w:after="0" w:line="277" w:lineRule="auto"/>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the Years Ended April 30, 2022, 2021 and 2020</w:t>
      </w:r>
    </w:p>
    <w:p>
      <w:pPr>
        <w:spacing w:after="0" w:line="129" w:lineRule="exact"/>
        <w:rPr>
          <w:rFonts w:ascii="Arial" w:cs="Arial" w:eastAsia="Arial" w:hAnsi="Arial"/>
          <w:sz w:val="18"/>
          <w:szCs w:val="18"/>
          <w:color w:val="auto"/>
        </w:rPr>
      </w:pPr>
    </w:p>
    <w:p>
      <w:pPr>
        <w:ind w:left="1040" w:hanging="321"/>
        <w:spacing w:after="0"/>
        <w:tabs>
          <w:tab w:leader="none" w:pos="10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Years Ended April 30, 2022, 2021 and 2020</w:t>
      </w:r>
    </w:p>
    <w:p>
      <w:pPr>
        <w:spacing w:after="0" w:line="196" w:lineRule="exact"/>
        <w:rPr>
          <w:rFonts w:ascii="Arial" w:cs="Arial" w:eastAsia="Arial" w:hAnsi="Arial"/>
          <w:sz w:val="17"/>
          <w:szCs w:val="17"/>
          <w:color w:val="auto"/>
        </w:rPr>
      </w:pPr>
    </w:p>
    <w:p>
      <w:pPr>
        <w:ind w:left="1040" w:hanging="321"/>
        <w:spacing w:after="0"/>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2022, 2021 and 2020</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0" w:lineRule="exact"/>
        <w:rPr>
          <w:rFonts w:ascii="Arial" w:cs="Arial" w:eastAsia="Arial" w:hAnsi="Arial"/>
          <w:sz w:val="18"/>
          <w:szCs w:val="18"/>
          <w:color w:val="auto"/>
        </w:rPr>
      </w:pPr>
    </w:p>
    <w:p>
      <w:pPr>
        <w:ind w:left="920" w:hanging="228"/>
        <w:spacing w:after="0"/>
        <w:tabs>
          <w:tab w:leader="none" w:pos="9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Schedule is included in Item 8:</w:t>
      </w:r>
    </w:p>
    <w:p>
      <w:pPr>
        <w:spacing w:after="0" w:line="185" w:lineRule="exact"/>
        <w:rPr>
          <w:sz w:val="20"/>
          <w:szCs w:val="20"/>
          <w:color w:val="auto"/>
        </w:rPr>
      </w:pPr>
    </w:p>
    <w:p>
      <w:pPr>
        <w:ind w:left="1040" w:hanging="321"/>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left="40" w:right="439" w:firstLine="648"/>
        <w:spacing w:after="0" w:line="263"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15(b) of this report below.</w:t>
      </w:r>
    </w:p>
    <w:p>
      <w:pPr>
        <w:spacing w:after="0" w:line="225" w:lineRule="exact"/>
        <w:rPr>
          <w:sz w:val="20"/>
          <w:szCs w:val="20"/>
          <w:color w:val="auto"/>
        </w:rPr>
      </w:pPr>
    </w:p>
    <w:p>
      <w:pPr>
        <w:ind w:left="700" w:hanging="6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20" w:type="dxa"/>
            <w:vAlign w:val="bottom"/>
            <w:gridSpan w:val="9"/>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2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3.1(1)</w:t>
            </w:r>
          </w:p>
        </w:tc>
        <w:tc>
          <w:tcPr>
            <w:tcW w:w="160" w:type="dxa"/>
            <w:vAlign w:val="bottom"/>
          </w:tcPr>
          <w:p>
            <w:pPr>
              <w:spacing w:after="0"/>
              <w:rPr>
                <w:sz w:val="14"/>
                <w:szCs w:val="14"/>
                <w:color w:val="auto"/>
              </w:rPr>
            </w:pPr>
          </w:p>
        </w:tc>
        <w:tc>
          <w:tcPr>
            <w:tcW w:w="544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Amended and Restated Certificate of Incorporation of AeroVironment, Inc.</w:t>
              </w:r>
            </w:hyperlink>
          </w:p>
        </w:tc>
        <w:tc>
          <w:tcPr>
            <w:tcW w:w="2400" w:type="dxa"/>
            <w:vAlign w:val="bottom"/>
            <w:tcBorders>
              <w:top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3.3 (2)</w:t>
            </w:r>
          </w:p>
        </w:tc>
        <w:tc>
          <w:tcPr>
            <w:tcW w:w="160" w:type="dxa"/>
            <w:vAlign w:val="bottom"/>
          </w:tcPr>
          <w:p>
            <w:pPr>
              <w:spacing w:after="0"/>
              <w:rPr>
                <w:sz w:val="17"/>
                <w:szCs w:val="17"/>
                <w:color w:val="auto"/>
              </w:rPr>
            </w:pPr>
          </w:p>
        </w:tc>
        <w:tc>
          <w:tcPr>
            <w:tcW w:w="6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Third Amended and Restated Bylaws of AeroVironment, Inc., amended as of February 25, 2022</w:t>
              </w:r>
            </w:hyperlink>
          </w:p>
        </w:tc>
        <w:tc>
          <w:tcPr>
            <w:tcW w:w="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4.1(3)</w:t>
            </w:r>
          </w:p>
        </w:tc>
        <w:tc>
          <w:tcPr>
            <w:tcW w:w="16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Form of AeroVironment, Inc.’s Common Stock Certificate</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4.2(4)</w:t>
            </w:r>
          </w:p>
        </w:tc>
        <w:tc>
          <w:tcPr>
            <w:tcW w:w="160" w:type="dxa"/>
            <w:vAlign w:val="bottom"/>
          </w:tcPr>
          <w:p>
            <w:pPr>
              <w:spacing w:after="0"/>
              <w:rPr>
                <w:sz w:val="17"/>
                <w:szCs w:val="17"/>
                <w:color w:val="auto"/>
              </w:rPr>
            </w:pPr>
          </w:p>
        </w:tc>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Description of Registrant’s Securities</w:t>
              </w:r>
            </w:hyperlink>
          </w:p>
        </w:tc>
        <w:tc>
          <w:tcPr>
            <w:tcW w:w="3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10.1#(5)</w:t>
            </w:r>
          </w:p>
        </w:tc>
        <w:tc>
          <w:tcPr>
            <w:tcW w:w="16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10.2#(3)</w:t>
            </w:r>
          </w:p>
        </w:tc>
        <w:tc>
          <w:tcPr>
            <w:tcW w:w="160" w:type="dxa"/>
            <w:vAlign w:val="bottom"/>
          </w:tcPr>
          <w:p>
            <w:pPr>
              <w:spacing w:after="0"/>
              <w:rPr>
                <w:sz w:val="17"/>
                <w:szCs w:val="17"/>
                <w:color w:val="auto"/>
              </w:rPr>
            </w:pPr>
          </w:p>
        </w:tc>
        <w:tc>
          <w:tcPr>
            <w:tcW w:w="1920" w:type="dxa"/>
            <w:vAlign w:val="bottom"/>
            <w:tcBorders>
              <w:top w:val="single" w:sz="8" w:color="0000EE"/>
            </w:tcBorders>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AeroVironment, Inc. 2006</w:t>
              </w:r>
            </w:hyperlink>
          </w:p>
        </w:tc>
        <w:tc>
          <w:tcPr>
            <w:tcW w:w="2980" w:type="dxa"/>
            <w:vAlign w:val="bottom"/>
            <w:tcBorders>
              <w:top w:val="single" w:sz="8" w:color="0000EE"/>
            </w:tcBorders>
            <w:gridSpan w:val="4"/>
          </w:tcPr>
          <w:p>
            <w:pPr>
              <w:ind w:left="40"/>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Equity Incentive Plan</w:t>
              </w:r>
            </w:hyperlink>
          </w:p>
        </w:tc>
        <w:tc>
          <w:tcPr>
            <w:tcW w:w="2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10.3#(6)</w:t>
            </w:r>
          </w:p>
        </w:tc>
        <w:tc>
          <w:tcPr>
            <w:tcW w:w="160" w:type="dxa"/>
            <w:vAlign w:val="bottom"/>
          </w:tcPr>
          <w:p>
            <w:pPr>
              <w:spacing w:after="0"/>
              <w:rPr>
                <w:sz w:val="14"/>
                <w:szCs w:val="14"/>
                <w:color w:val="auto"/>
              </w:rPr>
            </w:pPr>
          </w:p>
        </w:tc>
        <w:tc>
          <w:tcPr>
            <w:tcW w:w="1920" w:type="dxa"/>
            <w:vAlign w:val="bottom"/>
            <w:tcBorders>
              <w:top w:val="single" w:sz="8" w:color="0000EE"/>
            </w:tcBorders>
          </w:tcPr>
          <w:p>
            <w:pPr>
              <w:spacing w:after="0" w:line="169"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AeroVironment, Inc. 2006</w:t>
              </w:r>
            </w:hyperlink>
          </w:p>
        </w:tc>
        <w:tc>
          <w:tcPr>
            <w:tcW w:w="1600" w:type="dxa"/>
            <w:vAlign w:val="bottom"/>
            <w:tcBorders>
              <w:top w:val="single" w:sz="8" w:color="0000EE"/>
            </w:tcBorders>
            <w:gridSpan w:val="2"/>
          </w:tcPr>
          <w:p>
            <w:pPr>
              <w:ind w:left="40"/>
              <w:spacing w:after="0" w:line="169"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Equity Incentive Plan,</w:t>
              </w:r>
            </w:hyperlink>
          </w:p>
        </w:tc>
        <w:tc>
          <w:tcPr>
            <w:tcW w:w="4320" w:type="dxa"/>
            <w:vAlign w:val="bottom"/>
            <w:gridSpan w:val="9"/>
          </w:tcPr>
          <w:p>
            <w:pPr>
              <w:ind w:left="80"/>
              <w:spacing w:after="0" w:line="169"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as amended and restated effective September 29, 2011</w:t>
              </w:r>
            </w:hyperlink>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10.4#(7)</w:t>
            </w:r>
          </w:p>
        </w:tc>
        <w:tc>
          <w:tcPr>
            <w:tcW w:w="160" w:type="dxa"/>
            <w:vAlign w:val="bottom"/>
          </w:tcPr>
          <w:p>
            <w:pPr>
              <w:spacing w:after="0"/>
              <w:rPr>
                <w:sz w:val="14"/>
                <w:szCs w:val="14"/>
                <w:color w:val="auto"/>
              </w:rPr>
            </w:pPr>
          </w:p>
        </w:tc>
        <w:tc>
          <w:tcPr>
            <w:tcW w:w="1920" w:type="dxa"/>
            <w:vAlign w:val="bottom"/>
            <w:tcBorders>
              <w:top w:val="single" w:sz="8" w:color="0000EE"/>
              <w:bottom w:val="single" w:sz="8" w:color="0000EE"/>
            </w:tcBorders>
          </w:tcPr>
          <w:p>
            <w:pPr>
              <w:spacing w:after="0" w:line="169"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AeroVironment, Inc. 2006</w:t>
              </w:r>
            </w:hyperlink>
          </w:p>
        </w:tc>
        <w:tc>
          <w:tcPr>
            <w:tcW w:w="5580" w:type="dxa"/>
            <w:vAlign w:val="bottom"/>
            <w:tcBorders>
              <w:top w:val="single" w:sz="8" w:color="0000EE"/>
              <w:bottom w:val="single" w:sz="8" w:color="0000EE"/>
            </w:tcBorders>
            <w:gridSpan w:val="8"/>
          </w:tcPr>
          <w:p>
            <w:pPr>
              <w:ind w:left="40"/>
              <w:spacing w:after="0" w:line="169" w:lineRule="exact"/>
              <w:rPr>
                <w:rFonts w:ascii="Arial" w:cs="Arial" w:eastAsia="Arial" w:hAnsi="Arial"/>
                <w:sz w:val="18"/>
                <w:szCs w:val="18"/>
                <w:color w:val="0000EE"/>
                <w:w w:val="88"/>
              </w:rPr>
            </w:pPr>
            <w:hyperlink r:id="rId168">
              <w:r>
                <w:rPr>
                  <w:rFonts w:ascii="Arial" w:cs="Arial" w:eastAsia="Arial" w:hAnsi="Arial"/>
                  <w:sz w:val="18"/>
                  <w:szCs w:val="18"/>
                  <w:color w:val="0000EE"/>
                  <w:w w:val="88"/>
                </w:rPr>
                <w:t>Equity Incentive Plan, as amended and restated effective September 30, 2016</w:t>
              </w:r>
            </w:hyperlink>
          </w:p>
        </w:tc>
        <w:tc>
          <w:tcPr>
            <w:tcW w:w="20" w:type="dxa"/>
            <w:vAlign w:val="bottom"/>
            <w:tcBorders>
              <w:bottom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10.5#(3)</w:t>
            </w:r>
          </w:p>
        </w:tc>
        <w:tc>
          <w:tcPr>
            <w:tcW w:w="160" w:type="dxa"/>
            <w:vAlign w:val="bottom"/>
          </w:tcPr>
          <w:p>
            <w:pPr>
              <w:spacing w:after="0"/>
              <w:rPr>
                <w:sz w:val="14"/>
                <w:szCs w:val="14"/>
                <w:color w:val="auto"/>
              </w:rPr>
            </w:pPr>
          </w:p>
        </w:tc>
        <w:tc>
          <w:tcPr>
            <w:tcW w:w="7100" w:type="dxa"/>
            <w:vAlign w:val="bottom"/>
            <w:tcBorders>
              <w:bottom w:val="single" w:sz="8" w:color="0000EE"/>
            </w:tcBorders>
            <w:gridSpan w:val="8"/>
          </w:tcPr>
          <w:p>
            <w:pPr>
              <w:spacing w:after="0" w:line="169"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Form of Stock Option Agreement pursuant to the AeroVironment, Inc. 2006 Equity Incentive Plan</w:t>
              </w:r>
            </w:hyperlink>
          </w:p>
        </w:tc>
        <w:tc>
          <w:tcPr>
            <w:tcW w:w="4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10.6#(3)</w:t>
            </w:r>
          </w:p>
        </w:tc>
        <w:tc>
          <w:tcPr>
            <w:tcW w:w="160" w:type="dxa"/>
            <w:vAlign w:val="bottom"/>
          </w:tcPr>
          <w:p>
            <w:pPr>
              <w:spacing w:after="0"/>
              <w:rPr>
                <w:sz w:val="14"/>
                <w:szCs w:val="14"/>
                <w:color w:val="auto"/>
              </w:rPr>
            </w:pPr>
          </w:p>
        </w:tc>
        <w:tc>
          <w:tcPr>
            <w:tcW w:w="7840" w:type="dxa"/>
            <w:vAlign w:val="bottom"/>
            <w:gridSpan w:val="12"/>
          </w:tcPr>
          <w:p>
            <w:pPr>
              <w:spacing w:after="0" w:line="169"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Form of Performance Based Bonus Award pursuant to the AeroVironment, Inc. 2006 Equity Incentive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20" w:type="dxa"/>
            <w:vAlign w:val="bottom"/>
            <w:gridSpan w:val="37"/>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9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2"/>
              </w:rPr>
              <w:t>10.7#(8)</w:t>
            </w:r>
          </w:p>
        </w:tc>
        <w:tc>
          <w:tcPr>
            <w:tcW w:w="160" w:type="dxa"/>
            <w:vAlign w:val="bottom"/>
          </w:tcPr>
          <w:p>
            <w:pPr>
              <w:spacing w:after="0"/>
              <w:rPr>
                <w:sz w:val="14"/>
                <w:szCs w:val="14"/>
                <w:color w:val="auto"/>
              </w:rPr>
            </w:pPr>
          </w:p>
        </w:tc>
        <w:tc>
          <w:tcPr>
            <w:tcW w:w="7840" w:type="dxa"/>
            <w:vAlign w:val="bottom"/>
            <w:tcBorders>
              <w:top w:val="single" w:sz="8" w:color="auto"/>
            </w:tcBorders>
            <w:gridSpan w:val="40"/>
          </w:tcPr>
          <w:p>
            <w:pPr>
              <w:spacing w:after="0" w:line="162"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Form of Long-Term Compensation Award Grant Notice and Long-Term Compensation Award Agreement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10.8#(9)</w:t>
            </w:r>
          </w:p>
        </w:tc>
        <w:tc>
          <w:tcPr>
            <w:tcW w:w="160" w:type="dxa"/>
            <w:vAlign w:val="bottom"/>
          </w:tcPr>
          <w:p>
            <w:pPr>
              <w:spacing w:after="0"/>
              <w:rPr>
                <w:sz w:val="14"/>
                <w:szCs w:val="14"/>
                <w:color w:val="auto"/>
              </w:rPr>
            </w:pPr>
          </w:p>
        </w:tc>
        <w:tc>
          <w:tcPr>
            <w:tcW w:w="7720" w:type="dxa"/>
            <w:vAlign w:val="bottom"/>
            <w:tcBorders>
              <w:top w:val="single" w:sz="8" w:color="0000EE"/>
            </w:tcBorders>
            <w:gridSpan w:val="34"/>
          </w:tcPr>
          <w:p>
            <w:pPr>
              <w:spacing w:after="0" w:line="169" w:lineRule="exact"/>
              <w:rPr>
                <w:rFonts w:ascii="Arial" w:cs="Arial" w:eastAsia="Arial" w:hAnsi="Arial"/>
                <w:sz w:val="18"/>
                <w:szCs w:val="18"/>
                <w:color w:val="0000EE"/>
              </w:rPr>
            </w:pPr>
            <w:hyperlink r:id="rId172">
              <w:r>
                <w:rPr>
                  <w:rFonts w:ascii="Arial" w:cs="Arial" w:eastAsia="Arial" w:hAnsi="Arial"/>
                  <w:sz w:val="18"/>
                  <w:szCs w:val="18"/>
                  <w:color w:val="0000EE"/>
                </w:rPr>
                <w:t>pursuant to the AeroVironment, Inc. 2006 Equity Incentive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Form of Restricted Stock Award Grant Notice and Restricted Stock Award Agreement (Severance Plan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20" w:type="dxa"/>
            <w:vAlign w:val="bottom"/>
            <w:tcBorders>
              <w:top w:val="single" w:sz="8" w:color="0000EE"/>
            </w:tcBorders>
            <w:gridSpan w:val="25"/>
          </w:tcPr>
          <w:p>
            <w:pPr>
              <w:spacing w:after="0" w:line="169" w:lineRule="exact"/>
              <w:rPr>
                <w:rFonts w:ascii="Arial" w:cs="Arial" w:eastAsia="Arial" w:hAnsi="Arial"/>
                <w:sz w:val="18"/>
                <w:szCs w:val="18"/>
                <w:color w:val="0000EE"/>
              </w:rPr>
            </w:pPr>
            <w:hyperlink r:id="rId173">
              <w:r>
                <w:rPr>
                  <w:rFonts w:ascii="Arial" w:cs="Arial" w:eastAsia="Arial" w:hAnsi="Arial"/>
                  <w:sz w:val="18"/>
                  <w:szCs w:val="18"/>
                  <w:color w:val="0000EE"/>
                </w:rPr>
                <w:t>Participants) pursuant to the AeroVironment, Inc. 2006 Equity Incentive Plan</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10.9#(9)</w:t>
            </w:r>
          </w:p>
        </w:tc>
        <w:tc>
          <w:tcPr>
            <w:tcW w:w="160" w:type="dxa"/>
            <w:vAlign w:val="bottom"/>
          </w:tcPr>
          <w:p>
            <w:pPr>
              <w:spacing w:after="0"/>
              <w:rPr>
                <w:sz w:val="14"/>
                <w:szCs w:val="14"/>
                <w:color w:val="auto"/>
              </w:rPr>
            </w:pPr>
          </w:p>
        </w:tc>
        <w:tc>
          <w:tcPr>
            <w:tcW w:w="5580" w:type="dxa"/>
            <w:vAlign w:val="bottom"/>
            <w:tcBorders>
              <w:top w:val="single" w:sz="8" w:color="0000EE"/>
            </w:tcBorders>
            <w:gridSpan w:val="10"/>
          </w:tcPr>
          <w:p>
            <w:pPr>
              <w:spacing w:after="0" w:line="169"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Form of Restricted Stock Award Grant Notice and Restricted Stock Award</w:t>
              </w:r>
            </w:hyperlink>
          </w:p>
        </w:tc>
        <w:tc>
          <w:tcPr>
            <w:tcW w:w="2260" w:type="dxa"/>
            <w:vAlign w:val="bottom"/>
            <w:gridSpan w:val="30"/>
          </w:tcPr>
          <w:p>
            <w:pPr>
              <w:spacing w:after="0" w:line="169" w:lineRule="exact"/>
              <w:rPr>
                <w:rFonts w:ascii="Arial" w:cs="Arial" w:eastAsia="Arial" w:hAnsi="Arial"/>
                <w:sz w:val="18"/>
                <w:szCs w:val="18"/>
                <w:color w:val="0000EE"/>
                <w:w w:val="84"/>
              </w:rPr>
            </w:pPr>
            <w:hyperlink r:id="rId174">
              <w:r>
                <w:rPr>
                  <w:rFonts w:ascii="Arial" w:cs="Arial" w:eastAsia="Arial" w:hAnsi="Arial"/>
                  <w:sz w:val="18"/>
                  <w:szCs w:val="18"/>
                  <w:color w:val="0000EE"/>
                  <w:w w:val="84"/>
                </w:rPr>
                <w:t>Agreement (Non-Severance Plan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tcBorders>
              <w:top w:val="single" w:sz="8" w:color="0000EE"/>
            </w:tcBorders>
            <w:gridSpan w:val="39"/>
          </w:tcPr>
          <w:p>
            <w:pPr>
              <w:spacing w:after="0" w:line="169" w:lineRule="exact"/>
              <w:rPr>
                <w:rFonts w:ascii="Arial" w:cs="Arial" w:eastAsia="Arial" w:hAnsi="Arial"/>
                <w:sz w:val="18"/>
                <w:szCs w:val="18"/>
                <w:color w:val="0000EE"/>
              </w:rPr>
            </w:pPr>
            <w:hyperlink r:id="rId174">
              <w:r>
                <w:rPr>
                  <w:rFonts w:ascii="Arial" w:cs="Arial" w:eastAsia="Arial" w:hAnsi="Arial"/>
                  <w:sz w:val="18"/>
                  <w:szCs w:val="18"/>
                  <w:color w:val="0000EE"/>
                </w:rPr>
                <w:t>Participants) pursuant to the AeroVironment, Inc. 2006 Equity Incentive Plan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10.10#(9)</w:t>
            </w:r>
          </w:p>
        </w:tc>
        <w:tc>
          <w:tcPr>
            <w:tcW w:w="160" w:type="dxa"/>
            <w:vAlign w:val="bottom"/>
          </w:tcPr>
          <w:p>
            <w:pPr>
              <w:spacing w:after="0"/>
              <w:rPr>
                <w:sz w:val="14"/>
                <w:szCs w:val="14"/>
                <w:color w:val="auto"/>
              </w:rPr>
            </w:pPr>
          </w:p>
        </w:tc>
        <w:tc>
          <w:tcPr>
            <w:tcW w:w="5580" w:type="dxa"/>
            <w:vAlign w:val="bottom"/>
            <w:tcBorders>
              <w:top w:val="single" w:sz="8" w:color="0000EE"/>
            </w:tcBorders>
            <w:gridSpan w:val="10"/>
          </w:tcPr>
          <w:p>
            <w:pPr>
              <w:spacing w:after="0" w:line="169" w:lineRule="exact"/>
              <w:rPr>
                <w:rFonts w:ascii="Arial" w:cs="Arial" w:eastAsia="Arial" w:hAnsi="Arial"/>
                <w:sz w:val="18"/>
                <w:szCs w:val="18"/>
                <w:color w:val="0000EE"/>
                <w:w w:val="94"/>
              </w:rPr>
            </w:pPr>
            <w:hyperlink r:id="rId175">
              <w:r>
                <w:rPr>
                  <w:rFonts w:ascii="Arial" w:cs="Arial" w:eastAsia="Arial" w:hAnsi="Arial"/>
                  <w:sz w:val="18"/>
                  <w:szCs w:val="18"/>
                  <w:color w:val="0000EE"/>
                  <w:w w:val="94"/>
                </w:rPr>
                <w:t>Form of Restricted Stock Award Grant Notice and Restricted Stock Award</w:t>
              </w:r>
            </w:hyperlink>
          </w:p>
        </w:tc>
        <w:tc>
          <w:tcPr>
            <w:tcW w:w="2260" w:type="dxa"/>
            <w:vAlign w:val="bottom"/>
            <w:gridSpan w:val="30"/>
          </w:tcPr>
          <w:p>
            <w:pPr>
              <w:spacing w:after="0" w:line="169"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Agreement (Non-Management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10.11#(9)</w:t>
            </w:r>
          </w:p>
        </w:tc>
        <w:tc>
          <w:tcPr>
            <w:tcW w:w="16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7"/>
          </w:tcPr>
          <w:p>
            <w:pPr>
              <w:spacing w:after="0" w:line="169"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Directors) pursuant to the AeroVironment, Inc. 2006 Equity Incentive Plan</w:t>
              </w:r>
            </w:hyperlink>
          </w:p>
        </w:tc>
        <w:tc>
          <w:tcPr>
            <w:tcW w:w="2240" w:type="dxa"/>
            <w:vAlign w:val="bottom"/>
            <w:tcBorders>
              <w:top w:val="single" w:sz="8" w:color="0000EE"/>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5"/>
              </w:rPr>
            </w:pPr>
            <w:hyperlink r:id="rId176">
              <w:r>
                <w:rPr>
                  <w:rFonts w:ascii="Arial" w:cs="Arial" w:eastAsia="Arial" w:hAnsi="Arial"/>
                  <w:sz w:val="18"/>
                  <w:szCs w:val="18"/>
                  <w:color w:val="0000EE"/>
                  <w:w w:val="95"/>
                </w:rPr>
                <w:t>Form of Performance Restricted Stock Unit Award Grant Notice and Performance Restricted Stock Unit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10.12#(10)</w:t>
            </w:r>
          </w:p>
        </w:tc>
        <w:tc>
          <w:tcPr>
            <w:tcW w:w="160" w:type="dxa"/>
            <w:vAlign w:val="bottom"/>
          </w:tcPr>
          <w:p>
            <w:pPr>
              <w:spacing w:after="0"/>
              <w:rPr>
                <w:sz w:val="14"/>
                <w:szCs w:val="14"/>
                <w:color w:val="auto"/>
              </w:rPr>
            </w:pPr>
          </w:p>
        </w:tc>
        <w:tc>
          <w:tcPr>
            <w:tcW w:w="7540" w:type="dxa"/>
            <w:vAlign w:val="bottom"/>
            <w:tcBorders>
              <w:top w:val="single" w:sz="8" w:color="0000EE"/>
            </w:tcBorders>
            <w:gridSpan w:val="28"/>
          </w:tcPr>
          <w:p>
            <w:pPr>
              <w:spacing w:after="0" w:line="169" w:lineRule="exact"/>
              <w:rPr>
                <w:rFonts w:ascii="Arial" w:cs="Arial" w:eastAsia="Arial" w:hAnsi="Arial"/>
                <w:sz w:val="18"/>
                <w:szCs w:val="18"/>
                <w:color w:val="0000EE"/>
              </w:rPr>
            </w:pPr>
            <w:hyperlink r:id="rId176">
              <w:r>
                <w:rPr>
                  <w:rFonts w:ascii="Arial" w:cs="Arial" w:eastAsia="Arial" w:hAnsi="Arial"/>
                  <w:sz w:val="18"/>
                  <w:szCs w:val="18"/>
                  <w:color w:val="0000EE"/>
                </w:rPr>
                <w:t>Award Agreement pursuant to the AeroVironment, Inc. 2006 Equity Incentive Plan</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AeroVironment, Inc. 2021 Equity Incentive Plan</w:t>
              </w:r>
            </w:hyperlink>
          </w:p>
        </w:tc>
        <w:tc>
          <w:tcPr>
            <w:tcW w:w="2460" w:type="dxa"/>
            <w:vAlign w:val="bottom"/>
            <w:tcBorders>
              <w:top w:val="single" w:sz="8" w:color="0000EE"/>
            </w:tcBorders>
            <w:gridSpan w:val="9"/>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9"/>
              </w:rPr>
              <w:t>10.13#(10)</w:t>
            </w: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Form of Stock Option Grant Notice and Stock Option Agreement pursuant to the AeroVironment, Inc. 2021</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10.14#(10)</w:t>
            </w:r>
          </w:p>
        </w:tc>
        <w:tc>
          <w:tcPr>
            <w:tcW w:w="160" w:type="dxa"/>
            <w:vAlign w:val="bottom"/>
          </w:tcPr>
          <w:p>
            <w:pPr>
              <w:spacing w:after="0"/>
              <w:rPr>
                <w:sz w:val="14"/>
                <w:szCs w:val="14"/>
                <w:color w:val="auto"/>
              </w:rPr>
            </w:pPr>
          </w:p>
        </w:tc>
        <w:tc>
          <w:tcPr>
            <w:tcW w:w="7800" w:type="dxa"/>
            <w:vAlign w:val="bottom"/>
            <w:tcBorders>
              <w:top w:val="single" w:sz="8" w:color="0000EE"/>
            </w:tcBorders>
            <w:gridSpan w:val="38"/>
          </w:tcPr>
          <w:p>
            <w:pPr>
              <w:spacing w:after="0" w:line="169" w:lineRule="exact"/>
              <w:rPr>
                <w:rFonts w:ascii="Arial" w:cs="Arial" w:eastAsia="Arial" w:hAnsi="Arial"/>
                <w:sz w:val="18"/>
                <w:szCs w:val="18"/>
                <w:color w:val="0000EE"/>
              </w:rPr>
            </w:pPr>
            <w:hyperlink r:id="rId178">
              <w:r>
                <w:rPr>
                  <w:rFonts w:ascii="Arial" w:cs="Arial" w:eastAsia="Arial" w:hAnsi="Arial"/>
                  <w:sz w:val="18"/>
                  <w:szCs w:val="18"/>
                  <w:color w:val="0000EE"/>
                </w:rPr>
                <w:t>Equity Incentive Plan</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7"/>
              </w:rPr>
            </w:pPr>
            <w:hyperlink r:id="rId179">
              <w:r>
                <w:rPr>
                  <w:rFonts w:ascii="Arial" w:cs="Arial" w:eastAsia="Arial" w:hAnsi="Arial"/>
                  <w:sz w:val="18"/>
                  <w:szCs w:val="18"/>
                  <w:color w:val="0000EE"/>
                  <w:w w:val="97"/>
                </w:rPr>
                <w:t>Form of Restricted Stock Award Grant Notice and Restricted Stock Award Agreement pursuant to the</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10.15#(10)</w:t>
            </w:r>
          </w:p>
        </w:tc>
        <w:tc>
          <w:tcPr>
            <w:tcW w:w="160" w:type="dxa"/>
            <w:vAlign w:val="bottom"/>
          </w:tcPr>
          <w:p>
            <w:pPr>
              <w:spacing w:after="0"/>
              <w:rPr>
                <w:sz w:val="14"/>
                <w:szCs w:val="14"/>
                <w:color w:val="auto"/>
              </w:rPr>
            </w:pPr>
          </w:p>
        </w:tc>
        <w:tc>
          <w:tcPr>
            <w:tcW w:w="5680" w:type="dxa"/>
            <w:vAlign w:val="bottom"/>
            <w:tcBorders>
              <w:top w:val="single" w:sz="8" w:color="0000EE"/>
              <w:bottom w:val="single" w:sz="8" w:color="0000EE"/>
            </w:tcBorders>
            <w:gridSpan w:val="11"/>
          </w:tcPr>
          <w:p>
            <w:pPr>
              <w:spacing w:after="0" w:line="169"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AeroVironment, Inc. 2021 Equity Incentive Plan (Severance Plan Participants)</w:t>
              </w:r>
            </w:hyperlink>
          </w:p>
        </w:tc>
        <w:tc>
          <w:tcPr>
            <w:tcW w:w="1660" w:type="dxa"/>
            <w:vAlign w:val="bottom"/>
            <w:tcBorders>
              <w:top w:val="single" w:sz="8" w:color="0000EE"/>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7"/>
              </w:rPr>
            </w:pPr>
            <w:hyperlink r:id="rId180">
              <w:r>
                <w:rPr>
                  <w:rFonts w:ascii="Arial" w:cs="Arial" w:eastAsia="Arial" w:hAnsi="Arial"/>
                  <w:sz w:val="18"/>
                  <w:szCs w:val="18"/>
                  <w:color w:val="0000EE"/>
                  <w:w w:val="97"/>
                </w:rPr>
                <w:t>Form of Restricted Stock Award Grant Notice and Restricted Stock Award Agreement pursuant to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40" w:type="dxa"/>
            <w:vAlign w:val="bottom"/>
            <w:tcBorders>
              <w:top w:val="single" w:sz="8" w:color="0000EE"/>
            </w:tcBorders>
            <w:gridSpan w:val="23"/>
          </w:tcPr>
          <w:p>
            <w:pPr>
              <w:spacing w:after="0" w:line="169" w:lineRule="exact"/>
              <w:rPr>
                <w:rFonts w:ascii="Arial" w:cs="Arial" w:eastAsia="Arial" w:hAnsi="Arial"/>
                <w:sz w:val="18"/>
                <w:szCs w:val="18"/>
                <w:color w:val="0000EE"/>
              </w:rPr>
            </w:pPr>
            <w:hyperlink r:id="rId180">
              <w:r>
                <w:rPr>
                  <w:rFonts w:ascii="Arial" w:cs="Arial" w:eastAsia="Arial" w:hAnsi="Arial"/>
                  <w:sz w:val="18"/>
                  <w:szCs w:val="18"/>
                  <w:color w:val="0000EE"/>
                </w:rPr>
                <w:t>AeroVironment, Inc. 2021 Equity Incentive Plan (Non-Severance Plan Participants)</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9"/>
              </w:rPr>
              <w:t>10.16#(10)</w:t>
            </w:r>
          </w:p>
        </w:tc>
        <w:tc>
          <w:tcPr>
            <w:tcW w:w="160" w:type="dxa"/>
            <w:vAlign w:val="bottom"/>
          </w:tcPr>
          <w:p>
            <w:pPr>
              <w:spacing w:after="0"/>
              <w:rPr>
                <w:sz w:val="14"/>
                <w:szCs w:val="14"/>
                <w:color w:val="auto"/>
              </w:rPr>
            </w:pPr>
          </w:p>
        </w:tc>
        <w:tc>
          <w:tcPr>
            <w:tcW w:w="6040" w:type="dxa"/>
            <w:vAlign w:val="bottom"/>
            <w:tcBorders>
              <w:top w:val="single" w:sz="8" w:color="0000EE"/>
            </w:tcBorders>
            <w:gridSpan w:val="13"/>
          </w:tcPr>
          <w:p>
            <w:pPr>
              <w:spacing w:after="0" w:line="169"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Form of Restricted Stock Award Grant Notice and Restricted Stock Award Agreement</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5"/>
          </w:tcPr>
          <w:p>
            <w:pPr>
              <w:ind w:left="60"/>
              <w:spacing w:after="0" w:line="169" w:lineRule="exact"/>
              <w:rPr>
                <w:rFonts w:ascii="Arial" w:cs="Arial" w:eastAsia="Arial" w:hAnsi="Arial"/>
                <w:sz w:val="18"/>
                <w:szCs w:val="18"/>
                <w:color w:val="0000EE"/>
              </w:rPr>
            </w:pPr>
            <w:hyperlink r:id="rId181">
              <w:r>
                <w:rPr>
                  <w:rFonts w:ascii="Arial" w:cs="Arial" w:eastAsia="Arial" w:hAnsi="Arial"/>
                  <w:sz w:val="18"/>
                  <w:szCs w:val="18"/>
                  <w:color w:val="0000EE"/>
                </w:rPr>
                <w:t>pursuant to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40" w:type="dxa"/>
            <w:vAlign w:val="bottom"/>
            <w:tcBorders>
              <w:top w:val="single" w:sz="8" w:color="0000EE"/>
            </w:tcBorders>
            <w:gridSpan w:val="23"/>
          </w:tcPr>
          <w:p>
            <w:pPr>
              <w:spacing w:after="0" w:line="169" w:lineRule="exact"/>
              <w:rPr>
                <w:rFonts w:ascii="Arial" w:cs="Arial" w:eastAsia="Arial" w:hAnsi="Arial"/>
                <w:sz w:val="18"/>
                <w:szCs w:val="18"/>
                <w:color w:val="0000EE"/>
              </w:rPr>
            </w:pPr>
            <w:hyperlink r:id="rId181">
              <w:r>
                <w:rPr>
                  <w:rFonts w:ascii="Arial" w:cs="Arial" w:eastAsia="Arial" w:hAnsi="Arial"/>
                  <w:sz w:val="18"/>
                  <w:szCs w:val="18"/>
                  <w:color w:val="0000EE"/>
                </w:rPr>
                <w:t>AeroVironment, Inc. 2021 Equity Incentive Plan (Non-Employee Directors)</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9"/>
              </w:rPr>
              <w:t>10.17#(10)</w:t>
            </w:r>
          </w:p>
        </w:tc>
        <w:tc>
          <w:tcPr>
            <w:tcW w:w="160" w:type="dxa"/>
            <w:vAlign w:val="bottom"/>
          </w:tcPr>
          <w:p>
            <w:pPr>
              <w:spacing w:after="0"/>
              <w:rPr>
                <w:sz w:val="14"/>
                <w:szCs w:val="14"/>
                <w:color w:val="auto"/>
              </w:rPr>
            </w:pPr>
          </w:p>
        </w:tc>
        <w:tc>
          <w:tcPr>
            <w:tcW w:w="5480" w:type="dxa"/>
            <w:vAlign w:val="bottom"/>
            <w:tcBorders>
              <w:top w:val="single" w:sz="8" w:color="0000EE"/>
            </w:tcBorders>
            <w:gridSpan w:val="9"/>
          </w:tcPr>
          <w:p>
            <w:pPr>
              <w:spacing w:after="0" w:line="169"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Form of Performance Restricted Stock Award Grant Notice and Performance</w:t>
              </w:r>
            </w:hyperlink>
          </w:p>
        </w:tc>
        <w:tc>
          <w:tcPr>
            <w:tcW w:w="2360" w:type="dxa"/>
            <w:vAlign w:val="bottom"/>
            <w:gridSpan w:val="31"/>
          </w:tcPr>
          <w:p>
            <w:pPr>
              <w:ind w:left="120"/>
              <w:spacing w:after="0" w:line="169" w:lineRule="exact"/>
              <w:rPr>
                <w:rFonts w:ascii="Arial" w:cs="Arial" w:eastAsia="Arial" w:hAnsi="Arial"/>
                <w:sz w:val="18"/>
                <w:szCs w:val="18"/>
                <w:color w:val="0000EE"/>
              </w:rPr>
            </w:pPr>
            <w:hyperlink r:id="rId182">
              <w:r>
                <w:rPr>
                  <w:rFonts w:ascii="Arial" w:cs="Arial" w:eastAsia="Arial" w:hAnsi="Arial"/>
                  <w:sz w:val="18"/>
                  <w:szCs w:val="18"/>
                  <w:color w:val="0000EE"/>
                </w:rPr>
                <w:t>Restricted Stock Award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00" w:type="dxa"/>
            <w:vAlign w:val="bottom"/>
            <w:tcBorders>
              <w:top w:val="single" w:sz="8" w:color="0000EE"/>
            </w:tcBorders>
            <w:gridSpan w:val="22"/>
          </w:tcPr>
          <w:p>
            <w:pPr>
              <w:spacing w:after="0" w:line="169" w:lineRule="exact"/>
              <w:rPr>
                <w:rFonts w:ascii="Arial" w:cs="Arial" w:eastAsia="Arial" w:hAnsi="Arial"/>
                <w:sz w:val="18"/>
                <w:szCs w:val="18"/>
                <w:color w:val="0000EE"/>
              </w:rPr>
            </w:pPr>
            <w:hyperlink r:id="rId182">
              <w:r>
                <w:rPr>
                  <w:rFonts w:ascii="Arial" w:cs="Arial" w:eastAsia="Arial" w:hAnsi="Arial"/>
                  <w:sz w:val="18"/>
                  <w:szCs w:val="18"/>
                  <w:color w:val="0000EE"/>
                </w:rPr>
                <w:t>Agreement pursuant to the AeroVironment, Inc. 2021 Equity Incentive Plan</w:t>
              </w:r>
            </w:hyperlink>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3"/>
              </w:rPr>
              <w:t>10.18</w:t>
            </w:r>
          </w:p>
        </w:tc>
        <w:tc>
          <w:tcPr>
            <w:tcW w:w="160" w:type="dxa"/>
            <w:vAlign w:val="bottom"/>
          </w:tcPr>
          <w:p>
            <w:pPr>
              <w:spacing w:after="0"/>
              <w:rPr>
                <w:sz w:val="14"/>
                <w:szCs w:val="14"/>
                <w:color w:val="auto"/>
              </w:rPr>
            </w:pPr>
          </w:p>
        </w:tc>
        <w:tc>
          <w:tcPr>
            <w:tcW w:w="5460" w:type="dxa"/>
            <w:vAlign w:val="bottom"/>
            <w:tcBorders>
              <w:top w:val="single" w:sz="8" w:color="0000EE"/>
            </w:tcBorders>
            <w:gridSpan w:val="8"/>
          </w:tcPr>
          <w:p>
            <w:pPr>
              <w:spacing w:after="0" w:line="169"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Lease, dated March 11, 2022, between AeroVironment, Inc. and BCORE</w:t>
              </w:r>
            </w:hyperlink>
          </w:p>
        </w:tc>
        <w:tc>
          <w:tcPr>
            <w:tcW w:w="2380" w:type="dxa"/>
            <w:vAlign w:val="bottom"/>
            <w:gridSpan w:val="32"/>
          </w:tcPr>
          <w:p>
            <w:pPr>
              <w:jc w:val="right"/>
              <w:ind w:right="120"/>
              <w:spacing w:after="0" w:line="169" w:lineRule="exact"/>
              <w:rPr>
                <w:rFonts w:ascii="Arial" w:cs="Arial" w:eastAsia="Arial" w:hAnsi="Arial"/>
                <w:sz w:val="18"/>
                <w:szCs w:val="18"/>
                <w:color w:val="0000EE"/>
                <w:w w:val="87"/>
              </w:rPr>
            </w:pPr>
            <w:hyperlink w:anchor="page142">
              <w:r>
                <w:rPr>
                  <w:rFonts w:ascii="Arial" w:cs="Arial" w:eastAsia="Arial" w:hAnsi="Arial"/>
                  <w:sz w:val="18"/>
                  <w:szCs w:val="18"/>
                  <w:color w:val="0000EE"/>
                  <w:w w:val="87"/>
                </w:rPr>
                <w:t>Defender CA1W01, LLC, for the</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10.19(11)</w:t>
            </w:r>
          </w:p>
        </w:tc>
        <w:tc>
          <w:tcPr>
            <w:tcW w:w="160" w:type="dxa"/>
            <w:vAlign w:val="bottom"/>
          </w:tcPr>
          <w:p>
            <w:pPr>
              <w:spacing w:after="0"/>
              <w:rPr>
                <w:sz w:val="14"/>
                <w:szCs w:val="14"/>
                <w:color w:val="auto"/>
              </w:rPr>
            </w:pPr>
          </w:p>
        </w:tc>
        <w:tc>
          <w:tcPr>
            <w:tcW w:w="450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1"/>
              </w:rPr>
            </w:pPr>
            <w:hyperlink w:anchor="page142">
              <w:r>
                <w:rPr>
                  <w:rFonts w:ascii="Arial" w:cs="Arial" w:eastAsia="Arial" w:hAnsi="Arial"/>
                  <w:sz w:val="18"/>
                  <w:szCs w:val="18"/>
                  <w:color w:val="0000EE"/>
                  <w:w w:val="91"/>
                </w:rPr>
                <w:t>property located at 85 Moreland Road, Simi Valley, California</w:t>
              </w:r>
            </w:hyperlink>
          </w:p>
        </w:tc>
        <w:tc>
          <w:tcPr>
            <w:tcW w:w="3240" w:type="dxa"/>
            <w:vAlign w:val="bottom"/>
            <w:tcBorders>
              <w:top w:val="single" w:sz="8" w:color="0000EE"/>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Standard Industrial/Commercial Single-Tenant Lease, dated March 3, 2008, between AeroVironment,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60" w:type="dxa"/>
            <w:vAlign w:val="bottom"/>
            <w:tcBorders>
              <w:top w:val="single" w:sz="8" w:color="0000EE"/>
            </w:tcBorders>
            <w:gridSpan w:val="31"/>
          </w:tcPr>
          <w:p>
            <w:pPr>
              <w:spacing w:after="0" w:line="169"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and Hillside Associates III, LLC, for the property located at 900 Enchanted Way, Simi Valley, California,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10.20(12)</w:t>
            </w:r>
          </w:p>
        </w:tc>
        <w:tc>
          <w:tcPr>
            <w:tcW w:w="16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including the addendum thereto</w:t>
              </w:r>
            </w:hyperlink>
          </w:p>
        </w:tc>
        <w:tc>
          <w:tcPr>
            <w:tcW w:w="5280" w:type="dxa"/>
            <w:vAlign w:val="bottom"/>
            <w:tcBorders>
              <w:top w:val="single" w:sz="8" w:color="0000EE"/>
            </w:tcBorders>
            <w:gridSpan w:val="27"/>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First Amendment to Lease Agreement (900 Enchanted Way, Simi Valley, CA 93065) dated as of December</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60" w:type="dxa"/>
            <w:vAlign w:val="bottom"/>
            <w:tcBorders>
              <w:top w:val="single" w:sz="8" w:color="0000EE"/>
            </w:tcBorders>
            <w:gridSpan w:val="36"/>
          </w:tcPr>
          <w:p>
            <w:pPr>
              <w:spacing w:after="0" w:line="169" w:lineRule="exact"/>
              <w:rPr>
                <w:rFonts w:ascii="Arial" w:cs="Arial" w:eastAsia="Arial" w:hAnsi="Arial"/>
                <w:sz w:val="18"/>
                <w:szCs w:val="18"/>
                <w:color w:val="0000EE"/>
              </w:rPr>
            </w:pPr>
            <w:hyperlink r:id="rId184">
              <w:r>
                <w:rPr>
                  <w:rFonts w:ascii="Arial" w:cs="Arial" w:eastAsia="Arial" w:hAnsi="Arial"/>
                  <w:sz w:val="18"/>
                  <w:szCs w:val="18"/>
                  <w:color w:val="0000EE"/>
                </w:rPr>
                <w:t>1, 2013, by and between the Company and Hillside III LLC, and related agreements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10.21(4)</w:t>
            </w:r>
          </w:p>
        </w:tc>
        <w:tc>
          <w:tcPr>
            <w:tcW w:w="160" w:type="dxa"/>
            <w:vAlign w:val="bottom"/>
          </w:tcPr>
          <w:p>
            <w:pPr>
              <w:spacing w:after="0"/>
              <w:rPr>
                <w:sz w:val="14"/>
                <w:szCs w:val="14"/>
                <w:color w:val="auto"/>
              </w:rPr>
            </w:pPr>
          </w:p>
        </w:tc>
        <w:tc>
          <w:tcPr>
            <w:tcW w:w="6060" w:type="dxa"/>
            <w:vAlign w:val="bottom"/>
            <w:tcBorders>
              <w:top w:val="single" w:sz="8" w:color="0000EE"/>
            </w:tcBorders>
            <w:gridSpan w:val="14"/>
          </w:tcPr>
          <w:p>
            <w:pPr>
              <w:spacing w:after="0" w:line="169"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Second Amendment to Lease Agreement dated as of May 13, 2020, by and between</w:t>
              </w:r>
            </w:hyperlink>
          </w:p>
        </w:tc>
        <w:tc>
          <w:tcPr>
            <w:tcW w:w="1780" w:type="dxa"/>
            <w:vAlign w:val="bottom"/>
            <w:gridSpan w:val="26"/>
          </w:tcPr>
          <w:p>
            <w:pPr>
              <w:ind w:left="40"/>
              <w:spacing w:after="0" w:line="169" w:lineRule="exact"/>
              <w:rPr>
                <w:rFonts w:ascii="Arial" w:cs="Arial" w:eastAsia="Arial" w:hAnsi="Arial"/>
                <w:sz w:val="18"/>
                <w:szCs w:val="18"/>
                <w:color w:val="0000EE"/>
              </w:rPr>
            </w:pPr>
            <w:hyperlink r:id="rId185">
              <w:r>
                <w:rPr>
                  <w:rFonts w:ascii="Arial" w:cs="Arial" w:eastAsia="Arial" w:hAnsi="Arial"/>
                  <w:sz w:val="18"/>
                  <w:szCs w:val="18"/>
                  <w:color w:val="0000EE"/>
                </w:rPr>
                <w:t>the Company and</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10.22(11)</w:t>
            </w:r>
          </w:p>
        </w:tc>
        <w:tc>
          <w:tcPr>
            <w:tcW w:w="160" w:type="dxa"/>
            <w:vAlign w:val="bottom"/>
          </w:tcPr>
          <w:p>
            <w:pPr>
              <w:spacing w:after="0"/>
              <w:rPr>
                <w:sz w:val="14"/>
                <w:szCs w:val="14"/>
                <w:color w:val="auto"/>
              </w:rPr>
            </w:pPr>
          </w:p>
        </w:tc>
        <w:tc>
          <w:tcPr>
            <w:tcW w:w="7380" w:type="dxa"/>
            <w:vAlign w:val="bottom"/>
            <w:tcBorders>
              <w:top w:val="single" w:sz="8" w:color="0000EE"/>
            </w:tcBorders>
            <w:gridSpan w:val="24"/>
          </w:tcPr>
          <w:p>
            <w:pPr>
              <w:spacing w:after="0" w:line="169" w:lineRule="exact"/>
              <w:rPr>
                <w:rFonts w:ascii="Arial" w:cs="Arial" w:eastAsia="Arial" w:hAnsi="Arial"/>
                <w:sz w:val="18"/>
                <w:szCs w:val="18"/>
                <w:color w:val="0000EE"/>
              </w:rPr>
            </w:pPr>
            <w:hyperlink r:id="rId185">
              <w:r>
                <w:rPr>
                  <w:rFonts w:ascii="Arial" w:cs="Arial" w:eastAsia="Arial" w:hAnsi="Arial"/>
                  <w:sz w:val="18"/>
                  <w:szCs w:val="18"/>
                  <w:color w:val="0000EE"/>
                </w:rPr>
                <w:t>Hillside III LLC for the property located at 900 Enchanted Way, Simi Valley, CA 93065</w:t>
              </w:r>
            </w:hyperlink>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340" w:type="dxa"/>
            <w:vAlign w:val="bottom"/>
            <w:tcBorders>
              <w:top w:val="single" w:sz="8" w:color="0000EE"/>
            </w:tcBorders>
            <w:gridSpan w:val="16"/>
          </w:tcPr>
          <w:p>
            <w:pPr>
              <w:spacing w:after="0" w:line="182"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Standard Industrial/Commercial Single-Tenant Lease, dated April 21, 2008, between</w:t>
              </w:r>
            </w:hyperlink>
          </w:p>
        </w:tc>
        <w:tc>
          <w:tcPr>
            <w:tcW w:w="1500" w:type="dxa"/>
            <w:vAlign w:val="bottom"/>
            <w:gridSpan w:val="24"/>
          </w:tcPr>
          <w:p>
            <w:pPr>
              <w:jc w:val="right"/>
              <w:ind w:right="200"/>
              <w:spacing w:after="0" w:line="182" w:lineRule="exact"/>
              <w:rPr>
                <w:rFonts w:ascii="Arial" w:cs="Arial" w:eastAsia="Arial" w:hAnsi="Arial"/>
                <w:sz w:val="18"/>
                <w:szCs w:val="18"/>
                <w:color w:val="0000EE"/>
                <w:w w:val="80"/>
              </w:rPr>
            </w:pPr>
            <w:hyperlink r:id="rId186">
              <w:r>
                <w:rPr>
                  <w:rFonts w:ascii="Arial" w:cs="Arial" w:eastAsia="Arial" w:hAnsi="Arial"/>
                  <w:sz w:val="18"/>
                  <w:szCs w:val="18"/>
                  <w:color w:val="0000EE"/>
                  <w:w w:val="80"/>
                </w:rPr>
                <w:t>AeroVironment,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tcBorders>
              <w:top w:val="single" w:sz="8" w:color="0000EE"/>
              <w:bottom w:val="single" w:sz="8" w:color="0000EE"/>
            </w:tcBorders>
            <w:gridSpan w:val="32"/>
          </w:tcPr>
          <w:p>
            <w:pPr>
              <w:spacing w:after="0" w:line="169"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and Hillside Associates II, LLC, for the property located at 994 Flower Glen Street, Simi Valley, California,</w:t>
              </w:r>
            </w:hyperlink>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10.23(12)</w:t>
            </w:r>
          </w:p>
        </w:tc>
        <w:tc>
          <w:tcPr>
            <w:tcW w:w="160" w:type="dxa"/>
            <w:vAlign w:val="bottom"/>
          </w:tcPr>
          <w:p>
            <w:pPr>
              <w:spacing w:after="0"/>
              <w:rPr>
                <w:sz w:val="14"/>
                <w:szCs w:val="14"/>
                <w:color w:val="auto"/>
              </w:rPr>
            </w:pPr>
          </w:p>
        </w:tc>
        <w:tc>
          <w:tcPr>
            <w:tcW w:w="2300" w:type="dxa"/>
            <w:vAlign w:val="bottom"/>
            <w:tcBorders>
              <w:bottom w:val="single" w:sz="8" w:color="0000EE"/>
            </w:tcBorders>
            <w:gridSpan w:val="2"/>
          </w:tcPr>
          <w:p>
            <w:pPr>
              <w:spacing w:after="0" w:line="169"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including the addendum thereto</w:t>
              </w:r>
            </w:hyperlink>
          </w:p>
        </w:tc>
        <w:tc>
          <w:tcPr>
            <w:tcW w:w="5480" w:type="dxa"/>
            <w:vAlign w:val="bottom"/>
            <w:gridSpan w:val="3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First Amendment to Lease Agreement (994 Flower Glen Street, Simi Valley, CA 93065) dated as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0" w:type="dxa"/>
            <w:vAlign w:val="bottom"/>
            <w:tcBorders>
              <w:top w:val="single" w:sz="8" w:color="0000EE"/>
            </w:tcBorders>
            <w:gridSpan w:val="20"/>
          </w:tcPr>
          <w:p>
            <w:pPr>
              <w:spacing w:after="0" w:line="169" w:lineRule="exact"/>
              <w:rPr>
                <w:rFonts w:ascii="Arial" w:cs="Arial" w:eastAsia="Arial" w:hAnsi="Arial"/>
                <w:sz w:val="18"/>
                <w:szCs w:val="18"/>
                <w:color w:val="0000EE"/>
                <w:w w:val="95"/>
              </w:rPr>
            </w:pPr>
            <w:hyperlink r:id="rId187">
              <w:r>
                <w:rPr>
                  <w:rFonts w:ascii="Arial" w:cs="Arial" w:eastAsia="Arial" w:hAnsi="Arial"/>
                  <w:sz w:val="18"/>
                  <w:szCs w:val="18"/>
                  <w:color w:val="0000EE"/>
                  <w:w w:val="95"/>
                </w:rPr>
                <w:t>December 1, 2013, by and between the Company and Hillside II LLC, and related agreements</w:t>
              </w:r>
            </w:hyperlink>
          </w:p>
        </w:tc>
        <w:tc>
          <w:tcPr>
            <w:tcW w:w="6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10.24(13)</w:t>
            </w:r>
          </w:p>
        </w:tc>
        <w:tc>
          <w:tcPr>
            <w:tcW w:w="160" w:type="dxa"/>
            <w:vAlign w:val="bottom"/>
          </w:tcPr>
          <w:p>
            <w:pPr>
              <w:spacing w:after="0"/>
              <w:rPr>
                <w:sz w:val="14"/>
                <w:szCs w:val="14"/>
                <w:color w:val="auto"/>
              </w:rPr>
            </w:pPr>
          </w:p>
        </w:tc>
        <w:tc>
          <w:tcPr>
            <w:tcW w:w="6780" w:type="dxa"/>
            <w:vAlign w:val="bottom"/>
            <w:tcBorders>
              <w:top w:val="single" w:sz="8" w:color="0000EE"/>
            </w:tcBorders>
            <w:gridSpan w:val="18"/>
          </w:tcPr>
          <w:p>
            <w:pPr>
              <w:spacing w:after="0" w:line="169"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Second Amendment to Lease Agreement (994 Innovators Way, Simi Valley, CA 93065) dated</w:t>
              </w:r>
            </w:hyperlink>
          </w:p>
        </w:tc>
        <w:tc>
          <w:tcPr>
            <w:tcW w:w="1060" w:type="dxa"/>
            <w:vAlign w:val="bottom"/>
            <w:gridSpan w:val="22"/>
          </w:tcPr>
          <w:p>
            <w:pPr>
              <w:jc w:val="right"/>
              <w:ind w:right="120"/>
              <w:spacing w:after="0" w:line="169"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as of June 1,</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40" w:type="dxa"/>
            <w:vAlign w:val="bottom"/>
            <w:tcBorders>
              <w:top w:val="single" w:sz="8" w:color="0000EE"/>
            </w:tcBorders>
            <w:gridSpan w:val="35"/>
          </w:tcPr>
          <w:p>
            <w:pPr>
              <w:spacing w:after="0" w:line="169" w:lineRule="exact"/>
              <w:rPr>
                <w:rFonts w:ascii="Arial" w:cs="Arial" w:eastAsia="Arial" w:hAnsi="Arial"/>
                <w:sz w:val="18"/>
                <w:szCs w:val="18"/>
                <w:color w:val="0000EE"/>
              </w:rPr>
            </w:pPr>
            <w:hyperlink r:id="rId188">
              <w:r>
                <w:rPr>
                  <w:rFonts w:ascii="Arial" w:cs="Arial" w:eastAsia="Arial" w:hAnsi="Arial"/>
                  <w:sz w:val="18"/>
                  <w:szCs w:val="18"/>
                  <w:color w:val="0000EE"/>
                </w:rPr>
                <w:t>2021, by and between the Company and Hillside Associates II, LLC, and related agreements</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10.25(12)</w:t>
            </w:r>
          </w:p>
        </w:tc>
        <w:tc>
          <w:tcPr>
            <w:tcW w:w="160" w:type="dxa"/>
            <w:vAlign w:val="bottom"/>
          </w:tcPr>
          <w:p>
            <w:pPr>
              <w:spacing w:after="0"/>
              <w:rPr>
                <w:sz w:val="14"/>
                <w:szCs w:val="14"/>
                <w:color w:val="auto"/>
              </w:rPr>
            </w:pPr>
          </w:p>
        </w:tc>
        <w:tc>
          <w:tcPr>
            <w:tcW w:w="6680" w:type="dxa"/>
            <w:vAlign w:val="bottom"/>
            <w:tcBorders>
              <w:top w:val="single" w:sz="8" w:color="0000EE"/>
            </w:tcBorders>
            <w:gridSpan w:val="17"/>
          </w:tcPr>
          <w:p>
            <w:pPr>
              <w:spacing w:after="0" w:line="169"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Lease Agreement (996 Flower Glen Street, Simi Valley, CA 93065) dated as of December 1,</w:t>
              </w:r>
            </w:hyperlink>
          </w:p>
        </w:tc>
        <w:tc>
          <w:tcPr>
            <w:tcW w:w="1160" w:type="dxa"/>
            <w:vAlign w:val="bottom"/>
            <w:gridSpan w:val="23"/>
          </w:tcPr>
          <w:p>
            <w:pPr>
              <w:jc w:val="right"/>
              <w:ind w:right="200"/>
              <w:spacing w:after="0" w:line="169"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2013, by and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00" w:type="dxa"/>
            <w:vAlign w:val="bottom"/>
            <w:tcBorders>
              <w:top w:val="single" w:sz="8" w:color="0000EE"/>
            </w:tcBorders>
            <w:gridSpan w:val="33"/>
          </w:tcPr>
          <w:p>
            <w:pPr>
              <w:spacing w:after="0" w:line="169" w:lineRule="exact"/>
              <w:rPr>
                <w:rFonts w:ascii="Arial" w:cs="Arial" w:eastAsia="Arial" w:hAnsi="Arial"/>
                <w:sz w:val="18"/>
                <w:szCs w:val="18"/>
                <w:color w:val="0000EE"/>
              </w:rPr>
            </w:pPr>
            <w:hyperlink r:id="rId189">
              <w:r>
                <w:rPr>
                  <w:rFonts w:ascii="Arial" w:cs="Arial" w:eastAsia="Arial" w:hAnsi="Arial"/>
                  <w:sz w:val="18"/>
                  <w:szCs w:val="18"/>
                  <w:color w:val="0000EE"/>
                </w:rPr>
                <w:t>between the Company and Hillside II LLC, and related agreements</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10.26(13)</w:t>
            </w:r>
          </w:p>
        </w:tc>
        <w:tc>
          <w:tcPr>
            <w:tcW w:w="160" w:type="dxa"/>
            <w:vAlign w:val="bottom"/>
          </w:tcPr>
          <w:p>
            <w:pPr>
              <w:spacing w:after="0"/>
              <w:rPr>
                <w:sz w:val="14"/>
                <w:szCs w:val="14"/>
                <w:color w:val="auto"/>
              </w:rPr>
            </w:pPr>
          </w:p>
        </w:tc>
        <w:tc>
          <w:tcPr>
            <w:tcW w:w="4840" w:type="dxa"/>
            <w:vAlign w:val="bottom"/>
            <w:tcBorders>
              <w:top w:val="single" w:sz="8" w:color="0000EE"/>
            </w:tcBorders>
            <w:gridSpan w:val="6"/>
          </w:tcPr>
          <w:p>
            <w:pPr>
              <w:spacing w:after="0" w:line="169"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First Amendment to Lease Agreement (996 Innovators Way, Simi</w:t>
              </w:r>
            </w:hyperlink>
          </w:p>
        </w:tc>
        <w:tc>
          <w:tcPr>
            <w:tcW w:w="3000" w:type="dxa"/>
            <w:vAlign w:val="bottom"/>
            <w:gridSpan w:val="34"/>
          </w:tcPr>
          <w:p>
            <w:pPr>
              <w:spacing w:after="0" w:line="169" w:lineRule="exact"/>
              <w:rPr>
                <w:rFonts w:ascii="Arial" w:cs="Arial" w:eastAsia="Arial" w:hAnsi="Arial"/>
                <w:sz w:val="18"/>
                <w:szCs w:val="18"/>
                <w:color w:val="0000EE"/>
                <w:w w:val="98"/>
              </w:rPr>
            </w:pPr>
            <w:hyperlink r:id="rId190">
              <w:r>
                <w:rPr>
                  <w:rFonts w:ascii="Arial" w:cs="Arial" w:eastAsia="Arial" w:hAnsi="Arial"/>
                  <w:sz w:val="18"/>
                  <w:szCs w:val="18"/>
                  <w:color w:val="0000EE"/>
                  <w:w w:val="98"/>
                </w:rPr>
                <w:t>Valley, CA 93065) dated as of June 1,</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20" w:type="dxa"/>
            <w:vAlign w:val="bottom"/>
            <w:tcBorders>
              <w:top w:val="single" w:sz="8" w:color="0000EE"/>
            </w:tcBorders>
            <w:gridSpan w:val="27"/>
          </w:tcPr>
          <w:p>
            <w:pPr>
              <w:spacing w:after="0" w:line="169" w:lineRule="exact"/>
              <w:rPr>
                <w:rFonts w:ascii="Arial" w:cs="Arial" w:eastAsia="Arial" w:hAnsi="Arial"/>
                <w:sz w:val="18"/>
                <w:szCs w:val="18"/>
                <w:color w:val="0000EE"/>
              </w:rPr>
            </w:pPr>
            <w:hyperlink r:id="rId190">
              <w:r>
                <w:rPr>
                  <w:rFonts w:ascii="Arial" w:cs="Arial" w:eastAsia="Arial" w:hAnsi="Arial"/>
                  <w:sz w:val="18"/>
                  <w:szCs w:val="18"/>
                  <w:color w:val="0000EE"/>
                </w:rPr>
                <w:t>2021, by and between the Company and Hillside Associates II, LLC, and related agreements</w:t>
              </w:r>
            </w:hyperlink>
          </w:p>
        </w:tc>
        <w:tc>
          <w:tcPr>
            <w:tcW w:w="28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10.27(14)</w:t>
            </w:r>
          </w:p>
        </w:tc>
        <w:tc>
          <w:tcPr>
            <w:tcW w:w="160" w:type="dxa"/>
            <w:vAlign w:val="bottom"/>
          </w:tcPr>
          <w:p>
            <w:pPr>
              <w:spacing w:after="0"/>
              <w:rPr>
                <w:sz w:val="14"/>
                <w:szCs w:val="14"/>
                <w:color w:val="auto"/>
              </w:rPr>
            </w:pPr>
          </w:p>
        </w:tc>
        <w:tc>
          <w:tcPr>
            <w:tcW w:w="6680" w:type="dxa"/>
            <w:vAlign w:val="bottom"/>
            <w:tcBorders>
              <w:top w:val="single" w:sz="8" w:color="0000EE"/>
            </w:tcBorders>
            <w:gridSpan w:val="17"/>
          </w:tcPr>
          <w:p>
            <w:pPr>
              <w:spacing w:after="0" w:line="169"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Lease dated March 28, 2018 between AeroVironment, Inc. and Princeton Avenue Holdings,</w:t>
              </w:r>
            </w:hyperlink>
          </w:p>
        </w:tc>
        <w:tc>
          <w:tcPr>
            <w:tcW w:w="1160" w:type="dxa"/>
            <w:vAlign w:val="bottom"/>
            <w:gridSpan w:val="23"/>
          </w:tcPr>
          <w:p>
            <w:pPr>
              <w:spacing w:after="0" w:line="169" w:lineRule="exact"/>
              <w:rPr>
                <w:rFonts w:ascii="Arial" w:cs="Arial" w:eastAsia="Arial" w:hAnsi="Arial"/>
                <w:sz w:val="18"/>
                <w:szCs w:val="18"/>
                <w:color w:val="0000EE"/>
              </w:rPr>
            </w:pPr>
            <w:hyperlink r:id="rId191">
              <w:r>
                <w:rPr>
                  <w:rFonts w:ascii="Arial" w:cs="Arial" w:eastAsia="Arial" w:hAnsi="Arial"/>
                  <w:sz w:val="18"/>
                  <w:szCs w:val="18"/>
                  <w:color w:val="0000EE"/>
                </w:rPr>
                <w:t>LLC for</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tcBorders>
              <w:top w:val="single" w:sz="8" w:color="0000EE"/>
            </w:tcBorders>
            <w:gridSpan w:val="21"/>
          </w:tcPr>
          <w:p>
            <w:pPr>
              <w:spacing w:after="0" w:line="169" w:lineRule="exact"/>
              <w:rPr>
                <w:rFonts w:ascii="Arial" w:cs="Arial" w:eastAsia="Arial" w:hAnsi="Arial"/>
                <w:sz w:val="18"/>
                <w:szCs w:val="18"/>
                <w:color w:val="0000EE"/>
                <w:w w:val="94"/>
              </w:rPr>
            </w:pPr>
            <w:hyperlink r:id="rId191">
              <w:r>
                <w:rPr>
                  <w:rFonts w:ascii="Arial" w:cs="Arial" w:eastAsia="Arial" w:hAnsi="Arial"/>
                  <w:sz w:val="18"/>
                  <w:szCs w:val="18"/>
                  <w:color w:val="0000EE"/>
                  <w:w w:val="94"/>
                </w:rPr>
                <w:t>property located at 14501 Princeton Avenue, Moorpark, California, including addendums thereto</w:t>
              </w:r>
            </w:hyperlink>
          </w:p>
        </w:tc>
        <w:tc>
          <w:tcPr>
            <w:tcW w:w="200" w:type="dxa"/>
            <w:vAlign w:val="bottom"/>
            <w:gridSpan w:val="5"/>
          </w:tcPr>
          <w:p>
            <w:pPr>
              <w:spacing w:after="0"/>
              <w:rPr>
                <w:sz w:val="14"/>
                <w:szCs w:val="14"/>
                <w:color w:val="auto"/>
              </w:rPr>
            </w:pPr>
          </w:p>
        </w:tc>
        <w:tc>
          <w:tcPr>
            <w:tcW w:w="3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10.28(15)</w:t>
            </w:r>
          </w:p>
        </w:tc>
        <w:tc>
          <w:tcPr>
            <w:tcW w:w="160" w:type="dxa"/>
            <w:vAlign w:val="bottom"/>
          </w:tcPr>
          <w:p>
            <w:pPr>
              <w:spacing w:after="0"/>
              <w:rPr>
                <w:sz w:val="14"/>
                <w:szCs w:val="14"/>
                <w:color w:val="auto"/>
              </w:rPr>
            </w:pPr>
          </w:p>
        </w:tc>
        <w:tc>
          <w:tcPr>
            <w:tcW w:w="6980" w:type="dxa"/>
            <w:vAlign w:val="bottom"/>
            <w:tcBorders>
              <w:top w:val="single" w:sz="8" w:color="0000EE"/>
            </w:tcBorders>
            <w:gridSpan w:val="19"/>
          </w:tcPr>
          <w:p>
            <w:pPr>
              <w:spacing w:after="0" w:line="169"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First Amendment to Lease dated October 26, 2018 between AeroVironment, Inc. and Princeton</w:t>
              </w:r>
            </w:hyperlink>
          </w:p>
        </w:tc>
        <w:tc>
          <w:tcPr>
            <w:tcW w:w="860" w:type="dxa"/>
            <w:vAlign w:val="bottom"/>
            <w:gridSpan w:val="21"/>
          </w:tcPr>
          <w:p>
            <w:pPr>
              <w:spacing w:after="0" w:line="169" w:lineRule="exact"/>
              <w:rPr>
                <w:rFonts w:ascii="Arial" w:cs="Arial" w:eastAsia="Arial" w:hAnsi="Arial"/>
                <w:sz w:val="18"/>
                <w:szCs w:val="18"/>
                <w:color w:val="0000EE"/>
              </w:rPr>
            </w:pPr>
            <w:hyperlink r:id="rId192">
              <w:r>
                <w:rPr>
                  <w:rFonts w:ascii="Arial" w:cs="Arial" w:eastAsia="Arial" w:hAnsi="Arial"/>
                  <w:sz w:val="18"/>
                  <w:szCs w:val="18"/>
                  <w:color w:val="0000EE"/>
                </w:rPr>
                <w:t>Avenue</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10.29#(3)</w:t>
            </w:r>
          </w:p>
        </w:tc>
        <w:tc>
          <w:tcPr>
            <w:tcW w:w="160" w:type="dxa"/>
            <w:vAlign w:val="bottom"/>
          </w:tcPr>
          <w:p>
            <w:pPr>
              <w:spacing w:after="0"/>
              <w:rPr>
                <w:sz w:val="14"/>
                <w:szCs w:val="14"/>
                <w:color w:val="auto"/>
              </w:rPr>
            </w:pPr>
          </w:p>
        </w:tc>
        <w:tc>
          <w:tcPr>
            <w:tcW w:w="7460" w:type="dxa"/>
            <w:vAlign w:val="bottom"/>
            <w:tcBorders>
              <w:top w:val="single" w:sz="8" w:color="0000EE"/>
            </w:tcBorders>
            <w:gridSpan w:val="26"/>
          </w:tcPr>
          <w:p>
            <w:pPr>
              <w:spacing w:after="0" w:line="169" w:lineRule="exact"/>
              <w:rPr>
                <w:rFonts w:ascii="Arial" w:cs="Arial" w:eastAsia="Arial" w:hAnsi="Arial"/>
                <w:sz w:val="18"/>
                <w:szCs w:val="18"/>
                <w:color w:val="0000EE"/>
              </w:rPr>
            </w:pPr>
            <w:hyperlink r:id="rId192">
              <w:r>
                <w:rPr>
                  <w:rFonts w:ascii="Arial" w:cs="Arial" w:eastAsia="Arial" w:hAnsi="Arial"/>
                  <w:sz w:val="18"/>
                  <w:szCs w:val="18"/>
                  <w:color w:val="0000EE"/>
                </w:rPr>
                <w:t>Holdings, LLC for property located at 14501 Princeton Avenue, Moorpark, California</w:t>
              </w:r>
            </w:hyperlink>
          </w:p>
        </w:tc>
        <w:tc>
          <w:tcPr>
            <w:tcW w:w="3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tcBorders>
              <w:top w:val="single" w:sz="8" w:color="0000EE"/>
            </w:tcBorders>
            <w:gridSpan w:val="15"/>
          </w:tcPr>
          <w:p>
            <w:pPr>
              <w:spacing w:after="0" w:line="169" w:lineRule="exact"/>
              <w:rPr>
                <w:rFonts w:ascii="Arial" w:cs="Arial" w:eastAsia="Arial" w:hAnsi="Arial"/>
                <w:sz w:val="18"/>
                <w:szCs w:val="18"/>
                <w:color w:val="0000EE"/>
              </w:rPr>
            </w:pPr>
            <w:hyperlink r:id="rId193">
              <w:r>
                <w:rPr>
                  <w:rFonts w:ascii="Arial" w:cs="Arial" w:eastAsia="Arial" w:hAnsi="Arial"/>
                  <w:sz w:val="18"/>
                  <w:szCs w:val="18"/>
                  <w:color w:val="0000EE"/>
                </w:rPr>
                <w:t>Retiree Medical Plan</w:t>
              </w:r>
            </w:hyperlink>
          </w:p>
        </w:tc>
        <w:tc>
          <w:tcPr>
            <w:tcW w:w="1600" w:type="dxa"/>
            <w:vAlign w:val="bottom"/>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10.30(16)</w:t>
            </w:r>
          </w:p>
        </w:tc>
        <w:tc>
          <w:tcPr>
            <w:tcW w:w="1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280" w:type="dxa"/>
            <w:vAlign w:val="bottom"/>
            <w:gridSpan w:val="3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gridSpan w:val="40"/>
          </w:tcPr>
          <w:p>
            <w:pPr>
              <w:spacing w:after="0" w:line="169"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Form of Director Letter Agreement by and between AeroVironment, Inc. and certain non-employee director</w:t>
              </w:r>
            </w:hyperlink>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top w:val="single" w:sz="8" w:color="0000EE"/>
            </w:tcBorders>
            <w:gridSpan w:val="4"/>
          </w:tcPr>
          <w:p>
            <w:pPr>
              <w:ind w:left="3240"/>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6" w:name="page137"/>
    <w:bookmarkEnd w:id="1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40" w:type="dxa"/>
            <w:vAlign w:val="bottom"/>
            <w:gridSpan w:val="22"/>
            <w:vMerge w:val="restart"/>
          </w:tcPr>
          <w:p>
            <w:pPr>
              <w:ind w:left="10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3"/>
              </w:rPr>
              <w:t>10.31(14)</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60" w:type="dxa"/>
            <w:vAlign w:val="bottom"/>
            <w:tcBorders>
              <w:bottom w:val="single" w:sz="8" w:color="0000EE"/>
            </w:tcBorders>
            <w:gridSpan w:val="28"/>
          </w:tcPr>
          <w:p>
            <w:pPr>
              <w:spacing w:after="0" w:line="169"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Asset Purchase Agreement by and between Webasto Charging Systems, Inc. and AeroVironment, Inc. dated</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r:id="rId195">
              <w:r>
                <w:rPr>
                  <w:rFonts w:ascii="Arial" w:cs="Arial" w:eastAsia="Arial" w:hAnsi="Arial"/>
                  <w:sz w:val="18"/>
                  <w:szCs w:val="18"/>
                  <w:color w:val="0000EE"/>
                  <w:w w:val="86"/>
                </w:rPr>
                <w:t>as of June 1, 2018</w:t>
              </w:r>
            </w:hyperlink>
          </w:p>
        </w:tc>
        <w:tc>
          <w:tcPr>
            <w:tcW w:w="65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10.32(15)</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Side Letter Agreement by and between Webasto Charging Systems, Inc. and AeroVironment, Inc. dated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of June 29, 2018</w:t>
              </w:r>
            </w:hyperlink>
          </w:p>
        </w:tc>
        <w:tc>
          <w:tcPr>
            <w:tcW w:w="6460" w:type="dxa"/>
            <w:vAlign w:val="bottom"/>
            <w:tcBorders>
              <w:top w:val="single" w:sz="8" w:color="0000EE"/>
            </w:tcBorders>
            <w:gridSpan w:val="21"/>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10.33#(17)</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8"/>
              </w:rPr>
            </w:pPr>
            <w:hyperlink r:id="rId197">
              <w:r>
                <w:rPr>
                  <w:rFonts w:ascii="Arial" w:cs="Arial" w:eastAsia="Arial" w:hAnsi="Arial"/>
                  <w:sz w:val="18"/>
                  <w:szCs w:val="18"/>
                  <w:color w:val="0000EE"/>
                  <w:w w:val="98"/>
                </w:rPr>
                <w:t>AeroVironment, Inc. Executive Severance Plan and Summary Description, effective January 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10.34#(18)</w:t>
            </w:r>
          </w:p>
        </w:tc>
        <w:tc>
          <w:tcPr>
            <w:tcW w:w="160" w:type="dxa"/>
            <w:vAlign w:val="bottom"/>
          </w:tcPr>
          <w:p>
            <w:pPr>
              <w:spacing w:after="0"/>
              <w:rPr>
                <w:sz w:val="17"/>
                <w:szCs w:val="17"/>
                <w:color w:val="auto"/>
              </w:rPr>
            </w:pPr>
          </w:p>
        </w:tc>
        <w:tc>
          <w:tcPr>
            <w:tcW w:w="75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Special Consulting Agreement by and between AeroVironment, Inc. and Kirk Flittie dated as of July 13,</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20" w:type="dxa"/>
            <w:vAlign w:val="bottom"/>
            <w:gridSpan w:val="3"/>
          </w:tcPr>
          <w:p>
            <w:pPr>
              <w:ind w:left="160"/>
              <w:spacing w:after="0" w:line="196" w:lineRule="exact"/>
              <w:rPr>
                <w:rFonts w:ascii="Arial" w:cs="Arial" w:eastAsia="Arial" w:hAnsi="Arial"/>
                <w:sz w:val="18"/>
                <w:szCs w:val="18"/>
                <w:color w:val="0000EE"/>
                <w:w w:val="84"/>
              </w:rPr>
            </w:pPr>
            <w:hyperlink r:id="rId198">
              <w:r>
                <w:rPr>
                  <w:rFonts w:ascii="Arial" w:cs="Arial" w:eastAsia="Arial" w:hAnsi="Arial"/>
                  <w:sz w:val="18"/>
                  <w:szCs w:val="18"/>
                  <w:color w:val="0000EE"/>
                  <w:w w:val="84"/>
                </w:rPr>
                <w:t>2019</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5"/>
              </w:rPr>
              <w:t>10.35*(19)</w:t>
            </w:r>
          </w:p>
        </w:tc>
        <w:tc>
          <w:tcPr>
            <w:tcW w:w="160" w:type="dxa"/>
            <w:vAlign w:val="bottom"/>
          </w:tcPr>
          <w:p>
            <w:pPr>
              <w:spacing w:after="0"/>
              <w:rPr>
                <w:sz w:val="17"/>
                <w:szCs w:val="17"/>
                <w:color w:val="auto"/>
              </w:rPr>
            </w:pPr>
          </w:p>
        </w:tc>
        <w:tc>
          <w:tcPr>
            <w:tcW w:w="75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Stock Purchase Agreement, dated January 11, 2021, by and among AeroVironment, Inc., Arcturus UAV,</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Inc., and the shareholders and other equity interest holders of Arcturus UAV,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10.36(13)</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5"/>
              </w:rPr>
            </w:pPr>
            <w:hyperlink r:id="rId200">
              <w:r>
                <w:rPr>
                  <w:rFonts w:ascii="Arial" w:cs="Arial" w:eastAsia="Arial" w:hAnsi="Arial"/>
                  <w:sz w:val="18"/>
                  <w:szCs w:val="18"/>
                  <w:color w:val="0000EE"/>
                  <w:w w:val="95"/>
                </w:rPr>
                <w:t>Loan commitment letter, dated January 11, 2021, by and among AeroVironment, Inc., Bank of America,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N.A., BofA Securities, Inc., JPMorgan Chase Bank, N.A., and U.S. Bank National Association.</w:t>
              </w:r>
            </w:hyperlink>
          </w:p>
        </w:tc>
        <w:tc>
          <w:tcPr>
            <w:tcW w:w="620" w:type="dxa"/>
            <w:vAlign w:val="bottom"/>
            <w:tcBorders>
              <w:top w:val="single" w:sz="8" w:color="0000EE"/>
            </w:tcBorders>
            <w:gridSpan w:val="9"/>
          </w:tcPr>
          <w:p>
            <w:pPr>
              <w:spacing w:after="0"/>
              <w:rPr>
                <w:sz w:val="17"/>
                <w:szCs w:val="17"/>
                <w:color w:val="auto"/>
              </w:rPr>
            </w:pP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5"/>
              </w:rPr>
              <w:t>10.37*(13)</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Credit Agreement, dated February 19, 2021, by and among AeroVironment, Inc., certain lenders, letter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credit issuers, Bank of America, N.A., as the administrative agent and the swingline lender, and BofA</w:t>
              </w:r>
            </w:hyperlink>
          </w:p>
        </w:tc>
        <w:tc>
          <w:tcPr>
            <w:tcW w:w="260" w:type="dxa"/>
            <w:vAlign w:val="bottom"/>
            <w:tcBorders>
              <w:top w:val="single" w:sz="8" w:color="0000EE"/>
            </w:tcBorders>
            <w:gridSpan w:val="6"/>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Securities, Inc., JPMorgan Chase Bank, N.A., and U.S. Bank National Association, as joint lead arrangers</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10.38ǂ(13)</w:t>
            </w:r>
          </w:p>
        </w:tc>
        <w:tc>
          <w:tcPr>
            <w:tcW w:w="16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and joint bookrunners</w:t>
              </w:r>
            </w:hyperlink>
          </w:p>
        </w:tc>
        <w:tc>
          <w:tcPr>
            <w:tcW w:w="6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3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Security and Pledge Agreement, dated February 19, 2021, by and among AeroVironment, Inc., certain</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obligors, and Bank of America, N.A., as the administrative agent</w:t>
              </w:r>
            </w:hyperlink>
          </w:p>
        </w:tc>
        <w:tc>
          <w:tcPr>
            <w:tcW w:w="31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10.39(20)</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First Amendment to Credit Agreement and Waiver, dated February 4, 2022, by and among AeroVironment,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2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203">
              <w:r>
                <w:rPr>
                  <w:rFonts w:ascii="Arial" w:cs="Arial" w:eastAsia="Arial" w:hAnsi="Arial"/>
                  <w:sz w:val="18"/>
                  <w:szCs w:val="18"/>
                  <w:color w:val="0000EE"/>
                  <w:w w:val="94"/>
                </w:rPr>
                <w:t>Inc., certain lenders, letter of credit issuers, Bank of America, N.A., as the administrative agent and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swingline lender, and BofA Securities, Inc., JPMorgan Chase Bank, N.A., and U.S. Bank National</w:t>
              </w:r>
            </w:hyperlink>
          </w:p>
        </w:tc>
        <w:tc>
          <w:tcPr>
            <w:tcW w:w="320" w:type="dxa"/>
            <w:vAlign w:val="bottom"/>
            <w:tcBorders>
              <w:top w:val="single" w:sz="8" w:color="0000EE"/>
            </w:tcBorders>
            <w:gridSpan w:val="6"/>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3"/>
              </w:rPr>
              <w:t>10.40ǂ*(21)</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Association</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4"/>
              </w:rPr>
            </w:pPr>
            <w:hyperlink r:id="rId204">
              <w:r>
                <w:rPr>
                  <w:rFonts w:ascii="Arial" w:cs="Arial" w:eastAsia="Arial" w:hAnsi="Arial"/>
                  <w:sz w:val="18"/>
                  <w:szCs w:val="18"/>
                  <w:color w:val="0000EE"/>
                  <w:w w:val="94"/>
                </w:rPr>
                <w:t>Share Purchase Agreement, dated December 3, 2020, by and between AeroVironment, Inc., Unmanned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Systems Investments GmbH, and each of the unit holders of Unmanned Systems Investments GmbH</w:t>
              </w:r>
            </w:hyperlink>
          </w:p>
        </w:tc>
        <w:tc>
          <w:tcPr>
            <w:tcW w:w="160" w:type="dxa"/>
            <w:vAlign w:val="bottom"/>
            <w:tcBorders>
              <w:top w:val="single" w:sz="8" w:color="0000EE"/>
            </w:tcBorders>
            <w:gridSpan w:val="4"/>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21.1</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Subsidiaries of AeroVironment,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160" w:type="dxa"/>
            <w:vAlign w:val="bottom"/>
          </w:tcPr>
          <w:p>
            <w:pPr>
              <w:spacing w:after="0"/>
              <w:rPr>
                <w:sz w:val="17"/>
                <w:szCs w:val="17"/>
                <w:color w:val="auto"/>
              </w:rPr>
            </w:pP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Consent of Deloitte &amp; Touche LLP, independent registered public accounting firm</w:t>
              </w:r>
            </w:hyperlink>
          </w:p>
        </w:tc>
        <w:tc>
          <w:tcPr>
            <w:tcW w:w="19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24.1</w:t>
            </w:r>
          </w:p>
        </w:tc>
        <w:tc>
          <w:tcPr>
            <w:tcW w:w="160" w:type="dxa"/>
            <w:vAlign w:val="bottom"/>
          </w:tcPr>
          <w:p>
            <w:pPr>
              <w:spacing w:after="0"/>
              <w:rPr>
                <w:sz w:val="17"/>
                <w:szCs w:val="17"/>
                <w:color w:val="auto"/>
              </w:rPr>
            </w:pPr>
          </w:p>
        </w:tc>
        <w:tc>
          <w:tcPr>
            <w:tcW w:w="65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Power of Attorney (incorporated by reference to the signature page of this Annual Report)</w:t>
              </w:r>
            </w:hyperlink>
          </w:p>
        </w:tc>
        <w:tc>
          <w:tcPr>
            <w:tcW w:w="1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Certification Pursuant to Rule 13a-14(a) or Rule 15d-14(a) of the Securities Exchange Act of 1934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240" w:type="dxa"/>
            <w:vAlign w:val="bottom"/>
            <w:gridSpan w:val="11"/>
            <w:shd w:val="clear" w:color="auto" w:fill="0000EE"/>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Certification Pursuant to Rule 13a-14(a) or Rule 15d-14(a) of the Securities Exchange Act of 1934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240" w:type="dxa"/>
            <w:vAlign w:val="bottom"/>
            <w:gridSpan w:val="11"/>
            <w:shd w:val="clear" w:color="auto" w:fill="0000EE"/>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60" w:type="dxa"/>
            <w:vAlign w:val="bottom"/>
          </w:tcPr>
          <w:p>
            <w:pPr>
              <w:spacing w:after="0"/>
              <w:rPr>
                <w:sz w:val="17"/>
                <w:szCs w:val="17"/>
                <w:color w:val="auto"/>
              </w:rPr>
            </w:pPr>
          </w:p>
        </w:tc>
        <w:tc>
          <w:tcPr>
            <w:tcW w:w="7840" w:type="dxa"/>
            <w:vAlign w:val="bottom"/>
            <w:gridSpan w:val="30"/>
          </w:tcPr>
          <w:p>
            <w:pPr>
              <w:spacing w:after="0" w:line="196"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Certification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Act of 2002</w:t>
              </w:r>
            </w:hyperlink>
          </w:p>
        </w:tc>
        <w:tc>
          <w:tcPr>
            <w:tcW w:w="6900" w:type="dxa"/>
            <w:vAlign w:val="bottom"/>
            <w:tcBorders>
              <w:top w:val="single" w:sz="8" w:color="0000EE"/>
            </w:tcBorders>
            <w:gridSpan w:val="24"/>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19"/>
                <w:szCs w:val="19"/>
                <w:color w:val="auto"/>
              </w:rPr>
            </w:pPr>
          </w:p>
        </w:tc>
        <w:tc>
          <w:tcPr>
            <w:tcW w:w="7840" w:type="dxa"/>
            <w:vAlign w:val="bottom"/>
            <w:gridSpan w:val="3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60" w:type="dxa"/>
            <w:vAlign w:val="bottom"/>
          </w:tcPr>
          <w:p>
            <w:pPr>
              <w:spacing w:after="0"/>
              <w:rPr>
                <w:sz w:val="18"/>
                <w:szCs w:val="18"/>
                <w:color w:val="auto"/>
              </w:rPr>
            </w:pPr>
          </w:p>
        </w:tc>
        <w:tc>
          <w:tcPr>
            <w:tcW w:w="784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18"/>
                <w:szCs w:val="18"/>
                <w:color w:val="auto"/>
              </w:rPr>
            </w:pPr>
          </w:p>
        </w:tc>
        <w:tc>
          <w:tcPr>
            <w:tcW w:w="7840" w:type="dxa"/>
            <w:vAlign w:val="bottom"/>
            <w:gridSpan w:val="30"/>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60" w:type="dxa"/>
            <w:vAlign w:val="bottom"/>
          </w:tcPr>
          <w:p>
            <w:pPr>
              <w:spacing w:after="0"/>
              <w:rPr>
                <w:sz w:val="18"/>
                <w:szCs w:val="18"/>
                <w:color w:val="auto"/>
              </w:rPr>
            </w:pPr>
          </w:p>
        </w:tc>
        <w:tc>
          <w:tcPr>
            <w:tcW w:w="784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18"/>
                <w:szCs w:val="18"/>
                <w:color w:val="auto"/>
              </w:rPr>
            </w:pPr>
          </w:p>
        </w:tc>
        <w:tc>
          <w:tcPr>
            <w:tcW w:w="7840" w:type="dxa"/>
            <w:vAlign w:val="bottom"/>
            <w:gridSpan w:val="30"/>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0"/>
                <w:szCs w:val="20"/>
                <w:color w:val="auto"/>
              </w:rPr>
            </w:pPr>
          </w:p>
        </w:tc>
        <w:tc>
          <w:tcPr>
            <w:tcW w:w="7840" w:type="dxa"/>
            <w:vAlign w:val="bottom"/>
            <w:gridSpan w:val="30"/>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ind w:left="1120" w:hanging="754"/>
        <w:spacing w:after="0"/>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2007 (File No. 001-33261).</w:t>
      </w:r>
    </w:p>
    <w:p>
      <w:pPr>
        <w:spacing w:after="0" w:line="170" w:lineRule="exact"/>
        <w:rPr>
          <w:rFonts w:ascii="Arial" w:cs="Arial" w:eastAsia="Arial" w:hAnsi="Arial"/>
          <w:sz w:val="18"/>
          <w:szCs w:val="18"/>
          <w:color w:val="auto"/>
        </w:rPr>
      </w:pPr>
    </w:p>
    <w:p>
      <w:pPr>
        <w:ind w:left="700" w:right="41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March 3, 2022 (File No. 001-33261).</w:t>
      </w:r>
    </w:p>
    <w:p>
      <w:pPr>
        <w:spacing w:after="0" w:line="170" w:lineRule="exact"/>
        <w:rPr>
          <w:rFonts w:ascii="Arial" w:cs="Arial" w:eastAsia="Arial" w:hAnsi="Arial"/>
          <w:sz w:val="18"/>
          <w:szCs w:val="18"/>
          <w:color w:val="auto"/>
        </w:rPr>
      </w:pPr>
    </w:p>
    <w:p>
      <w:pPr>
        <w:ind w:left="700" w:right="55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S-1 (File No. 333-137658).</w:t>
      </w:r>
    </w:p>
    <w:p>
      <w:pPr>
        <w:spacing w:after="0" w:line="170" w:lineRule="exact"/>
        <w:rPr>
          <w:rFonts w:ascii="Arial" w:cs="Arial" w:eastAsia="Arial" w:hAnsi="Arial"/>
          <w:sz w:val="18"/>
          <w:szCs w:val="18"/>
          <w:color w:val="auto"/>
        </w:rPr>
      </w:pPr>
    </w:p>
    <w:p>
      <w:pPr>
        <w:ind w:left="700" w:right="41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24, 2020 (File No. 001-33261).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-1596390</wp:posOffset>
            </wp:positionV>
            <wp:extent cx="1414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 K filed on June 29, 2016 (File No. 001 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to the exhibits to the Company’s Current Report on Form 8-K filed on October 5, 2011 (File No. 001-33261).</w:t>
      </w:r>
    </w:p>
    <w:p>
      <w:pPr>
        <w:spacing w:after="0" w:line="170" w:lineRule="exact"/>
        <w:rPr>
          <w:rFonts w:ascii="Arial" w:cs="Arial" w:eastAsia="Arial" w:hAnsi="Arial"/>
          <w:sz w:val="18"/>
          <w:szCs w:val="18"/>
          <w:color w:val="auto"/>
        </w:rPr>
      </w:pPr>
    </w:p>
    <w:p>
      <w:pPr>
        <w:ind w:left="700" w:right="39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28, 2017 (File No. 001-33261).</w:t>
      </w:r>
    </w:p>
    <w:p>
      <w:pPr>
        <w:spacing w:after="0" w:line="170" w:lineRule="exact"/>
        <w:rPr>
          <w:rFonts w:ascii="Arial" w:cs="Arial" w:eastAsia="Arial" w:hAnsi="Arial"/>
          <w:sz w:val="18"/>
          <w:szCs w:val="18"/>
          <w:color w:val="auto"/>
        </w:rPr>
      </w:pPr>
    </w:p>
    <w:p>
      <w:pPr>
        <w:ind w:left="700" w:right="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July 28, 2010 (File No. 001-33261).</w:t>
      </w:r>
    </w:p>
    <w:p>
      <w:pPr>
        <w:spacing w:after="0" w:line="170" w:lineRule="exact"/>
        <w:rPr>
          <w:rFonts w:ascii="Arial" w:cs="Arial" w:eastAsia="Arial" w:hAnsi="Arial"/>
          <w:sz w:val="18"/>
          <w:szCs w:val="18"/>
          <w:color w:val="auto"/>
        </w:rPr>
      </w:pPr>
    </w:p>
    <w:p>
      <w:pPr>
        <w:ind w:left="700" w:right="39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26, 2019 (File No. 001-33261).</w:t>
      </w:r>
    </w:p>
    <w:p>
      <w:pPr>
        <w:spacing w:after="0" w:line="170" w:lineRule="exact"/>
        <w:rPr>
          <w:rFonts w:ascii="Arial" w:cs="Arial" w:eastAsia="Arial" w:hAnsi="Arial"/>
          <w:sz w:val="18"/>
          <w:szCs w:val="18"/>
          <w:color w:val="auto"/>
        </w:rPr>
      </w:pPr>
    </w:p>
    <w:p>
      <w:pPr>
        <w:ind w:left="700" w:right="5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S-8 filed October 13, 2021 (File No. 333-260227).</w:t>
      </w:r>
    </w:p>
    <w:p>
      <w:pPr>
        <w:spacing w:after="0" w:line="170" w:lineRule="exact"/>
        <w:rPr>
          <w:rFonts w:ascii="Arial" w:cs="Arial" w:eastAsia="Arial" w:hAnsi="Arial"/>
          <w:sz w:val="18"/>
          <w:szCs w:val="18"/>
          <w:color w:val="auto"/>
        </w:rPr>
      </w:pPr>
    </w:p>
    <w:p>
      <w:pPr>
        <w:ind w:left="700" w:right="39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26, 2008 (File No. 001-33261).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5, 2014 (File No. 001-33261).</w:t>
      </w:r>
    </w:p>
    <w:p>
      <w:pPr>
        <w:spacing w:after="0" w:line="170" w:lineRule="exact"/>
        <w:rPr>
          <w:rFonts w:ascii="Arial" w:cs="Arial" w:eastAsia="Arial" w:hAnsi="Arial"/>
          <w:sz w:val="18"/>
          <w:szCs w:val="18"/>
          <w:color w:val="auto"/>
        </w:rPr>
      </w:pPr>
    </w:p>
    <w:p>
      <w:pPr>
        <w:ind w:left="700" w:right="39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29, 2021 (File No. 001-33261).</w:t>
      </w:r>
    </w:p>
    <w:p>
      <w:pPr>
        <w:spacing w:after="0" w:line="170" w:lineRule="exact"/>
        <w:rPr>
          <w:rFonts w:ascii="Arial" w:cs="Arial" w:eastAsia="Arial" w:hAnsi="Arial"/>
          <w:sz w:val="18"/>
          <w:szCs w:val="18"/>
          <w:color w:val="auto"/>
        </w:rPr>
      </w:pPr>
    </w:p>
    <w:p>
      <w:pPr>
        <w:ind w:left="700" w:right="8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170" w:lineRule="exact"/>
        <w:rPr>
          <w:rFonts w:ascii="Arial" w:cs="Arial" w:eastAsia="Arial" w:hAnsi="Arial"/>
          <w:sz w:val="18"/>
          <w:szCs w:val="18"/>
          <w:color w:val="auto"/>
        </w:rPr>
      </w:pPr>
    </w:p>
    <w:p>
      <w:pPr>
        <w:ind w:left="700" w:right="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November 30, 2018 (File No. 001 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2016 (File No. 001-33261).</w:t>
      </w:r>
    </w:p>
    <w:p>
      <w:pPr>
        <w:spacing w:after="0" w:line="170" w:lineRule="exact"/>
        <w:rPr>
          <w:rFonts w:ascii="Arial" w:cs="Arial" w:eastAsia="Arial" w:hAnsi="Arial"/>
          <w:sz w:val="18"/>
          <w:szCs w:val="18"/>
          <w:color w:val="auto"/>
        </w:rPr>
      </w:pPr>
    </w:p>
    <w:p>
      <w:pPr>
        <w:ind w:left="700" w:right="179"/>
        <w:spacing w:after="0" w:line="271" w:lineRule="auto"/>
        <w:rPr>
          <w:rFonts w:ascii="Arial" w:cs="Arial" w:eastAsia="Arial" w:hAnsi="Arial"/>
          <w:sz w:val="18"/>
          <w:szCs w:val="18"/>
          <w:color w:val="auto"/>
        </w:rPr>
      </w:pPr>
      <w:r>
        <w:rPr>
          <w:rFonts w:ascii="Arial" w:cs="Arial" w:eastAsia="Arial" w:hAnsi="Arial"/>
          <w:sz w:val="17"/>
          <w:szCs w:val="17"/>
          <w:color w:val="auto"/>
        </w:rP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 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 Agreement have a right to enforce the agreement. Accordingly, security holders should not rely on the representations and warranties in the Asset Purchase Agreement.</w:t>
      </w:r>
    </w:p>
    <w:p>
      <w:pPr>
        <w:spacing w:after="0" w:line="178" w:lineRule="exact"/>
        <w:rPr>
          <w:rFonts w:ascii="Arial" w:cs="Arial" w:eastAsia="Arial" w:hAnsi="Arial"/>
          <w:sz w:val="18"/>
          <w:szCs w:val="18"/>
          <w:color w:val="auto"/>
        </w:rPr>
      </w:pPr>
    </w:p>
    <w:p>
      <w:pPr>
        <w:ind w:left="700" w:right="139"/>
        <w:spacing w:after="0" w:line="342" w:lineRule="auto"/>
        <w:rPr>
          <w:rFonts w:ascii="Arial" w:cs="Arial" w:eastAsia="Arial" w:hAnsi="Arial"/>
          <w:sz w:val="18"/>
          <w:szCs w:val="18"/>
          <w:color w:val="auto"/>
        </w:rPr>
      </w:pPr>
      <w:r>
        <w:rPr>
          <w:rFonts w:ascii="Arial" w:cs="Arial" w:eastAsia="Arial" w:hAnsi="Arial"/>
          <w:sz w:val="16"/>
          <w:szCs w:val="16"/>
          <w:color w:val="auto"/>
        </w:rPr>
        <w:t>All schedules (or similar attachments) have been omitted from this filing pursuant to Item 601 of Regulation S-K. The Company will furnish copies of any schedules to the Securities and Exchange Commission upon request.</w:t>
      </w:r>
    </w:p>
    <w:p>
      <w:pPr>
        <w:spacing w:after="0" w:line="123"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99" w:hanging="656"/>
        <w:spacing w:after="0" w:line="277"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8-K/A filed October 22, 2019 (File No. 001-33261).</w:t>
      </w:r>
    </w:p>
    <w:p>
      <w:pPr>
        <w:spacing w:after="0" w:line="170" w:lineRule="exact"/>
        <w:rPr>
          <w:rFonts w:ascii="Arial" w:cs="Arial" w:eastAsia="Arial" w:hAnsi="Arial"/>
          <w:sz w:val="18"/>
          <w:szCs w:val="18"/>
          <w:color w:val="auto"/>
        </w:rPr>
      </w:pPr>
    </w:p>
    <w:p>
      <w:pPr>
        <w:ind w:left="700" w:right="419" w:hanging="656"/>
        <w:spacing w:after="0" w:line="277"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29, 2021 (File No. 001-33261).</w:t>
      </w:r>
    </w:p>
    <w:p>
      <w:pPr>
        <w:spacing w:after="0" w:line="170" w:lineRule="exact"/>
        <w:rPr>
          <w:rFonts w:ascii="Arial" w:cs="Arial" w:eastAsia="Arial" w:hAnsi="Arial"/>
          <w:sz w:val="18"/>
          <w:szCs w:val="18"/>
          <w:color w:val="auto"/>
        </w:rPr>
      </w:pPr>
    </w:p>
    <w:p>
      <w:pPr>
        <w:ind w:left="700" w:right="179"/>
        <w:spacing w:after="0" w:line="271" w:lineRule="auto"/>
        <w:rPr>
          <w:rFonts w:ascii="Arial" w:cs="Arial" w:eastAsia="Arial" w:hAnsi="Arial"/>
          <w:sz w:val="18"/>
          <w:szCs w:val="18"/>
          <w:color w:val="auto"/>
        </w:rPr>
      </w:pPr>
      <w:r>
        <w:rPr>
          <w:rFonts w:ascii="Arial" w:cs="Arial" w:eastAsia="Arial" w:hAnsi="Arial"/>
          <w:sz w:val="17"/>
          <w:szCs w:val="17"/>
          <w:color w:val="auto"/>
        </w:rPr>
        <w:t>The representations and warranties contained in the Stock Purchase Agreement were made for the purposes of allocating contractual risk between the parties and not as a means of establishing facts and are qualified by information in disclosure schedules that the parties exchanged in connection with the signing of the Stock Purchase Agreement. Moreover, the representations and warranties were made only as of the date of execution of the Stock Purchase Agreement and information concerning the subject matter of the representations and warranties may change after the date of the Stock Purchase Agreement. Only parties to the Stock Purchase Agreement have a right to enforce the agreement. Accordingly, security holders should not rely on the representations and warranties in the Stock Purchase Agreement.</w:t>
      </w:r>
    </w:p>
    <w:p>
      <w:pPr>
        <w:spacing w:after="0" w:line="178" w:lineRule="exact"/>
        <w:rPr>
          <w:rFonts w:ascii="Arial" w:cs="Arial" w:eastAsia="Arial" w:hAnsi="Arial"/>
          <w:sz w:val="18"/>
          <w:szCs w:val="18"/>
          <w:color w:val="auto"/>
        </w:rPr>
      </w:pPr>
    </w:p>
    <w:p>
      <w:pPr>
        <w:ind w:left="700" w:right="139"/>
        <w:spacing w:after="0" w:line="342" w:lineRule="auto"/>
        <w:rPr>
          <w:rFonts w:ascii="Arial" w:cs="Arial" w:eastAsia="Arial" w:hAnsi="Arial"/>
          <w:sz w:val="18"/>
          <w:szCs w:val="18"/>
          <w:color w:val="auto"/>
        </w:rPr>
      </w:pPr>
      <w:r>
        <w:rPr>
          <w:rFonts w:ascii="Arial" w:cs="Arial" w:eastAsia="Arial" w:hAnsi="Arial"/>
          <w:sz w:val="16"/>
          <w:szCs w:val="16"/>
          <w:color w:val="auto"/>
        </w:rPr>
        <w:t>All schedules (or similar attachments) have been omitted from this filing pursuant to Item 601 of Regulation S-K. The Company will furnish copies of any schedules to the Securities and Exchange Commission upon request.</w:t>
      </w:r>
    </w:p>
    <w:p>
      <w:pPr>
        <w:spacing w:after="0" w:line="123" w:lineRule="exact"/>
        <w:rPr>
          <w:rFonts w:ascii="Arial" w:cs="Arial" w:eastAsia="Arial" w:hAnsi="Arial"/>
          <w:sz w:val="18"/>
          <w:szCs w:val="18"/>
          <w:color w:val="auto"/>
        </w:rPr>
      </w:pPr>
    </w:p>
    <w:p>
      <w:pPr>
        <w:ind w:left="700" w:right="199" w:hanging="656"/>
        <w:spacing w:after="0" w:line="277"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4, 2022 (File No. 001-33261).</w:t>
      </w:r>
    </w:p>
    <w:p>
      <w:pPr>
        <w:spacing w:after="0" w:line="170" w:lineRule="exact"/>
        <w:rPr>
          <w:rFonts w:ascii="Arial" w:cs="Arial" w:eastAsia="Arial" w:hAnsi="Arial"/>
          <w:sz w:val="18"/>
          <w:szCs w:val="18"/>
          <w:color w:val="auto"/>
        </w:rPr>
      </w:pPr>
    </w:p>
    <w:p>
      <w:pPr>
        <w:ind w:left="700" w:right="419" w:hanging="656"/>
        <w:spacing w:after="0" w:line="277"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29, 2021 (File No. 001-33261).</w:t>
      </w:r>
    </w:p>
    <w:p>
      <w:pPr>
        <w:spacing w:after="0" w:line="170" w:lineRule="exact"/>
        <w:rPr>
          <w:rFonts w:ascii="Arial" w:cs="Arial" w:eastAsia="Arial" w:hAnsi="Arial"/>
          <w:sz w:val="18"/>
          <w:szCs w:val="18"/>
          <w:color w:val="auto"/>
        </w:rPr>
      </w:pPr>
    </w:p>
    <w:p>
      <w:pPr>
        <w:ind w:left="700" w:right="179"/>
        <w:spacing w:after="0" w:line="271" w:lineRule="auto"/>
        <w:rPr>
          <w:rFonts w:ascii="Arial" w:cs="Arial" w:eastAsia="Arial" w:hAnsi="Arial"/>
          <w:sz w:val="18"/>
          <w:szCs w:val="18"/>
          <w:color w:val="auto"/>
        </w:rPr>
      </w:pPr>
      <w:r>
        <w:rPr>
          <w:rFonts w:ascii="Arial" w:cs="Arial" w:eastAsia="Arial" w:hAnsi="Arial"/>
          <w:sz w:val="17"/>
          <w:szCs w:val="17"/>
          <w:color w:val="auto"/>
        </w:rPr>
        <w:t>The representations and warranties contained in the Share Purchase Agreement were made for the purposes of allocating contractual risk between the parties and not as a means of establishing facts and are qualified by information in disclosure schedules that the parties exchanged in connection with the signing of the Share Purchase Agreement. Moreover, the representations and warranties were made only as of the date of execution of the Share Purchase Agreement and information concerning the subject matter of the representations and warranties may change after the date of the Stock Purchase Agreement. Only parties to the Share Purchase Agreement have a right to enforce the agreement. Accordingly, security holders should not rely on the representations and warranties in the Share Purchase Agreement.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schedules (or similar attachments) have been omitted from this filing pursuant to Item 601 of Regulation S-K.</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will furnish copies of any schedules to the Securities and Exchange Commission upon request.</w:t>
      </w:r>
    </w:p>
    <w:p>
      <w:pPr>
        <w:spacing w:after="0" w:line="234" w:lineRule="exact"/>
        <w:rPr>
          <w:sz w:val="20"/>
          <w:szCs w:val="20"/>
          <w:color w:val="auto"/>
        </w:rPr>
      </w:pPr>
    </w:p>
    <w:p>
      <w:pPr>
        <w:ind w:left="700" w:right="179" w:hanging="656"/>
        <w:spacing w:after="0" w:line="342"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Pursuant to Items 601(b)(2) and/or 601(b)(10) of Regulation S-K, certain immaterial provisions of the agreement that would likely cause competitive harm to the Company if publicly disclosed have been redacted or omitted.</w:t>
      </w:r>
    </w:p>
    <w:p>
      <w:pPr>
        <w:spacing w:after="0" w:line="124" w:lineRule="exact"/>
        <w:rPr>
          <w:sz w:val="20"/>
          <w:szCs w:val="20"/>
          <w:color w:val="auto"/>
        </w:rPr>
      </w:pPr>
    </w:p>
    <w:p>
      <w:pPr>
        <w:ind w:left="700" w:hanging="65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jc w:val="both"/>
        <w:ind w:left="700" w:right="299" w:hanging="656"/>
        <w:spacing w:after="0" w:line="286"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Schedules (or similar attachments) to this Exhibit have been omitted in accordance with Items 601(a)(5) and/or 601(b)(2) of Regulation S-K. The Registrant agrees to furnish supplementary a copy of all omitted schedules to the Securities and Exchange Commission on a confidential basis upon request.</w:t>
      </w:r>
    </w:p>
    <w:p>
      <w:pPr>
        <w:spacing w:after="0" w:line="165" w:lineRule="exact"/>
        <w:rPr>
          <w:sz w:val="20"/>
          <w:szCs w:val="20"/>
          <w:color w:val="auto"/>
        </w:rPr>
      </w:pPr>
    </w:p>
    <w:p>
      <w:pPr>
        <w:ind w:left="700" w:right="479" w:hanging="656"/>
        <w:spacing w:after="0" w:line="277"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Financial Statement Schedules and Separate Financial Statements of Subsidiaries Not Consolidated and Fifty Percent or Less Owned Persons</w:t>
      </w:r>
    </w:p>
    <w:p>
      <w:pPr>
        <w:spacing w:after="0" w:line="170" w:lineRule="exact"/>
        <w:rPr>
          <w:rFonts w:ascii="Arial" w:cs="Arial" w:eastAsia="Arial" w:hAnsi="Arial"/>
          <w:sz w:val="18"/>
          <w:szCs w:val="18"/>
          <w:color w:val="auto"/>
        </w:rPr>
      </w:pPr>
    </w:p>
    <w:p>
      <w:pPr>
        <w:ind w:left="700" w:right="99"/>
        <w:spacing w:after="0" w:line="286" w:lineRule="auto"/>
        <w:rPr>
          <w:rFonts w:ascii="Arial" w:cs="Arial" w:eastAsia="Arial" w:hAnsi="Arial"/>
          <w:sz w:val="18"/>
          <w:szCs w:val="18"/>
          <w:color w:val="auto"/>
        </w:rPr>
      </w:pPr>
      <w:r>
        <w:rPr>
          <w:rFonts w:ascii="Arial" w:cs="Arial" w:eastAsia="Arial" w:hAnsi="Arial"/>
          <w:sz w:val="17"/>
          <w:szCs w:val="17"/>
          <w:color w:val="auto"/>
        </w:rPr>
        <w:t>HAPSMobile was deemed a significant equity investee under Rule 3-09 of Regulation S-X for the fiscal year ended April 30, 2021. As such, financial statements of HAPSMobile are required to be filed by amendment to this Annual Report on Form 10-K, within six months of HAPSMobile's fiscal year end. Accordingly,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spacing w:after="0" w:line="277" w:lineRule="auto"/>
        <w:rPr>
          <w:sz w:val="20"/>
          <w:szCs w:val="20"/>
          <w:color w:val="auto"/>
        </w:rPr>
      </w:pPr>
      <w:r>
        <w:rPr>
          <w:rFonts w:ascii="Arial" w:cs="Arial" w:eastAsia="Arial" w:hAnsi="Arial"/>
          <w:sz w:val="18"/>
          <w:szCs w:val="18"/>
          <w:color w:val="auto"/>
        </w:rPr>
        <w:t>HAPSMobile financial statements for its fiscal year ended March 31, 2021 will be filed via an amendment to this Annual Report on Form 10-K on or before September 30,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0" w:right="37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6460" w:type="dxa"/>
            <w:vAlign w:val="bottom"/>
            <w:gridSpan w:val="2"/>
          </w:tcPr>
          <w:p>
            <w:pPr>
              <w:ind w:left="2020"/>
              <w:spacing w:after="0"/>
              <w:rPr>
                <w:sz w:val="20"/>
                <w:szCs w:val="20"/>
                <w:color w:val="auto"/>
              </w:rPr>
            </w:pPr>
            <w:r>
              <w:rPr>
                <w:rFonts w:ascii="Arial" w:cs="Arial" w:eastAsia="Arial" w:hAnsi="Arial"/>
                <w:sz w:val="18"/>
                <w:szCs w:val="18"/>
                <w:b w:val="1"/>
                <w:bCs w:val="1"/>
                <w:color w:val="auto"/>
              </w:rPr>
              <w:t>AEROVIRONMENT, INC.</w:t>
            </w: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Date: June 28, 2022</w:t>
            </w:r>
          </w:p>
        </w:tc>
        <w:tc>
          <w:tcPr>
            <w:tcW w:w="2020" w:type="dxa"/>
            <w:vAlign w:val="bottom"/>
          </w:tcPr>
          <w:p>
            <w:pPr>
              <w:spacing w:after="0"/>
              <w:rPr>
                <w:sz w:val="24"/>
                <w:szCs w:val="24"/>
                <w:color w:val="auto"/>
              </w:rPr>
            </w:pPr>
          </w:p>
        </w:tc>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AHID</w:t>
            </w:r>
            <w:r>
              <w:rPr>
                <w:rFonts w:ascii="Arial" w:cs="Arial" w:eastAsia="Arial" w:hAnsi="Arial"/>
                <w:sz w:val="18"/>
                <w:szCs w:val="18"/>
                <w:color w:val="auto"/>
              </w:rPr>
              <w:t xml:space="preserve"> N</w:t>
            </w:r>
            <w:r>
              <w:rPr>
                <w:rFonts w:ascii="Arial" w:cs="Arial" w:eastAsia="Arial" w:hAnsi="Arial"/>
                <w:sz w:val="12"/>
                <w:szCs w:val="12"/>
                <w:color w:val="auto"/>
              </w:rPr>
              <w:t>AWABI</w:t>
            </w:r>
          </w:p>
        </w:tc>
      </w:tr>
      <w:tr>
        <w:trPr>
          <w:trHeight w:val="195"/>
        </w:trPr>
        <w:tc>
          <w:tcPr>
            <w:tcW w:w="2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By:Wahid Nawabi</w:t>
            </w:r>
          </w:p>
        </w:tc>
      </w:tr>
      <w:tr>
        <w:trPr>
          <w:trHeight w:val="216"/>
        </w:trPr>
        <w:tc>
          <w:tcPr>
            <w:tcW w:w="2460" w:type="dxa"/>
            <w:vAlign w:val="bottom"/>
          </w:tcPr>
          <w:p>
            <w:pPr>
              <w:spacing w:after="0"/>
              <w:rPr>
                <w:sz w:val="18"/>
                <w:szCs w:val="18"/>
                <w:color w:val="auto"/>
              </w:rPr>
            </w:pPr>
          </w:p>
        </w:tc>
        <w:tc>
          <w:tcPr>
            <w:tcW w:w="6460" w:type="dxa"/>
            <w:vAlign w:val="bottom"/>
            <w:gridSpan w:val="2"/>
          </w:tcPr>
          <w:p>
            <w:pPr>
              <w:ind w:left="2020"/>
              <w:spacing w:after="0"/>
              <w:rPr>
                <w:sz w:val="20"/>
                <w:szCs w:val="20"/>
                <w:color w:val="auto"/>
              </w:rPr>
            </w:pPr>
            <w:r>
              <w:rPr>
                <w:rFonts w:ascii="Arial" w:cs="Arial" w:eastAsia="Arial" w:hAnsi="Arial"/>
                <w:sz w:val="18"/>
                <w:szCs w:val="18"/>
                <w:color w:val="auto"/>
              </w:rPr>
              <w:t>Its: Chief Executive Officer and President</w:t>
            </w:r>
          </w:p>
        </w:tc>
      </w:tr>
      <w:tr>
        <w:trPr>
          <w:trHeight w:val="230"/>
        </w:trPr>
        <w:tc>
          <w:tcPr>
            <w:tcW w:w="2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351"/>
        </w:trPr>
        <w:tc>
          <w:tcPr>
            <w:tcW w:w="2460" w:type="dxa"/>
            <w:vAlign w:val="bottom"/>
          </w:tcPr>
          <w:p>
            <w:pPr>
              <w:spacing w:after="0"/>
              <w:rPr>
                <w:sz w:val="24"/>
                <w:szCs w:val="24"/>
                <w:color w:val="auto"/>
              </w:rPr>
            </w:pPr>
          </w:p>
        </w:tc>
        <w:tc>
          <w:tcPr>
            <w:tcW w:w="6460" w:type="dxa"/>
            <w:vAlign w:val="bottom"/>
            <w:gridSpan w:val="2"/>
          </w:tcPr>
          <w:p>
            <w:pPr>
              <w:ind w:left="1000"/>
              <w:spacing w:after="0"/>
              <w:rPr>
                <w:sz w:val="20"/>
                <w:szCs w:val="20"/>
                <w:color w:val="auto"/>
              </w:rPr>
            </w:pPr>
            <w:r>
              <w:rPr>
                <w:rFonts w:ascii="Arial" w:cs="Arial" w:eastAsia="Arial" w:hAnsi="Arial"/>
                <w:sz w:val="18"/>
                <w:szCs w:val="18"/>
                <w:b w:val="1"/>
                <w:bCs w:val="1"/>
                <w:color w:val="auto"/>
              </w:rPr>
              <w:t>POWER OF ATTORNEY</w:t>
            </w:r>
          </w:p>
        </w:tc>
      </w:tr>
    </w:tbl>
    <w:p>
      <w:pPr>
        <w:spacing w:after="0" w:line="121"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Wahid Nawabi and Kevin P. McDonnell,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84"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320" w:type="dxa"/>
            <w:vAlign w:val="bottom"/>
          </w:tcPr>
          <w:p>
            <w:pPr>
              <w:spacing w:after="0"/>
              <w:rPr>
                <w:sz w:val="18"/>
                <w:szCs w:val="18"/>
                <w:color w:val="auto"/>
              </w:rPr>
            </w:pPr>
          </w:p>
        </w:tc>
        <w:tc>
          <w:tcPr>
            <w:tcW w:w="3480" w:type="dxa"/>
            <w:vAlign w:val="bottom"/>
            <w:tcBorders>
              <w:bottom w:val="single" w:sz="8" w:color="auto"/>
            </w:tcBorders>
          </w:tcPr>
          <w:p>
            <w:pPr>
              <w:ind w:left="1580"/>
              <w:spacing w:after="0"/>
              <w:rPr>
                <w:sz w:val="20"/>
                <w:szCs w:val="20"/>
                <w:color w:val="auto"/>
              </w:rPr>
            </w:pPr>
            <w:r>
              <w:rPr>
                <w:rFonts w:ascii="Arial" w:cs="Arial" w:eastAsia="Arial" w:hAnsi="Arial"/>
                <w:sz w:val="16"/>
                <w:szCs w:val="16"/>
                <w:b w:val="1"/>
                <w:bCs w:val="1"/>
                <w:color w:val="auto"/>
              </w:rPr>
              <w:t>Title</w:t>
            </w:r>
          </w:p>
        </w:tc>
        <w:tc>
          <w:tcPr>
            <w:tcW w:w="3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9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w:t>
            </w:r>
            <w:r>
              <w:rPr>
                <w:rFonts w:ascii="Arial" w:cs="Arial" w:eastAsia="Arial" w:hAnsi="Arial"/>
                <w:sz w:val="10"/>
                <w:szCs w:val="10"/>
                <w:color w:val="auto"/>
              </w:rPr>
              <w:t>AHID</w:t>
            </w:r>
            <w:r>
              <w:rPr>
                <w:rFonts w:ascii="Arial" w:cs="Arial" w:eastAsia="Arial" w:hAnsi="Arial"/>
                <w:sz w:val="16"/>
                <w:szCs w:val="16"/>
                <w:color w:val="auto"/>
              </w:rPr>
              <w:t xml:space="preserve"> N</w:t>
            </w:r>
            <w:r>
              <w:rPr>
                <w:rFonts w:ascii="Arial" w:cs="Arial" w:eastAsia="Arial" w:hAnsi="Arial"/>
                <w:sz w:val="10"/>
                <w:szCs w:val="10"/>
                <w:color w:val="auto"/>
              </w:rPr>
              <w:t>AWABI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President, Chief</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192"/>
        </w:trPr>
        <w:tc>
          <w:tcPr>
            <w:tcW w:w="3060" w:type="dxa"/>
            <w:vAlign w:val="bottom"/>
          </w:tcPr>
          <w:p>
            <w:pPr>
              <w:jc w:val="center"/>
              <w:spacing w:after="0"/>
              <w:rPr>
                <w:sz w:val="20"/>
                <w:szCs w:val="20"/>
                <w:color w:val="auto"/>
              </w:rPr>
            </w:pPr>
            <w:r>
              <w:rPr>
                <w:rFonts w:ascii="Arial" w:cs="Arial" w:eastAsia="Arial" w:hAnsi="Arial"/>
                <w:sz w:val="16"/>
                <w:szCs w:val="16"/>
                <w:color w:val="auto"/>
                <w:w w:val="93"/>
              </w:rPr>
              <w:t>Wahid Nawabi</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Executive Officer and Chairman</w:t>
            </w:r>
          </w:p>
        </w:tc>
        <w:tc>
          <w:tcPr>
            <w:tcW w:w="1740" w:type="dxa"/>
            <w:vAlign w:val="bottom"/>
          </w:tcPr>
          <w:p>
            <w:pPr>
              <w:spacing w:after="0"/>
              <w:rPr>
                <w:sz w:val="16"/>
                <w:szCs w:val="16"/>
                <w:color w:val="auto"/>
              </w:rPr>
            </w:pPr>
          </w:p>
        </w:tc>
      </w:tr>
      <w:tr>
        <w:trPr>
          <w:trHeight w:val="20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c>
          <w:tcPr>
            <w:tcW w:w="1740" w:type="dxa"/>
            <w:vAlign w:val="bottom"/>
          </w:tcPr>
          <w:p>
            <w:pPr>
              <w:spacing w:after="0"/>
              <w:rPr>
                <w:sz w:val="17"/>
                <w:szCs w:val="17"/>
                <w:color w:val="auto"/>
              </w:rPr>
            </w:pPr>
          </w:p>
        </w:tc>
      </w:tr>
      <w:tr>
        <w:trPr>
          <w:trHeight w:val="40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w:t>
            </w:r>
            <w:r>
              <w:rPr>
                <w:rFonts w:ascii="Arial" w:cs="Arial" w:eastAsia="Arial" w:hAnsi="Arial"/>
                <w:sz w:val="10"/>
                <w:szCs w:val="10"/>
                <w:color w:val="auto"/>
              </w:rPr>
              <w:t>EVIN</w:t>
            </w:r>
            <w:r>
              <w:rPr>
                <w:rFonts w:ascii="Arial" w:cs="Arial" w:eastAsia="Arial" w:hAnsi="Arial"/>
                <w:sz w:val="16"/>
                <w:szCs w:val="16"/>
                <w:color w:val="auto"/>
              </w:rPr>
              <w:t xml:space="preserve"> P. M</w:t>
            </w:r>
            <w:r>
              <w:rPr>
                <w:rFonts w:ascii="Arial" w:cs="Arial" w:eastAsia="Arial" w:hAnsi="Arial"/>
                <w:sz w:val="10"/>
                <w:szCs w:val="10"/>
                <w:color w:val="auto"/>
              </w:rPr>
              <w:t>C</w:t>
            </w:r>
            <w:r>
              <w:rPr>
                <w:rFonts w:ascii="Arial" w:cs="Arial" w:eastAsia="Arial" w:hAnsi="Arial"/>
                <w:sz w:val="16"/>
                <w:szCs w:val="16"/>
                <w:color w:val="auto"/>
              </w:rPr>
              <w:t>D</w:t>
            </w:r>
            <w:r>
              <w:rPr>
                <w:rFonts w:ascii="Arial" w:cs="Arial" w:eastAsia="Arial" w:hAnsi="Arial"/>
                <w:sz w:val="10"/>
                <w:szCs w:val="10"/>
                <w:color w:val="auto"/>
              </w:rPr>
              <w:t>ONNELL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Senior Vice President and</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192"/>
        </w:trPr>
        <w:tc>
          <w:tcPr>
            <w:tcW w:w="3060" w:type="dxa"/>
            <w:vAlign w:val="bottom"/>
          </w:tcPr>
          <w:p>
            <w:pPr>
              <w:jc w:val="center"/>
              <w:spacing w:after="0"/>
              <w:rPr>
                <w:sz w:val="20"/>
                <w:szCs w:val="20"/>
                <w:color w:val="auto"/>
              </w:rPr>
            </w:pPr>
            <w:r>
              <w:rPr>
                <w:rFonts w:ascii="Arial" w:cs="Arial" w:eastAsia="Arial" w:hAnsi="Arial"/>
                <w:sz w:val="16"/>
                <w:szCs w:val="16"/>
                <w:color w:val="auto"/>
                <w:w w:val="94"/>
              </w:rPr>
              <w:t>Kevin P. McDonnell</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Chief Financial Officer (Principal</w:t>
            </w:r>
          </w:p>
        </w:tc>
        <w:tc>
          <w:tcPr>
            <w:tcW w:w="1740" w:type="dxa"/>
            <w:vAlign w:val="bottom"/>
          </w:tcPr>
          <w:p>
            <w:pPr>
              <w:spacing w:after="0"/>
              <w:rPr>
                <w:sz w:val="16"/>
                <w:szCs w:val="16"/>
                <w:color w:val="auto"/>
              </w:rPr>
            </w:pPr>
          </w:p>
        </w:tc>
      </w:tr>
      <w:tr>
        <w:trPr>
          <w:trHeight w:val="20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Financial Officer)</w:t>
            </w:r>
          </w:p>
        </w:tc>
        <w:tc>
          <w:tcPr>
            <w:tcW w:w="1740" w:type="dxa"/>
            <w:vAlign w:val="bottom"/>
          </w:tcPr>
          <w:p>
            <w:pPr>
              <w:spacing w:after="0"/>
              <w:rPr>
                <w:sz w:val="17"/>
                <w:szCs w:val="17"/>
                <w:color w:val="auto"/>
              </w:rPr>
            </w:pPr>
          </w:p>
        </w:tc>
      </w:tr>
      <w:tr>
        <w:trPr>
          <w:trHeight w:val="40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w:t>
            </w:r>
            <w:r>
              <w:rPr>
                <w:rFonts w:ascii="Arial" w:cs="Arial" w:eastAsia="Arial" w:hAnsi="Arial"/>
                <w:sz w:val="10"/>
                <w:szCs w:val="10"/>
                <w:color w:val="auto"/>
              </w:rPr>
              <w:t>RIAN</w:t>
            </w:r>
            <w:r>
              <w:rPr>
                <w:rFonts w:ascii="Arial" w:cs="Arial" w:eastAsia="Arial" w:hAnsi="Arial"/>
                <w:sz w:val="16"/>
                <w:szCs w:val="16"/>
                <w:color w:val="auto"/>
              </w:rPr>
              <w:t xml:space="preserve"> C. S</w:t>
            </w:r>
            <w:r>
              <w:rPr>
                <w:rFonts w:ascii="Arial" w:cs="Arial" w:eastAsia="Arial" w:hAnsi="Arial"/>
                <w:sz w:val="10"/>
                <w:szCs w:val="10"/>
                <w:color w:val="auto"/>
              </w:rPr>
              <w:t>HACKLEY</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Vice President and</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192"/>
        </w:trPr>
        <w:tc>
          <w:tcPr>
            <w:tcW w:w="3060" w:type="dxa"/>
            <w:vAlign w:val="bottom"/>
          </w:tcPr>
          <w:p>
            <w:pPr>
              <w:jc w:val="center"/>
              <w:spacing w:after="0"/>
              <w:rPr>
                <w:sz w:val="20"/>
                <w:szCs w:val="20"/>
                <w:color w:val="auto"/>
              </w:rPr>
            </w:pPr>
            <w:r>
              <w:rPr>
                <w:rFonts w:ascii="Arial" w:cs="Arial" w:eastAsia="Arial" w:hAnsi="Arial"/>
                <w:sz w:val="16"/>
                <w:szCs w:val="16"/>
                <w:color w:val="auto"/>
                <w:w w:val="92"/>
              </w:rPr>
              <w:t>Brian C. Shackley</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Chief Accounting Officer (Principal</w:t>
            </w:r>
          </w:p>
        </w:tc>
        <w:tc>
          <w:tcPr>
            <w:tcW w:w="1740" w:type="dxa"/>
            <w:vAlign w:val="bottom"/>
          </w:tcPr>
          <w:p>
            <w:pPr>
              <w:spacing w:after="0"/>
              <w:rPr>
                <w:sz w:val="16"/>
                <w:szCs w:val="16"/>
                <w:color w:val="auto"/>
              </w:rPr>
            </w:pPr>
          </w:p>
        </w:tc>
      </w:tr>
      <w:tr>
        <w:trPr>
          <w:trHeight w:val="20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Accounting Officer)</w:t>
            </w:r>
          </w:p>
        </w:tc>
        <w:tc>
          <w:tcPr>
            <w:tcW w:w="1740" w:type="dxa"/>
            <w:vAlign w:val="bottom"/>
          </w:tcPr>
          <w:p>
            <w:pPr>
              <w:spacing w:after="0"/>
              <w:rPr>
                <w:sz w:val="17"/>
                <w:szCs w:val="17"/>
                <w:color w:val="auto"/>
              </w:rPr>
            </w:pPr>
          </w:p>
        </w:tc>
      </w:tr>
      <w:tr>
        <w:trPr>
          <w:trHeight w:val="40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w:t>
            </w:r>
            <w:r>
              <w:rPr>
                <w:rFonts w:ascii="Arial" w:cs="Arial" w:eastAsia="Arial" w:hAnsi="Arial"/>
                <w:sz w:val="10"/>
                <w:szCs w:val="10"/>
                <w:color w:val="auto"/>
              </w:rPr>
              <w:t>DWARD</w:t>
            </w:r>
            <w:r>
              <w:rPr>
                <w:rFonts w:ascii="Arial" w:cs="Arial" w:eastAsia="Arial" w:hAnsi="Arial"/>
                <w:sz w:val="16"/>
                <w:szCs w:val="16"/>
                <w:color w:val="auto"/>
              </w:rPr>
              <w:t xml:space="preserve"> R. M</w:t>
            </w:r>
            <w:r>
              <w:rPr>
                <w:rFonts w:ascii="Arial" w:cs="Arial" w:eastAsia="Arial" w:hAnsi="Arial"/>
                <w:sz w:val="10"/>
                <w:szCs w:val="10"/>
                <w:color w:val="auto"/>
              </w:rPr>
              <w:t>ULLER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3"/>
        </w:trPr>
        <w:tc>
          <w:tcPr>
            <w:tcW w:w="3060" w:type="dxa"/>
            <w:vAlign w:val="bottom"/>
          </w:tcPr>
          <w:p>
            <w:pPr>
              <w:jc w:val="center"/>
              <w:spacing w:after="0"/>
              <w:rPr>
                <w:sz w:val="20"/>
                <w:szCs w:val="20"/>
                <w:color w:val="auto"/>
              </w:rPr>
            </w:pPr>
            <w:r>
              <w:rPr>
                <w:rFonts w:ascii="Arial" w:cs="Arial" w:eastAsia="Arial" w:hAnsi="Arial"/>
                <w:sz w:val="16"/>
                <w:szCs w:val="16"/>
                <w:color w:val="auto"/>
                <w:w w:val="96"/>
              </w:rPr>
              <w:t>Edward R. Muller</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w:t>
            </w:r>
            <w:r>
              <w:rPr>
                <w:rFonts w:ascii="Arial" w:cs="Arial" w:eastAsia="Arial" w:hAnsi="Arial"/>
                <w:sz w:val="10"/>
                <w:szCs w:val="10"/>
                <w:color w:val="auto"/>
              </w:rPr>
              <w:t>INDY</w:t>
            </w:r>
            <w:r>
              <w:rPr>
                <w:rFonts w:ascii="Arial" w:cs="Arial" w:eastAsia="Arial" w:hAnsi="Arial"/>
                <w:sz w:val="16"/>
                <w:szCs w:val="16"/>
                <w:color w:val="auto"/>
              </w:rPr>
              <w:t xml:space="preserve"> L</w:t>
            </w:r>
            <w:r>
              <w:rPr>
                <w:rFonts w:ascii="Arial" w:cs="Arial" w:eastAsia="Arial" w:hAnsi="Arial"/>
                <w:sz w:val="10"/>
                <w:szCs w:val="10"/>
                <w:color w:val="auto"/>
              </w:rPr>
              <w:t>EWIS</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3"/>
        </w:trPr>
        <w:tc>
          <w:tcPr>
            <w:tcW w:w="3060" w:type="dxa"/>
            <w:vAlign w:val="bottom"/>
          </w:tcPr>
          <w:p>
            <w:pPr>
              <w:jc w:val="center"/>
              <w:spacing w:after="0"/>
              <w:rPr>
                <w:sz w:val="20"/>
                <w:szCs w:val="20"/>
                <w:color w:val="auto"/>
              </w:rPr>
            </w:pPr>
            <w:r>
              <w:rPr>
                <w:rFonts w:ascii="Arial" w:cs="Arial" w:eastAsia="Arial" w:hAnsi="Arial"/>
                <w:sz w:val="16"/>
                <w:szCs w:val="16"/>
                <w:color w:val="auto"/>
                <w:w w:val="97"/>
              </w:rPr>
              <w:t>Cindy Lewis</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S</w:t>
            </w:r>
            <w:r>
              <w:rPr>
                <w:rFonts w:ascii="Arial" w:cs="Arial" w:eastAsia="Arial" w:hAnsi="Arial"/>
                <w:sz w:val="10"/>
                <w:szCs w:val="10"/>
                <w:color w:val="auto"/>
                <w:w w:val="94"/>
              </w:rPr>
              <w:t>TEPHEN</w:t>
            </w:r>
            <w:r>
              <w:rPr>
                <w:rFonts w:ascii="Arial" w:cs="Arial" w:eastAsia="Arial" w:hAnsi="Arial"/>
                <w:sz w:val="16"/>
                <w:szCs w:val="16"/>
                <w:color w:val="auto"/>
                <w:w w:val="94"/>
              </w:rPr>
              <w:t xml:space="preserve"> F. P</w:t>
            </w:r>
            <w:r>
              <w:rPr>
                <w:rFonts w:ascii="Arial" w:cs="Arial" w:eastAsia="Arial" w:hAnsi="Arial"/>
                <w:sz w:val="10"/>
                <w:szCs w:val="10"/>
                <w:color w:val="auto"/>
                <w:w w:val="94"/>
              </w:rPr>
              <w:t>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3"/>
        </w:trPr>
        <w:tc>
          <w:tcPr>
            <w:tcW w:w="3060" w:type="dxa"/>
            <w:vAlign w:val="bottom"/>
          </w:tcPr>
          <w:p>
            <w:pPr>
              <w:jc w:val="center"/>
              <w:spacing w:after="0"/>
              <w:rPr>
                <w:sz w:val="20"/>
                <w:szCs w:val="20"/>
                <w:color w:val="auto"/>
              </w:rPr>
            </w:pPr>
            <w:r>
              <w:rPr>
                <w:rFonts w:ascii="Arial" w:cs="Arial" w:eastAsia="Arial" w:hAnsi="Arial"/>
                <w:sz w:val="16"/>
                <w:szCs w:val="16"/>
                <w:color w:val="auto"/>
                <w:w w:val="86"/>
              </w:rPr>
              <w:t>Stephen F. Page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w:t>
            </w:r>
            <w:r>
              <w:rPr>
                <w:rFonts w:ascii="Arial" w:cs="Arial" w:eastAsia="Arial" w:hAnsi="Arial"/>
                <w:sz w:val="10"/>
                <w:szCs w:val="10"/>
                <w:color w:val="auto"/>
              </w:rPr>
              <w:t>HARLES</w:t>
            </w:r>
            <w:r>
              <w:rPr>
                <w:rFonts w:ascii="Arial" w:cs="Arial" w:eastAsia="Arial" w:hAnsi="Arial"/>
                <w:sz w:val="16"/>
                <w:szCs w:val="16"/>
                <w:color w:val="auto"/>
              </w:rPr>
              <w:t xml:space="preserve"> R. H</w:t>
            </w:r>
            <w:r>
              <w:rPr>
                <w:rFonts w:ascii="Arial" w:cs="Arial" w:eastAsia="Arial" w:hAnsi="Arial"/>
                <w:sz w:val="10"/>
                <w:szCs w:val="10"/>
                <w:color w:val="auto"/>
              </w:rPr>
              <w:t>OLLAND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3"/>
        </w:trPr>
        <w:tc>
          <w:tcPr>
            <w:tcW w:w="3060" w:type="dxa"/>
            <w:vAlign w:val="bottom"/>
          </w:tcPr>
          <w:p>
            <w:pPr>
              <w:jc w:val="center"/>
              <w:spacing w:after="0"/>
              <w:rPr>
                <w:sz w:val="20"/>
                <w:szCs w:val="20"/>
                <w:color w:val="auto"/>
              </w:rPr>
            </w:pPr>
            <w:r>
              <w:rPr>
                <w:rFonts w:ascii="Arial" w:cs="Arial" w:eastAsia="Arial" w:hAnsi="Arial"/>
                <w:sz w:val="16"/>
                <w:szCs w:val="16"/>
                <w:color w:val="auto"/>
                <w:w w:val="92"/>
              </w:rPr>
              <w:t>Charles R. Holland</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w:t>
            </w:r>
            <w:r>
              <w:rPr>
                <w:rFonts w:ascii="Arial" w:cs="Arial" w:eastAsia="Arial" w:hAnsi="Arial"/>
                <w:sz w:val="10"/>
                <w:szCs w:val="10"/>
                <w:color w:val="auto"/>
              </w:rPr>
              <w:t>ATHARINE</w:t>
            </w:r>
            <w:r>
              <w:rPr>
                <w:rFonts w:ascii="Arial" w:cs="Arial" w:eastAsia="Arial" w:hAnsi="Arial"/>
                <w:sz w:val="16"/>
                <w:szCs w:val="16"/>
                <w:color w:val="auto"/>
              </w:rPr>
              <w:t xml:space="preserve"> M</w:t>
            </w:r>
            <w:r>
              <w:rPr>
                <w:rFonts w:ascii="Arial" w:cs="Arial" w:eastAsia="Arial" w:hAnsi="Arial"/>
                <w:sz w:val="10"/>
                <w:szCs w:val="10"/>
                <w:color w:val="auto"/>
              </w:rPr>
              <w:t>ERIGOLD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3"/>
        </w:trPr>
        <w:tc>
          <w:tcPr>
            <w:tcW w:w="3060" w:type="dxa"/>
            <w:vAlign w:val="bottom"/>
          </w:tcPr>
          <w:p>
            <w:pPr>
              <w:jc w:val="center"/>
              <w:spacing w:after="0"/>
              <w:rPr>
                <w:sz w:val="20"/>
                <w:szCs w:val="20"/>
                <w:color w:val="auto"/>
              </w:rPr>
            </w:pPr>
            <w:r>
              <w:rPr>
                <w:rFonts w:ascii="Arial" w:cs="Arial" w:eastAsia="Arial" w:hAnsi="Arial"/>
                <w:sz w:val="16"/>
                <w:szCs w:val="16"/>
                <w:color w:val="auto"/>
                <w:w w:val="94"/>
              </w:rPr>
              <w:t>Catharine Merigold</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w:t>
            </w:r>
            <w:r>
              <w:rPr>
                <w:rFonts w:ascii="Arial" w:cs="Arial" w:eastAsia="Arial" w:hAnsi="Arial"/>
                <w:sz w:val="10"/>
                <w:szCs w:val="10"/>
                <w:color w:val="auto"/>
              </w:rPr>
              <w:t>HARLES</w:t>
            </w:r>
            <w:r>
              <w:rPr>
                <w:rFonts w:ascii="Arial" w:cs="Arial" w:eastAsia="Arial" w:hAnsi="Arial"/>
                <w:sz w:val="16"/>
                <w:szCs w:val="16"/>
                <w:color w:val="auto"/>
              </w:rPr>
              <w:t xml:space="preserve"> T</w:t>
            </w:r>
            <w:r>
              <w:rPr>
                <w:rFonts w:ascii="Arial" w:cs="Arial" w:eastAsia="Arial" w:hAnsi="Arial"/>
                <w:sz w:val="10"/>
                <w:szCs w:val="10"/>
                <w:color w:val="auto"/>
              </w:rPr>
              <w:t>HOMAS</w:t>
            </w:r>
            <w:r>
              <w:rPr>
                <w:rFonts w:ascii="Arial" w:cs="Arial" w:eastAsia="Arial" w:hAnsi="Arial"/>
                <w:sz w:val="16"/>
                <w:szCs w:val="16"/>
                <w:color w:val="auto"/>
              </w:rPr>
              <w:t xml:space="preserve"> B</w:t>
            </w:r>
            <w:r>
              <w:rPr>
                <w:rFonts w:ascii="Arial" w:cs="Arial" w:eastAsia="Arial" w:hAnsi="Arial"/>
                <w:sz w:val="10"/>
                <w:szCs w:val="10"/>
                <w:color w:val="auto"/>
              </w:rPr>
              <w:t>URBAGE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3"/>
        </w:trPr>
        <w:tc>
          <w:tcPr>
            <w:tcW w:w="3060" w:type="dxa"/>
            <w:vAlign w:val="bottom"/>
          </w:tcPr>
          <w:p>
            <w:pPr>
              <w:jc w:val="center"/>
              <w:spacing w:after="0"/>
              <w:rPr>
                <w:sz w:val="20"/>
                <w:szCs w:val="20"/>
                <w:color w:val="auto"/>
              </w:rPr>
            </w:pPr>
            <w:r>
              <w:rPr>
                <w:rFonts w:ascii="Arial" w:cs="Arial" w:eastAsia="Arial" w:hAnsi="Arial"/>
                <w:sz w:val="16"/>
                <w:szCs w:val="16"/>
                <w:color w:val="auto"/>
                <w:w w:val="89"/>
              </w:rPr>
              <w:t>Charles Thomas Burbage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10.18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Lease (this “</w:t>
      </w:r>
      <w:r>
        <w:rPr>
          <w:rFonts w:ascii="Arial" w:cs="Arial" w:eastAsia="Arial" w:hAnsi="Arial"/>
          <w:sz w:val="20"/>
          <w:szCs w:val="20"/>
          <w:b w:val="1"/>
          <w:bCs w:val="1"/>
          <w:color w:val="auto"/>
        </w:rPr>
        <w:t>Lease</w:t>
      </w:r>
      <w:r>
        <w:rPr>
          <w:rFonts w:ascii="Arial" w:cs="Arial" w:eastAsia="Arial" w:hAnsi="Arial"/>
          <w:sz w:val="20"/>
          <w:szCs w:val="20"/>
          <w:color w:val="auto"/>
        </w:rPr>
        <w:t>”) is made and entered into as of March 11th, 2022, by and between BCORE DEFENDER CA1W03,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 AEROVIRONMENT, INC.,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9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BASIC TERMS AND DEFINITIONS</w:t>
      </w:r>
      <w:r>
        <w:rPr>
          <w:rFonts w:ascii="Arial" w:cs="Arial" w:eastAsia="Arial" w:hAnsi="Arial"/>
          <w:sz w:val="20"/>
          <w:szCs w:val="20"/>
          <w:b w:val="1"/>
          <w:bCs w:val="1"/>
          <w:color w:val="auto"/>
        </w:rPr>
        <w:t>.</w:t>
      </w:r>
    </w:p>
    <w:p>
      <w:pPr>
        <w:spacing w:after="0" w:line="229" w:lineRule="exact"/>
        <w:rPr>
          <w:rFonts w:ascii="Arial" w:cs="Arial" w:eastAsia="Arial" w:hAnsi="Arial"/>
          <w:sz w:val="20"/>
          <w:szCs w:val="20"/>
          <w:color w:val="auto"/>
        </w:rPr>
      </w:pPr>
    </w:p>
    <w:p>
      <w:pPr>
        <w:ind w:left="1300" w:hanging="644"/>
        <w:spacing w:after="0" w:line="267" w:lineRule="auto"/>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The capitalized terms below have the corresponding definitions. In addition, other capitalized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used in this Lease have the meanings set forth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176" w:lineRule="exact"/>
        <w:rPr>
          <w:rFonts w:ascii="Arial" w:cs="Arial" w:eastAsia="Arial" w:hAnsi="Arial"/>
          <w:sz w:val="18"/>
          <w:szCs w:val="18"/>
          <w:b w:val="1"/>
          <w:bCs w:val="1"/>
          <w:color w:val="auto"/>
        </w:rPr>
      </w:pPr>
    </w:p>
    <w:p>
      <w:pPr>
        <w:ind w:left="1300" w:hanging="644"/>
        <w:spacing w:after="0" w:line="267" w:lineRule="auto"/>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“Premises”</w:t>
      </w:r>
      <w:r>
        <w:rPr>
          <w:rFonts w:ascii="Arial" w:cs="Arial" w:eastAsia="Arial" w:hAnsi="Arial"/>
          <w:sz w:val="20"/>
          <w:szCs w:val="20"/>
          <w:color w:val="auto"/>
        </w:rPr>
        <w:t>: the approximately 105,083 rentable square feet leased to Tenant under this Lease, as shown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described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p>
    <w:p>
      <w:pPr>
        <w:spacing w:after="0" w:line="17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2"/>
        </w:numPr>
        <w:rPr>
          <w:rFonts w:ascii="Arial" w:cs="Arial" w:eastAsia="Arial" w:hAnsi="Arial"/>
          <w:sz w:val="17"/>
          <w:szCs w:val="17"/>
          <w:b w:val="1"/>
          <w:bCs w:val="1"/>
          <w:color w:val="auto"/>
        </w:rPr>
      </w:pPr>
      <w:r>
        <w:rPr>
          <w:rFonts w:ascii="Arial" w:cs="Arial" w:eastAsia="Arial" w:hAnsi="Arial"/>
          <w:sz w:val="19"/>
          <w:szCs w:val="19"/>
          <w:b w:val="1"/>
          <w:bCs w:val="1"/>
          <w:color w:val="auto"/>
        </w:rPr>
        <w:t>“Building”</w:t>
      </w:r>
      <w:r>
        <w:rPr>
          <w:rFonts w:ascii="Arial" w:cs="Arial" w:eastAsia="Arial" w:hAnsi="Arial"/>
          <w:sz w:val="19"/>
          <w:szCs w:val="19"/>
          <w:color w:val="auto"/>
        </w:rPr>
        <w:t>: the building where the Premises are located consisting of approximately 105,083 rentable</w:t>
      </w:r>
    </w:p>
    <w:p>
      <w:pPr>
        <w:spacing w:after="0" w:line="33" w:lineRule="exact"/>
        <w:rPr>
          <w:rFonts w:ascii="Arial" w:cs="Arial" w:eastAsia="Arial" w:hAnsi="Arial"/>
          <w:sz w:val="17"/>
          <w:szCs w:val="17"/>
          <w:b w:val="1"/>
          <w:bCs w:val="1"/>
          <w:color w:val="auto"/>
        </w:rPr>
      </w:pPr>
    </w:p>
    <w:p>
      <w:pPr>
        <w:ind w:left="1300"/>
        <w:spacing w:after="0"/>
        <w:rPr>
          <w:rFonts w:ascii="Arial" w:cs="Arial" w:eastAsia="Arial" w:hAnsi="Arial"/>
          <w:sz w:val="17"/>
          <w:szCs w:val="17"/>
          <w:b w:val="1"/>
          <w:bCs w:val="1"/>
          <w:color w:val="auto"/>
        </w:rPr>
      </w:pPr>
      <w:r>
        <w:rPr>
          <w:rFonts w:ascii="Arial" w:cs="Arial" w:eastAsia="Arial" w:hAnsi="Arial"/>
          <w:sz w:val="20"/>
          <w:szCs w:val="20"/>
          <w:color w:val="auto"/>
        </w:rPr>
        <w:t>square feet, with an address of: 85 Moreland Road, Simi Valley, California 93065.</w:t>
      </w:r>
    </w:p>
    <w:p>
      <w:pPr>
        <w:spacing w:after="0" w:line="207" w:lineRule="exact"/>
        <w:rPr>
          <w:rFonts w:ascii="Arial" w:cs="Arial" w:eastAsia="Arial" w:hAnsi="Arial"/>
          <w:sz w:val="17"/>
          <w:szCs w:val="17"/>
          <w:b w:val="1"/>
          <w:bCs w:val="1"/>
          <w:color w:val="auto"/>
        </w:rPr>
      </w:pPr>
    </w:p>
    <w:p>
      <w:pPr>
        <w:ind w:left="1300" w:right="20" w:hanging="644"/>
        <w:spacing w:after="0" w:line="267" w:lineRule="auto"/>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“Project”</w:t>
      </w:r>
      <w:r>
        <w:rPr>
          <w:rFonts w:ascii="Arial" w:cs="Arial" w:eastAsia="Arial" w:hAnsi="Arial"/>
          <w:sz w:val="20"/>
          <w:szCs w:val="20"/>
          <w:color w:val="auto"/>
        </w:rPr>
        <w:t>: Consisting of the Premises, the Land, the Common Areas, the Building and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on or appurtenances to the Land.</w:t>
      </w:r>
    </w:p>
    <w:p>
      <w:pPr>
        <w:spacing w:after="0" w:line="17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“Lease Commencement Date”</w:t>
      </w:r>
      <w:r>
        <w:rPr>
          <w:rFonts w:ascii="Arial" w:cs="Arial" w:eastAsia="Arial" w:hAnsi="Arial"/>
          <w:sz w:val="20"/>
          <w:szCs w:val="20"/>
          <w:color w:val="auto"/>
        </w:rPr>
        <w:t>: July 1, 2022</w:t>
      </w:r>
    </w:p>
    <w:p>
      <w:pPr>
        <w:spacing w:after="0" w:line="229" w:lineRule="exact"/>
        <w:rPr>
          <w:rFonts w:ascii="Arial" w:cs="Arial" w:eastAsia="Arial" w:hAnsi="Arial"/>
          <w:sz w:val="18"/>
          <w:szCs w:val="18"/>
          <w:b w:val="1"/>
          <w:bCs w:val="1"/>
          <w:color w:val="auto"/>
        </w:rPr>
      </w:pPr>
    </w:p>
    <w:p>
      <w:pPr>
        <w:ind w:left="1300" w:hanging="644"/>
        <w:spacing w:after="0" w:line="267" w:lineRule="auto"/>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“Lease Expiration Date”</w:t>
      </w:r>
      <w:r>
        <w:rPr>
          <w:rFonts w:ascii="Arial" w:cs="Arial" w:eastAsia="Arial" w:hAnsi="Arial"/>
          <w:sz w:val="20"/>
          <w:szCs w:val="20"/>
          <w:color w:val="auto"/>
        </w:rPr>
        <w:t>: June 30, 2025 or such earlier date as this Lease terminates in accordance with its</w:t>
      </w:r>
      <w:r>
        <w:rPr>
          <w:rFonts w:ascii="Arial" w:cs="Arial" w:eastAsia="Arial" w:hAnsi="Arial"/>
          <w:sz w:val="20"/>
          <w:szCs w:val="20"/>
          <w:b w:val="1"/>
          <w:bCs w:val="1"/>
          <w:color w:val="auto"/>
        </w:rPr>
        <w:t xml:space="preserve"> </w:t>
      </w:r>
      <w:r>
        <w:rPr>
          <w:rFonts w:ascii="Arial" w:cs="Arial" w:eastAsia="Arial" w:hAnsi="Arial"/>
          <w:sz w:val="20"/>
          <w:szCs w:val="20"/>
          <w:color w:val="auto"/>
        </w:rPr>
        <w:t>terms.</w:t>
      </w:r>
    </w:p>
    <w:p>
      <w:pPr>
        <w:spacing w:after="0" w:line="176" w:lineRule="exact"/>
        <w:rPr>
          <w:rFonts w:ascii="Arial" w:cs="Arial" w:eastAsia="Arial" w:hAnsi="Arial"/>
          <w:sz w:val="18"/>
          <w:szCs w:val="18"/>
          <w:b w:val="1"/>
          <w:bCs w:val="1"/>
          <w:color w:val="auto"/>
        </w:rPr>
      </w:pPr>
    </w:p>
    <w:p>
      <w:pPr>
        <w:ind w:left="1300" w:hanging="644"/>
        <w:spacing w:after="0" w:line="267" w:lineRule="auto"/>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“Estimated Expenses”</w:t>
      </w:r>
      <w:r>
        <w:rPr>
          <w:rFonts w:ascii="Arial" w:cs="Arial" w:eastAsia="Arial" w:hAnsi="Arial"/>
          <w:sz w:val="20"/>
          <w:szCs w:val="20"/>
          <w:color w:val="auto"/>
        </w:rPr>
        <w:t>: initially $__________ per month for the first complete month, as further described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Lease.</w:t>
      </w:r>
    </w:p>
    <w:p>
      <w:pPr>
        <w:spacing w:after="0" w:line="17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“Tenant’s Share”</w:t>
      </w:r>
      <w:r>
        <w:rPr>
          <w:rFonts w:ascii="Arial" w:cs="Arial" w:eastAsia="Arial" w:hAnsi="Arial"/>
          <w:sz w:val="20"/>
          <w:szCs w:val="20"/>
          <w:color w:val="auto"/>
        </w:rPr>
        <w:t>: 100%</w:t>
      </w:r>
    </w:p>
    <w:p>
      <w:pPr>
        <w:spacing w:after="0" w:line="229" w:lineRule="exact"/>
        <w:rPr>
          <w:rFonts w:ascii="Arial" w:cs="Arial" w:eastAsia="Arial" w:hAnsi="Arial"/>
          <w:sz w:val="18"/>
          <w:szCs w:val="18"/>
          <w:b w:val="1"/>
          <w:bCs w:val="1"/>
          <w:color w:val="auto"/>
        </w:rPr>
      </w:pPr>
    </w:p>
    <w:p>
      <w:pPr>
        <w:ind w:left="1300" w:right="20" w:hanging="644"/>
        <w:spacing w:after="0" w:line="267" w:lineRule="auto"/>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“Permitted Use”</w:t>
      </w:r>
      <w:r>
        <w:rPr>
          <w:rFonts w:ascii="Arial" w:cs="Arial" w:eastAsia="Arial" w:hAnsi="Arial"/>
          <w:sz w:val="20"/>
          <w:szCs w:val="20"/>
          <w:color w:val="auto"/>
        </w:rPr>
        <w:t>: For manufacturing, warehousing and distribution of aerospace material, with ancillary</w:t>
      </w:r>
      <w:r>
        <w:rPr>
          <w:rFonts w:ascii="Arial" w:cs="Arial" w:eastAsia="Arial" w:hAnsi="Arial"/>
          <w:sz w:val="20"/>
          <w:szCs w:val="20"/>
          <w:b w:val="1"/>
          <w:bCs w:val="1"/>
          <w:color w:val="auto"/>
        </w:rPr>
        <w:t xml:space="preserve"> </w:t>
      </w:r>
      <w:r>
        <w:rPr>
          <w:rFonts w:ascii="Arial" w:cs="Arial" w:eastAsia="Arial" w:hAnsi="Arial"/>
          <w:sz w:val="20"/>
          <w:szCs w:val="20"/>
          <w:color w:val="auto"/>
        </w:rPr>
        <w:t>office uses.</w:t>
      </w:r>
    </w:p>
    <w:p>
      <w:pPr>
        <w:spacing w:after="0" w:line="17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“Security Deposit”</w:t>
      </w:r>
      <w:r>
        <w:rPr>
          <w:rFonts w:ascii="Arial" w:cs="Arial" w:eastAsia="Arial" w:hAnsi="Arial"/>
          <w:sz w:val="20"/>
          <w:szCs w:val="20"/>
          <w:color w:val="auto"/>
        </w:rPr>
        <w:t>: none.</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2"/>
        </w:numPr>
        <w:rPr>
          <w:rFonts w:ascii="Arial" w:cs="Arial" w:eastAsia="Arial" w:hAnsi="Arial"/>
          <w:sz w:val="18"/>
          <w:szCs w:val="18"/>
          <w:b w:val="1"/>
          <w:bCs w:val="1"/>
          <w:color w:val="auto"/>
        </w:rPr>
      </w:pPr>
      <w:r>
        <w:rPr>
          <w:rFonts w:ascii="Arial" w:cs="Arial" w:eastAsia="Arial" w:hAnsi="Arial"/>
          <w:sz w:val="20"/>
          <w:szCs w:val="20"/>
          <w:b w:val="1"/>
          <w:bCs w:val="1"/>
          <w:color w:val="auto"/>
        </w:rPr>
        <w:t>“Notice Addresses”</w:t>
      </w:r>
      <w:r>
        <w:rPr>
          <w:rFonts w:ascii="Arial" w:cs="Arial" w:eastAsia="Arial" w:hAnsi="Arial"/>
          <w:sz w:val="20"/>
          <w:szCs w:val="20"/>
          <w:color w:val="auto"/>
        </w:rPr>
        <w:t>:</w:t>
      </w:r>
    </w:p>
    <w:p>
      <w:pPr>
        <w:sectPr>
          <w:pgSz w:w="11900" w:h="16838" w:orient="portrait"/>
          <w:cols w:equalWidth="0" w:num="1">
            <w:col w:w="9920"/>
          </w:cols>
          <w:pgMar w:left="980" w:top="115" w:right="99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Landlord</w:t>
      </w:r>
      <w:r>
        <w:rPr>
          <w:rFonts w:ascii="Arial" w:cs="Arial" w:eastAsia="Arial" w:hAnsi="Arial"/>
          <w:sz w:val="20"/>
          <w:szCs w:val="20"/>
          <w:color w:val="auto"/>
        </w:rPr>
        <w:t>:</w:t>
      </w:r>
    </w:p>
    <w:p>
      <w:pPr>
        <w:spacing w:after="0" w:line="235" w:lineRule="exact"/>
        <w:rPr>
          <w:sz w:val="20"/>
          <w:szCs w:val="20"/>
          <w:color w:val="auto"/>
        </w:rPr>
      </w:pPr>
    </w:p>
    <w:p>
      <w:pPr>
        <w:ind w:left="20" w:right="1520"/>
        <w:spacing w:after="0" w:line="245" w:lineRule="auto"/>
        <w:rPr>
          <w:sz w:val="20"/>
          <w:szCs w:val="20"/>
          <w:color w:val="auto"/>
        </w:rPr>
      </w:pPr>
      <w:r>
        <w:rPr>
          <w:rFonts w:ascii="Arial" w:cs="Arial" w:eastAsia="Arial" w:hAnsi="Arial"/>
          <w:sz w:val="20"/>
          <w:szCs w:val="20"/>
          <w:color w:val="auto"/>
        </w:rPr>
        <w:t>BCORE Defender CA1W03, LLC c/o Link Logistics Real Estate Management LLC</w:t>
      </w:r>
    </w:p>
    <w:p>
      <w:pPr>
        <w:ind w:left="20" w:right="1740"/>
        <w:spacing w:after="0"/>
        <w:rPr>
          <w:sz w:val="20"/>
          <w:szCs w:val="20"/>
          <w:color w:val="auto"/>
        </w:rPr>
      </w:pPr>
      <w:r>
        <w:rPr>
          <w:rFonts w:ascii="Arial" w:cs="Arial" w:eastAsia="Arial" w:hAnsi="Arial"/>
          <w:sz w:val="18"/>
          <w:szCs w:val="18"/>
          <w:color w:val="auto"/>
        </w:rPr>
        <w:t>90 Park Avenue 32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New York, New York 10016 Attention: General Counsel Email: legal@linklogistics.com</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and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AeroVironment,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85 Moreland Road, Simi Valley</w:t>
      </w:r>
    </w:p>
    <w:p>
      <w:pPr>
        <w:spacing w:after="0"/>
        <w:rPr>
          <w:sz w:val="20"/>
          <w:szCs w:val="20"/>
          <w:color w:val="auto"/>
        </w:rPr>
      </w:pPr>
      <w:r>
        <w:rPr>
          <w:rFonts w:ascii="Arial" w:cs="Arial" w:eastAsia="Arial" w:hAnsi="Arial"/>
          <w:sz w:val="20"/>
          <w:szCs w:val="20"/>
          <w:color w:val="auto"/>
        </w:rPr>
        <w:t>California 93065</w:t>
      </w:r>
    </w:p>
    <w:p>
      <w:pPr>
        <w:spacing w:after="0"/>
        <w:rPr>
          <w:sz w:val="20"/>
          <w:szCs w:val="20"/>
          <w:color w:val="auto"/>
        </w:rPr>
      </w:pPr>
      <w:r>
        <w:rPr>
          <w:rFonts w:ascii="Arial" w:cs="Arial" w:eastAsia="Arial" w:hAnsi="Arial"/>
          <w:sz w:val="20"/>
          <w:szCs w:val="20"/>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0</wp:posOffset>
            </wp:positionV>
            <wp:extent cx="1482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With a copy, with respect to billing purposes, to:</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10160</wp:posOffset>
            </wp:positionV>
            <wp:extent cx="1525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-143510</wp:posOffset>
            </wp:positionV>
            <wp:extent cx="19030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4260" w:space="720"/>
            <w:col w:w="4940"/>
          </w:cols>
          <w:pgMar w:left="980" w:top="11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color w:val="auto"/>
        </w:rPr>
        <w:t>BCORE Defender CA1W03,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Link Logistics Real Estate</w:t>
      </w:r>
    </w:p>
    <w:p>
      <w:pPr>
        <w:spacing w:after="0"/>
        <w:rPr>
          <w:sz w:val="20"/>
          <w:szCs w:val="20"/>
          <w:color w:val="auto"/>
        </w:rPr>
      </w:pPr>
      <w:r>
        <w:rPr>
          <w:rFonts w:ascii="Arial" w:cs="Arial" w:eastAsia="Arial" w:hAnsi="Arial"/>
          <w:sz w:val="20"/>
          <w:szCs w:val="20"/>
          <w:color w:val="auto"/>
        </w:rPr>
        <w:t>Management LLC</w:t>
      </w:r>
    </w:p>
    <w:p>
      <w:pPr>
        <w:spacing w:after="0"/>
        <w:rPr>
          <w:sz w:val="20"/>
          <w:szCs w:val="20"/>
          <w:color w:val="auto"/>
        </w:rPr>
      </w:pPr>
      <w:r>
        <w:rPr>
          <w:rFonts w:ascii="Arial" w:cs="Arial" w:eastAsia="Arial" w:hAnsi="Arial"/>
          <w:sz w:val="20"/>
          <w:szCs w:val="20"/>
          <w:color w:val="auto"/>
        </w:rPr>
        <w:t>602 West Office Center Drive, Suite 200</w:t>
      </w:r>
    </w:p>
    <w:p>
      <w:pPr>
        <w:spacing w:after="0"/>
        <w:rPr>
          <w:sz w:val="20"/>
          <w:szCs w:val="20"/>
          <w:color w:val="auto"/>
        </w:rPr>
      </w:pPr>
      <w:r>
        <w:rPr>
          <w:rFonts w:ascii="Arial" w:cs="Arial" w:eastAsia="Arial" w:hAnsi="Arial"/>
          <w:sz w:val="20"/>
          <w:szCs w:val="20"/>
          <w:color w:val="auto"/>
        </w:rPr>
        <w:t>Fort Washington, Pennsylvania 19034</w:t>
      </w:r>
    </w:p>
    <w:p>
      <w:pPr>
        <w:spacing w:after="0"/>
        <w:rPr>
          <w:sz w:val="20"/>
          <w:szCs w:val="20"/>
          <w:color w:val="auto"/>
        </w:rPr>
      </w:pPr>
      <w:r>
        <w:rPr>
          <w:rFonts w:ascii="Arial" w:cs="Arial" w:eastAsia="Arial" w:hAnsi="Arial"/>
          <w:sz w:val="20"/>
          <w:szCs w:val="20"/>
          <w:color w:val="auto"/>
        </w:rPr>
        <w:t>Attention: Lease Administration</w:t>
      </w:r>
    </w:p>
    <w:p>
      <w:pPr>
        <w:spacing w:after="0"/>
        <w:rPr>
          <w:sz w:val="20"/>
          <w:szCs w:val="20"/>
          <w:color w:val="auto"/>
        </w:rPr>
      </w:pPr>
      <w:r>
        <w:rPr>
          <w:rFonts w:ascii="Arial" w:cs="Arial" w:eastAsia="Arial" w:hAnsi="Arial"/>
          <w:sz w:val="20"/>
          <w:szCs w:val="20"/>
          <w:color w:val="auto"/>
        </w:rPr>
        <w:t>Email: leaseadministration@linklogistics.com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With a copy, with respect to certificates of insurance,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to TenantCOI@linklogistics.com</w:t>
      </w:r>
    </w:p>
    <w:p>
      <w:pPr>
        <w:spacing w:after="0" w:line="207" w:lineRule="exact"/>
        <w:rPr>
          <w:sz w:val="20"/>
          <w:szCs w:val="20"/>
          <w:color w:val="auto"/>
        </w:rPr>
      </w:pPr>
    </w:p>
    <w:p>
      <w:pPr>
        <w:jc w:val="both"/>
        <w:ind w:firstLine="8"/>
        <w:spacing w:after="0" w:line="269"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LEASED PREMISES</w:t>
      </w:r>
      <w:r>
        <w:rPr>
          <w:rFonts w:ascii="Arial" w:cs="Arial" w:eastAsia="Arial" w:hAnsi="Arial"/>
          <w:sz w:val="18"/>
          <w:szCs w:val="18"/>
          <w:color w:val="auto"/>
        </w:rPr>
        <w:t>. Landlord, in consideration of the payment of Rent and the performance by Tenant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terms, covenants and conditions of this Lease (subject to notice and cure provisions set forth herein, if applicable), leases to Tenant the Premises. Tenant acknowledges that it is currently in possession of the Premises. Tenant accepts the Premises, and the Building “AS-IS”, without any representation or warranty of any kind, express or implied, by Landlord, other than as expressly set forth in this Lease. Landlord and Tenant stipulate and agree to the rentable square footages set forth in the “Basic Terms and Definitions” Section, without regard to actual measurements. Notwithstanding the foregoing, in the case of a change to the Project, Landlord may in its sole discretion measure the rentable square footages of the Premises, the Building or the Project (based on the appropriate BOMA [Building Owners and Managers Association]</w:t>
      </w:r>
    </w:p>
    <w:p>
      <w:pPr>
        <w:spacing w:after="0" w:line="2"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standard, as set forth at https://www.boma.org/BOMA/BOMA-Standards/BOMA_Floor_Measurement_Standards/BOMA_Floor_Measurement_Standards.aspx) and update Tenant’s Share and/or the square footage of the Premises for all purposes under this Lease by delivery of written notice to Tenant.</w:t>
      </w:r>
    </w:p>
    <w:p>
      <w:pPr>
        <w:spacing w:after="0" w:line="168" w:lineRule="exact"/>
        <w:rPr>
          <w:rFonts w:ascii="Arial" w:cs="Arial" w:eastAsia="Arial" w:hAnsi="Arial"/>
          <w:sz w:val="18"/>
          <w:szCs w:val="18"/>
          <w:color w:val="auto"/>
        </w:rPr>
      </w:pPr>
    </w:p>
    <w:p>
      <w:pPr>
        <w:jc w:val="both"/>
        <w:ind w:firstLine="8"/>
        <w:spacing w:after="0" w:line="256" w:lineRule="auto"/>
        <w:tabs>
          <w:tab w:leader="none" w:pos="648" w:val="left"/>
        </w:tabs>
        <w:numPr>
          <w:ilvl w:val="0"/>
          <w:numId w:val="83"/>
        </w:numPr>
        <w:rPr>
          <w:rFonts w:ascii="Arial" w:cs="Arial" w:eastAsia="Arial" w:hAnsi="Arial"/>
          <w:sz w:val="19"/>
          <w:szCs w:val="19"/>
          <w:color w:val="auto"/>
        </w:rPr>
      </w:pPr>
      <w:r>
        <w:rPr>
          <w:rFonts w:ascii="Arial" w:cs="Arial" w:eastAsia="Arial" w:hAnsi="Arial"/>
          <w:sz w:val="19"/>
          <w:szCs w:val="19"/>
          <w:b w:val="1"/>
          <w:bCs w:val="1"/>
          <w:u w:val="single" w:color="auto"/>
          <w:color w:val="auto"/>
        </w:rPr>
        <w:t>USE</w:t>
      </w:r>
      <w:r>
        <w:rPr>
          <w:rFonts w:ascii="Arial" w:cs="Arial" w:eastAsia="Arial" w:hAnsi="Arial"/>
          <w:sz w:val="19"/>
          <w:szCs w:val="19"/>
          <w:color w:val="auto"/>
        </w:rPr>
        <w:t>. Tenant agrees to use the Premises for the Permitted Use, and for no other use or purpose. Tenant must comply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Rules and Regulations, a copy of which is attached as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Tenant will, at its sole cost, comply with, and cause Tenant’s Parties to comply with, all Applicable Laws pertaining to the Premises or Tenant’s use or occupancy of the Premises, and obtain any permits, approvals, or licenses required for such use and occupancy. Tenant shall not use the Premises in any manner that would cause the Premises or the Project to be considered a “place of public accommodation” under the ADA. If an Alteration to the Premises or the Project becomes required under any Applicable Law, or requested in a citation issued by a governmental authority, as a result of (i) Tenant’s particular use of the Premises (as opposed to warehouse and distribution with ancillary office uses in general), or (ii) any Alterations performed by or at the request of Tenant, then Tenant shall upon Landlord’s demand make such required Alteration at Tenant’s sole cost or pay Landlord the cost incurred by Landlord for the Alteration.</w:t>
      </w:r>
    </w:p>
    <w:p>
      <w:pPr>
        <w:spacing w:after="0" w:line="193" w:lineRule="exact"/>
        <w:rPr>
          <w:rFonts w:ascii="Arial" w:cs="Arial" w:eastAsia="Arial" w:hAnsi="Arial"/>
          <w:sz w:val="19"/>
          <w:szCs w:val="19"/>
          <w:color w:val="auto"/>
        </w:rPr>
      </w:pPr>
    </w:p>
    <w:p>
      <w:pPr>
        <w:ind w:firstLine="8"/>
        <w:spacing w:after="0" w:line="255" w:lineRule="auto"/>
        <w:tabs>
          <w:tab w:leader="none" w:pos="648" w:val="left"/>
        </w:tabs>
        <w:numPr>
          <w:ilvl w:val="0"/>
          <w:numId w:val="83"/>
        </w:numPr>
        <w:rPr>
          <w:rFonts w:ascii="Arial" w:cs="Arial" w:eastAsia="Arial" w:hAnsi="Arial"/>
          <w:sz w:val="19"/>
          <w:szCs w:val="19"/>
          <w:color w:val="auto"/>
        </w:rPr>
      </w:pPr>
      <w:r>
        <w:rPr>
          <w:rFonts w:ascii="Arial" w:cs="Arial" w:eastAsia="Arial" w:hAnsi="Arial"/>
          <w:sz w:val="19"/>
          <w:szCs w:val="19"/>
          <w:b w:val="1"/>
          <w:bCs w:val="1"/>
          <w:u w:val="single" w:color="auto"/>
          <w:color w:val="auto"/>
        </w:rPr>
        <w:t>LEASE TERM</w:t>
      </w:r>
      <w:r>
        <w:rPr>
          <w:rFonts w:ascii="Arial" w:cs="Arial" w:eastAsia="Arial" w:hAnsi="Arial"/>
          <w:sz w:val="19"/>
          <w:szCs w:val="19"/>
          <w:color w:val="auto"/>
        </w:rPr>
        <w:t>. Tenant acknowledges that it is currently in occupancy of the Premises pursuant to that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Standard Industrial/Commercial Single-Tenant Lease - Net dated February 12, 2007 by and between OMP INDUSTRIAL MORELAND, LLC, a Delaware limited liability company, as predecessor-in-interest to Landlord, and Tenant (the “</w:t>
      </w:r>
      <w:r>
        <w:rPr>
          <w:rFonts w:ascii="Arial" w:cs="Arial" w:eastAsia="Arial" w:hAnsi="Arial"/>
          <w:sz w:val="19"/>
          <w:szCs w:val="19"/>
          <w:b w:val="1"/>
          <w:bCs w:val="1"/>
          <w:color w:val="auto"/>
        </w:rPr>
        <w:t>Existing Lease Agreement</w:t>
      </w:r>
      <w:r>
        <w:rPr>
          <w:rFonts w:ascii="Arial" w:cs="Arial" w:eastAsia="Arial" w:hAnsi="Arial"/>
          <w:sz w:val="19"/>
          <w:szCs w:val="19"/>
          <w:color w:val="auto"/>
        </w:rPr>
        <w:t>”), as amended by that certain First Amendment to Lease dated October 10, 2011 and that certain Second Amendment to Lease dated June 2, 2017, both Amendments being between Simi Valley NCR, a California limited liability company, as lessor, and Tenant, as lessee (the Existing Lease Agreement, as amended,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Lease</w:t>
      </w:r>
      <w:r>
        <w:rPr>
          <w:rFonts w:ascii="Arial" w:cs="Arial" w:eastAsia="Arial" w:hAnsi="Arial"/>
          <w:sz w:val="19"/>
          <w:szCs w:val="19"/>
          <w:color w:val="auto"/>
        </w:rPr>
        <w:t>”). Effective as of the Lease Commencement Date of this Lease, the Existing Lease shall terminate. Tenant’s</w:t>
      </w:r>
      <w:r>
        <w:rPr>
          <w:rFonts w:ascii="Arial" w:cs="Arial" w:eastAsia="Arial" w:hAnsi="Arial"/>
          <w:sz w:val="19"/>
          <w:szCs w:val="19"/>
          <w:b w:val="1"/>
          <w:bCs w:val="1"/>
          <w:color w:val="auto"/>
        </w:rPr>
        <w:t xml:space="preserve"> </w:t>
      </w:r>
      <w:r>
        <w:rPr>
          <w:rFonts w:ascii="Arial" w:cs="Arial" w:eastAsia="Arial" w:hAnsi="Arial"/>
          <w:sz w:val="19"/>
          <w:szCs w:val="19"/>
          <w:color w:val="auto"/>
        </w:rPr>
        <w:t>occupancy of the Premises prior to the Lease Commencement Date shall be governed solely by the Existing Lease, except that Tenant shall not be entitled to exercise any options contained in the Existing Lease or to receive any allowances or leasehold improvement work described therein which has not been provided or performed by Landlord as of the date hereof. Upon the expiration of the Existing Lease, Landlord and Tenant shall have no further obligations thereunder except for those obligations which expressly survive the termination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43" w:name="page144"/>
    <w:bookmarkEnd w:id="143"/>
    <w:p>
      <w:pPr>
        <w:jc w:val="both"/>
        <w:spacing w:after="0" w:line="291" w:lineRule="auto"/>
        <w:rPr>
          <w:sz w:val="20"/>
          <w:szCs w:val="20"/>
          <w:color w:val="auto"/>
        </w:rPr>
      </w:pPr>
      <w:r>
        <w:rPr>
          <w:rFonts w:ascii="Arial" w:cs="Arial" w:eastAsia="Arial" w:hAnsi="Arial"/>
          <w:sz w:val="18"/>
          <w:szCs w:val="18"/>
          <w:color w:val="auto"/>
        </w:rPr>
        <w:t>thereof; provided, however, Tenant shall remain liable for all additional rent and other sums payable under the Existing Lease up to and including the termination date of the Existing Lease even though billings for such may occur subsequent to the termination date. Any default by Tenant under the Existing Lease shall be deemed a default under this Lease.</w:t>
      </w:r>
    </w:p>
    <w:p>
      <w:pPr>
        <w:spacing w:after="0" w:line="159" w:lineRule="exact"/>
        <w:rPr>
          <w:sz w:val="20"/>
          <w:szCs w:val="20"/>
          <w:color w:val="auto"/>
        </w:rPr>
      </w:pPr>
    </w:p>
    <w:p>
      <w:pPr>
        <w:jc w:val="both"/>
        <w:ind w:firstLine="8"/>
        <w:spacing w:after="0" w:line="271"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Commencing on July 1, 2022, Tenant must pay Landlord in advance, on the first day of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month, the monthly Base Rent (set forth in Section 6 below), without notice, demand, abatement, offset or deduction. Base Rent and Estimated Expenses shall be appropriately prorated by Landlord on a per diem basis for any partial month during the Term. Any other Additional Rent shall be due and payable by Tenant on or before 10 days after billing by Landlord. Attached hereto as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are instructions for all payments by Tenant to Landlord, which may be updated from time to time by written notice delivered by Landlord to Tenant. Tenant’s payment obligations under this Lease are absolute and unconditional and independent covenants from Landlord’s covenants under this Lease. If Tenant is delinquent in the payment of any Rent for more than 5 business days, Tenant shall pay to Landlord a late charge equal to 5% of such delinquent sum and interest on the late fee and unpaid Rent from the date such amount was due until paid in full at the Applicable Interest Rate. Said late charge shall be in addition to any other rights and remedies available to Landlord under this Lease, at law, or in equity, and shall not be construed as a penalty. Tenant shall also pay Landlord any cost incurred by Landlord in connection with a check presented by Tenant that is declined due to insufficient funds.</w:t>
      </w:r>
    </w:p>
    <w:p>
      <w:pPr>
        <w:spacing w:after="0" w:line="178"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RENT</w:t>
      </w:r>
      <w:r>
        <w:rPr>
          <w:rFonts w:ascii="Arial" w:cs="Arial" w:eastAsia="Arial" w:hAnsi="Arial"/>
          <w:sz w:val="20"/>
          <w:szCs w:val="20"/>
          <w:color w:val="auto"/>
        </w:rPr>
        <w:t>. Base Rent is as follows:</w:t>
      </w:r>
    </w:p>
    <w:p>
      <w:pPr>
        <w:spacing w:after="0" w:line="245" w:lineRule="exact"/>
        <w:rPr>
          <w:sz w:val="20"/>
          <w:szCs w:val="20"/>
          <w:color w:val="auto"/>
        </w:rPr>
      </w:pPr>
    </w:p>
    <w:tbl>
      <w:tblPr>
        <w:tblLayout w:type="fixed"/>
        <w:tblInd w:w="2510" w:type="dxa"/>
        <w:tblCellMar>
          <w:top w:w="0" w:type="dxa"/>
          <w:left w:w="0" w:type="dxa"/>
          <w:bottom w:w="0" w:type="dxa"/>
          <w:right w:w="0" w:type="dxa"/>
        </w:tblCellMar>
      </w:tblPr>
      <w:tr>
        <w:trPr>
          <w:trHeight w:val="203"/>
        </w:trPr>
        <w:tc>
          <w:tcPr>
            <w:tcW w:w="960" w:type="dxa"/>
            <w:vAlign w:val="bottom"/>
            <w:tcBorders>
              <w:top w:val="single" w:sz="8" w:color="auto"/>
              <w:left w:val="single" w:sz="8" w:color="auto"/>
            </w:tcBorders>
          </w:tcPr>
          <w:p>
            <w:pPr>
              <w:spacing w:after="0"/>
              <w:rPr>
                <w:sz w:val="17"/>
                <w:szCs w:val="17"/>
                <w:color w:val="auto"/>
              </w:rPr>
            </w:pPr>
          </w:p>
        </w:tc>
        <w:tc>
          <w:tcPr>
            <w:tcW w:w="1540" w:type="dxa"/>
            <w:vAlign w:val="bottom"/>
            <w:tcBorders>
              <w:top w:val="single" w:sz="8" w:color="auto"/>
              <w:right w:val="single" w:sz="8" w:color="auto"/>
            </w:tcBorders>
            <w:gridSpan w:val="2"/>
          </w:tcPr>
          <w:p>
            <w:pPr>
              <w:jc w:val="center"/>
              <w:ind w:right="980"/>
              <w:spacing w:after="0" w:line="203" w:lineRule="exact"/>
              <w:rPr>
                <w:sz w:val="20"/>
                <w:szCs w:val="20"/>
                <w:color w:val="auto"/>
              </w:rPr>
            </w:pPr>
            <w:r>
              <w:rPr>
                <w:rFonts w:ascii="Arial" w:cs="Arial" w:eastAsia="Arial" w:hAnsi="Arial"/>
                <w:sz w:val="20"/>
                <w:szCs w:val="20"/>
                <w:b w:val="1"/>
                <w:bCs w:val="1"/>
                <w:color w:val="auto"/>
                <w:w w:val="89"/>
              </w:rPr>
              <w:t>Period</w:t>
            </w:r>
          </w:p>
        </w:tc>
        <w:tc>
          <w:tcPr>
            <w:tcW w:w="400" w:type="dxa"/>
            <w:vAlign w:val="bottom"/>
            <w:tcBorders>
              <w:top w:val="single" w:sz="8" w:color="auto"/>
            </w:tcBorders>
          </w:tcPr>
          <w:p>
            <w:pPr>
              <w:spacing w:after="0"/>
              <w:rPr>
                <w:sz w:val="17"/>
                <w:szCs w:val="17"/>
                <w:color w:val="auto"/>
              </w:rPr>
            </w:pPr>
          </w:p>
        </w:tc>
        <w:tc>
          <w:tcPr>
            <w:tcW w:w="206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Monthly Base Rent</w:t>
            </w: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23"/>
        </w:trPr>
        <w:tc>
          <w:tcPr>
            <w:tcW w:w="2500" w:type="dxa"/>
            <w:vAlign w:val="bottom"/>
            <w:tcBorders>
              <w:left w:val="single" w:sz="8" w:color="auto"/>
              <w:bottom w:val="single" w:sz="8" w:color="auto"/>
              <w:right w:val="single" w:sz="8" w:color="auto"/>
            </w:tcBorders>
            <w:gridSpan w:val="3"/>
          </w:tcPr>
          <w:p>
            <w:pPr>
              <w:jc w:val="center"/>
              <w:ind w:right="40"/>
              <w:spacing w:after="0" w:line="223" w:lineRule="exact"/>
              <w:rPr>
                <w:sz w:val="20"/>
                <w:szCs w:val="20"/>
                <w:color w:val="auto"/>
              </w:rPr>
            </w:pPr>
            <w:r>
              <w:rPr>
                <w:rFonts w:ascii="Arial" w:cs="Arial" w:eastAsia="Arial" w:hAnsi="Arial"/>
                <w:sz w:val="20"/>
                <w:szCs w:val="20"/>
                <w:color w:val="auto"/>
                <w:w w:val="89"/>
              </w:rPr>
              <w:t>7/1/22 – 6/30/23</w:t>
            </w:r>
          </w:p>
        </w:tc>
        <w:tc>
          <w:tcPr>
            <w:tcW w:w="2020" w:type="dxa"/>
            <w:vAlign w:val="bottom"/>
            <w:tcBorders>
              <w:bottom w:val="single" w:sz="8" w:color="auto"/>
            </w:tcBorders>
            <w:gridSpan w:val="2"/>
          </w:tcPr>
          <w:p>
            <w:pPr>
              <w:jc w:val="center"/>
              <w:ind w:left="301"/>
              <w:spacing w:after="0" w:line="223" w:lineRule="exact"/>
              <w:rPr>
                <w:sz w:val="20"/>
                <w:szCs w:val="20"/>
                <w:color w:val="auto"/>
              </w:rPr>
            </w:pPr>
            <w:r>
              <w:rPr>
                <w:rFonts w:ascii="Arial" w:cs="Arial" w:eastAsia="Arial" w:hAnsi="Arial"/>
                <w:sz w:val="20"/>
                <w:szCs w:val="20"/>
                <w:color w:val="auto"/>
                <w:w w:val="89"/>
              </w:rPr>
              <w:t>$99,828.85</w:t>
            </w:r>
          </w:p>
        </w:tc>
        <w:tc>
          <w:tcPr>
            <w:tcW w:w="440" w:type="dxa"/>
            <w:vAlign w:val="bottom"/>
            <w:tcBorders>
              <w:bottom w:val="single" w:sz="8" w:color="auto"/>
              <w:right w:val="single" w:sz="8" w:color="auto"/>
            </w:tcBorders>
          </w:tcPr>
          <w:p>
            <w:pPr>
              <w:spacing w:after="0"/>
              <w:rPr>
                <w:sz w:val="19"/>
                <w:szCs w:val="19"/>
                <w:color w:val="auto"/>
              </w:rPr>
            </w:pPr>
          </w:p>
        </w:tc>
      </w:tr>
      <w:tr>
        <w:trPr>
          <w:trHeight w:val="223"/>
        </w:trPr>
        <w:tc>
          <w:tcPr>
            <w:tcW w:w="2500" w:type="dxa"/>
            <w:vAlign w:val="bottom"/>
            <w:tcBorders>
              <w:left w:val="single" w:sz="8" w:color="auto"/>
              <w:bottom w:val="single" w:sz="8" w:color="auto"/>
              <w:right w:val="single" w:sz="8" w:color="auto"/>
            </w:tcBorders>
            <w:gridSpan w:val="3"/>
          </w:tcPr>
          <w:p>
            <w:pPr>
              <w:jc w:val="center"/>
              <w:ind w:right="40"/>
              <w:spacing w:after="0" w:line="223" w:lineRule="exact"/>
              <w:rPr>
                <w:sz w:val="20"/>
                <w:szCs w:val="20"/>
                <w:color w:val="auto"/>
              </w:rPr>
            </w:pPr>
            <w:r>
              <w:rPr>
                <w:rFonts w:ascii="Arial" w:cs="Arial" w:eastAsia="Arial" w:hAnsi="Arial"/>
                <w:sz w:val="20"/>
                <w:szCs w:val="20"/>
                <w:color w:val="auto"/>
                <w:w w:val="89"/>
              </w:rPr>
              <w:t>7/1/23 – 6/30/24</w:t>
            </w:r>
          </w:p>
        </w:tc>
        <w:tc>
          <w:tcPr>
            <w:tcW w:w="2020" w:type="dxa"/>
            <w:vAlign w:val="bottom"/>
            <w:tcBorders>
              <w:bottom w:val="single" w:sz="8" w:color="auto"/>
            </w:tcBorders>
            <w:gridSpan w:val="2"/>
          </w:tcPr>
          <w:p>
            <w:pPr>
              <w:jc w:val="center"/>
              <w:ind w:left="301"/>
              <w:spacing w:after="0" w:line="223" w:lineRule="exact"/>
              <w:rPr>
                <w:sz w:val="20"/>
                <w:szCs w:val="20"/>
                <w:color w:val="auto"/>
              </w:rPr>
            </w:pPr>
            <w:r>
              <w:rPr>
                <w:rFonts w:ascii="Arial" w:cs="Arial" w:eastAsia="Arial" w:hAnsi="Arial"/>
                <w:sz w:val="20"/>
                <w:szCs w:val="20"/>
                <w:color w:val="auto"/>
                <w:w w:val="88"/>
              </w:rPr>
              <w:t>$103,322.86</w:t>
            </w:r>
          </w:p>
        </w:tc>
        <w:tc>
          <w:tcPr>
            <w:tcW w:w="440" w:type="dxa"/>
            <w:vAlign w:val="bottom"/>
            <w:tcBorders>
              <w:bottom w:val="single" w:sz="8" w:color="auto"/>
              <w:right w:val="single" w:sz="8" w:color="auto"/>
            </w:tcBorders>
          </w:tcPr>
          <w:p>
            <w:pPr>
              <w:spacing w:after="0"/>
              <w:rPr>
                <w:sz w:val="19"/>
                <w:szCs w:val="19"/>
                <w:color w:val="auto"/>
              </w:rPr>
            </w:pPr>
          </w:p>
        </w:tc>
      </w:tr>
      <w:tr>
        <w:trPr>
          <w:trHeight w:val="223"/>
        </w:trPr>
        <w:tc>
          <w:tcPr>
            <w:tcW w:w="2500" w:type="dxa"/>
            <w:vAlign w:val="bottom"/>
            <w:tcBorders>
              <w:left w:val="single" w:sz="8" w:color="auto"/>
              <w:bottom w:val="single" w:sz="8" w:color="auto"/>
              <w:right w:val="single" w:sz="8" w:color="auto"/>
            </w:tcBorders>
            <w:gridSpan w:val="3"/>
          </w:tcPr>
          <w:p>
            <w:pPr>
              <w:jc w:val="center"/>
              <w:ind w:right="40"/>
              <w:spacing w:after="0" w:line="223" w:lineRule="exact"/>
              <w:rPr>
                <w:sz w:val="20"/>
                <w:szCs w:val="20"/>
                <w:color w:val="auto"/>
              </w:rPr>
            </w:pPr>
            <w:r>
              <w:rPr>
                <w:rFonts w:ascii="Arial" w:cs="Arial" w:eastAsia="Arial" w:hAnsi="Arial"/>
                <w:sz w:val="20"/>
                <w:szCs w:val="20"/>
                <w:color w:val="auto"/>
                <w:w w:val="89"/>
              </w:rPr>
              <w:t>7/1/24 – 6/30/25</w:t>
            </w:r>
          </w:p>
        </w:tc>
        <w:tc>
          <w:tcPr>
            <w:tcW w:w="2020" w:type="dxa"/>
            <w:vAlign w:val="bottom"/>
            <w:tcBorders>
              <w:bottom w:val="single" w:sz="8" w:color="auto"/>
            </w:tcBorders>
            <w:gridSpan w:val="2"/>
          </w:tcPr>
          <w:p>
            <w:pPr>
              <w:jc w:val="center"/>
              <w:ind w:left="301"/>
              <w:spacing w:after="0" w:line="223" w:lineRule="exact"/>
              <w:rPr>
                <w:sz w:val="20"/>
                <w:szCs w:val="20"/>
                <w:color w:val="auto"/>
              </w:rPr>
            </w:pPr>
            <w:r>
              <w:rPr>
                <w:rFonts w:ascii="Arial" w:cs="Arial" w:eastAsia="Arial" w:hAnsi="Arial"/>
                <w:sz w:val="20"/>
                <w:szCs w:val="20"/>
                <w:color w:val="auto"/>
                <w:w w:val="88"/>
              </w:rPr>
              <w:t>$106,939.16</w:t>
            </w:r>
          </w:p>
        </w:tc>
        <w:tc>
          <w:tcPr>
            <w:tcW w:w="440" w:type="dxa"/>
            <w:vAlign w:val="bottom"/>
            <w:tcBorders>
              <w:bottom w:val="single" w:sz="8" w:color="auto"/>
              <w:right w:val="single" w:sz="8" w:color="auto"/>
            </w:tcBorders>
          </w:tcPr>
          <w:p>
            <w:pPr>
              <w:spacing w:after="0"/>
              <w:rPr>
                <w:sz w:val="19"/>
                <w:szCs w:val="19"/>
                <w:color w:val="auto"/>
              </w:rPr>
            </w:pP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the foregoing, Base Rent is abated during the period from July 1, 2022 through July 31, 2022 (the “Abatement Period”), after which Tenant must pay Base Rent as set forth above. Tenant nonetheless owes Additional Rent during the Abatement Period, and Landlord can charge its management fee as though Base Rent were not abated. In the case of an Event of Default uncured by Tenant, Base Rent abated pursuant to this Section shall immediately become due and payable in full.</w:t>
      </w:r>
    </w:p>
    <w:p>
      <w:pPr>
        <w:spacing w:after="0" w:line="202"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SECURITY DEPOSIT</w:t>
      </w:r>
      <w:r>
        <w:rPr>
          <w:rFonts w:ascii="Arial" w:cs="Arial" w:eastAsia="Arial" w:hAnsi="Arial"/>
          <w:sz w:val="20"/>
          <w:szCs w:val="20"/>
          <w:color w:val="auto"/>
        </w:rPr>
        <w:t>. [Intentionally Deleted].</w:t>
      </w:r>
    </w:p>
    <w:p>
      <w:pPr>
        <w:spacing w:after="0" w:line="229" w:lineRule="exact"/>
        <w:rPr>
          <w:rFonts w:ascii="Arial" w:cs="Arial" w:eastAsia="Arial" w:hAnsi="Arial"/>
          <w:sz w:val="20"/>
          <w:szCs w:val="20"/>
          <w:color w:val="auto"/>
        </w:rPr>
      </w:pPr>
    </w:p>
    <w:p>
      <w:pPr>
        <w:jc w:val="both"/>
        <w:ind w:firstLine="8"/>
        <w:spacing w:after="0" w:line="270"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w:t>
      </w:r>
      <w:r>
        <w:rPr>
          <w:rFonts w:ascii="Arial" w:cs="Arial" w:eastAsia="Arial" w:hAnsi="Arial"/>
          <w:sz w:val="18"/>
          <w:szCs w:val="18"/>
          <w:color w:val="auto"/>
        </w:rPr>
        <w:t>. Tenant shall timely pay the cost (including related taxes and charges) of all utility services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water, gas, propane, diesel, electricity, sewer, waste, telecommunications and data) used on or provided to the Premises or Project. Tenant shall obtain utility services for the Premises in Tenant’s own name and timely pay for the costs therefor directly to the respective utility provider. Tenant may select its own telecommunications or data service and will pay the cost therefor, and Landlord will not be responsible for providing any such service connections to the Building. Landlord shall not be responsible or liable for any interruption in utilities or services, or for any injury to property caused thereby, nor shall such interruption affect the continuation or validity of this Lease, constitute an eviction, give rise to an abatement or relieve Tenant from full performance of Tenant’s obligations under this Lease. Notwithstanding the foregoing, if any interruption or discontinuance of utilities is caused by the gross negligence or willful misconduct of Landlord or its employees, or by any person acting for Landlord or on its behalf, and if such interruption or discontinuance continues beyond 3 consecutive business days and materially and adversely affects Tenant’s ability to conduct its business in the Premises, and on account of such interruption or discontinuance, Tenant ceases doing business in the Premises (or a material portion thereof), Rent shall abate thereafter (as to the Premises or as to such material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44" w:name="page145"/>
    <w:bookmarkEnd w:id="144"/>
    <w:p>
      <w:pPr>
        <w:jc w:val="both"/>
        <w:spacing w:after="0" w:line="242" w:lineRule="auto"/>
        <w:rPr>
          <w:sz w:val="20"/>
          <w:szCs w:val="20"/>
          <w:color w:val="auto"/>
        </w:rPr>
      </w:pPr>
      <w:r>
        <w:rPr>
          <w:rFonts w:ascii="Arial" w:cs="Arial" w:eastAsia="Arial" w:hAnsi="Arial"/>
          <w:sz w:val="20"/>
          <w:szCs w:val="20"/>
          <w:color w:val="auto"/>
        </w:rPr>
        <w:t>portion thereof, as the case may be) and for the duration of such interruption or discontinuance. Landlord acknowledges that, under the Existing Lease, Tenant is currently already contracting with companies providing such utilities or services to the Project, Building or the Premises, and agrees that such companies may continue to provide such services under this Lease. Upon written request no more often than once a quarter, Tenant shall provide to Landlord reasonable utility consumption data and other related information (or, at Landlord’s option, execute and deliver to Landlord an instrument enabling Landlord to obtain the same from the applicable provider). Tenant shall cooperate with Landlord to conduct ASHRAE (American Society of Heating, Refrigerating and Air Conditioning Engineers) energy audits of the Building and Project.</w:t>
      </w:r>
    </w:p>
    <w:p>
      <w:pPr>
        <w:spacing w:after="0" w:line="204" w:lineRule="exact"/>
        <w:rPr>
          <w:sz w:val="20"/>
          <w:szCs w:val="20"/>
          <w:color w:val="auto"/>
        </w:rPr>
      </w:pPr>
    </w:p>
    <w:p>
      <w:pPr>
        <w:jc w:val="both"/>
        <w:ind w:firstLine="8"/>
        <w:spacing w:after="0" w:line="275"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On the Lease Commencement Date and the first day of each calendar month thereafter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(including during the period from July 1, 2022 through July 31, 2022), Tenant shall pay to Landlord an amount equal to 1/12 of the annual cost, as reasonably estimated by Landlord, of Tenant’s Share of Operating Expenses (as defined in Exhibit A hereto)_(“</w:t>
      </w:r>
      <w:r>
        <w:rPr>
          <w:rFonts w:ascii="Arial" w:cs="Arial" w:eastAsia="Arial" w:hAnsi="Arial"/>
          <w:sz w:val="18"/>
          <w:szCs w:val="18"/>
          <w:b w:val="1"/>
          <w:bCs w:val="1"/>
          <w:color w:val="auto"/>
        </w:rPr>
        <w:t>Estimated Expenses</w:t>
      </w:r>
      <w:r>
        <w:rPr>
          <w:rFonts w:ascii="Arial" w:cs="Arial" w:eastAsia="Arial" w:hAnsi="Arial"/>
          <w:sz w:val="18"/>
          <w:szCs w:val="18"/>
          <w:color w:val="auto"/>
        </w:rPr>
        <w:t>”). Estimated Expenses shall be appropriately prorated by Landlord on a per diem basis for any partial month during the Term. If the Building and/or the Project is less than fully occupied during any calendar year, then the variable components of Operating Expenses as determined by Landlord shall be calculated as if the Building and/or the Project had been fully occupied for the full calendar year.</w:t>
      </w:r>
    </w:p>
    <w:p>
      <w:pPr>
        <w:spacing w:after="0" w:line="175" w:lineRule="exact"/>
        <w:rPr>
          <w:rFonts w:ascii="Arial" w:cs="Arial" w:eastAsia="Arial" w:hAnsi="Arial"/>
          <w:sz w:val="18"/>
          <w:szCs w:val="18"/>
          <w:color w:val="auto"/>
        </w:rPr>
      </w:pPr>
    </w:p>
    <w:p>
      <w:pPr>
        <w:jc w:val="both"/>
        <w:ind w:firstLine="656"/>
        <w:spacing w:after="0" w:line="277" w:lineRule="auto"/>
        <w:tabs>
          <w:tab w:leader="none" w:pos="1296"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ESTIMATED EXPENSES NOTICE</w:t>
      </w:r>
      <w:r>
        <w:rPr>
          <w:rFonts w:ascii="Arial" w:cs="Arial" w:eastAsia="Arial" w:hAnsi="Arial"/>
          <w:sz w:val="18"/>
          <w:szCs w:val="18"/>
          <w:color w:val="auto"/>
        </w:rPr>
        <w:t>. Landlord can from time to time provide Tenant with written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 “</w:t>
      </w:r>
      <w:r>
        <w:rPr>
          <w:rFonts w:ascii="Arial" w:cs="Arial" w:eastAsia="Arial" w:hAnsi="Arial"/>
          <w:sz w:val="18"/>
          <w:szCs w:val="18"/>
          <w:b w:val="1"/>
          <w:bCs w:val="1"/>
          <w:color w:val="auto"/>
        </w:rPr>
        <w:t>Estimated Expenses Notice</w:t>
      </w:r>
      <w:r>
        <w:rPr>
          <w:rFonts w:ascii="Arial" w:cs="Arial" w:eastAsia="Arial" w:hAnsi="Arial"/>
          <w:sz w:val="18"/>
          <w:szCs w:val="18"/>
          <w:color w:val="auto"/>
        </w:rPr>
        <w:t>”) of the monthly Estimated Expenses due and payable by Tenant with respect to the period covered by the notice. (The initial monthly Estimated Expenses is set forth in the “Basic Terms and Definitions” Section above.) The Estimated Expense amounts set forth in an Estimated Expenses Notice shall be based upon Landlord’s estimate of Operating Expenses to be incurred with respect to the period covered by the notice. Landlord may invoice Tenant separately from time to time for any extraordinary or unanticipated Estimated Expenses.</w:t>
      </w:r>
    </w:p>
    <w:p>
      <w:pPr>
        <w:spacing w:after="0" w:line="173" w:lineRule="exact"/>
        <w:rPr>
          <w:rFonts w:ascii="Arial" w:cs="Arial" w:eastAsia="Arial" w:hAnsi="Arial"/>
          <w:sz w:val="18"/>
          <w:szCs w:val="18"/>
          <w:color w:val="auto"/>
        </w:rPr>
      </w:pPr>
    </w:p>
    <w:p>
      <w:pPr>
        <w:jc w:val="both"/>
        <w:ind w:firstLine="656"/>
        <w:spacing w:after="0" w:line="270" w:lineRule="auto"/>
        <w:tabs>
          <w:tab w:leader="none" w:pos="1296"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RECONCILIATION</w:t>
      </w:r>
      <w:r>
        <w:rPr>
          <w:rFonts w:ascii="Arial" w:cs="Arial" w:eastAsia="Arial" w:hAnsi="Arial"/>
          <w:sz w:val="18"/>
          <w:szCs w:val="18"/>
          <w:color w:val="auto"/>
        </w:rPr>
        <w:t>. Promptly after the end of each calendar year during the Term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Expiration Date, and at any other time in Landlord’s discretion, Landlord shall make an accounting of actual Operating Expenses for the preceding calendar year and provide Tenant with a written statement of Tenant’s Share of such Operating Expenses (a “</w:t>
      </w:r>
      <w:r>
        <w:rPr>
          <w:rFonts w:ascii="Arial" w:cs="Arial" w:eastAsia="Arial" w:hAnsi="Arial"/>
          <w:sz w:val="18"/>
          <w:szCs w:val="18"/>
          <w:b w:val="1"/>
          <w:bCs w:val="1"/>
          <w:color w:val="auto"/>
        </w:rPr>
        <w:t>Reconciliation Statement</w:t>
      </w:r>
      <w:r>
        <w:rPr>
          <w:rFonts w:ascii="Arial" w:cs="Arial" w:eastAsia="Arial" w:hAnsi="Arial"/>
          <w:sz w:val="18"/>
          <w:szCs w:val="18"/>
          <w:color w:val="auto"/>
        </w:rPr>
        <w:t>”). Within 30 days after delivery of a Reconciliation Statement to Tenant, Tenant shall pay to Landlord the amount by which actual Operating Expenses exceeded Estimated Expenses paid during the covered period (and if the actual expenses were less than Estimated Expenses paid, Landlord shall at its option either credit Tenant’s account or reimburse Tenant for any overpayment by Tenant). In the case of any expenses the actual amount of which is not known at time of delivery of a Reconciliation Statement, Landlord may rely on its estimates of such expenses to generate the Reconciliation Statement and perform another accounting once actual amounts are known and deliver an additional Reconciliation Statement. If requested by Tenant within 15 days of the delivery of a Reconciliation Statement, Landlord shall provide or make available the supporting data upon which Landlord based the Reconciliation Statement. If Tenant does not object by written notice to Landlord within 30 days of delivery of a Reconciliation Statement, Tenant shall be deemed to have waived the right to contest the Reconciliation Statement. Landlord’s and Tenant’s obligations to pay any overpayment or deficiency due the other pursuant to this Section shall survive the Lease Expiration Date.</w:t>
      </w:r>
    </w:p>
    <w:p>
      <w:pPr>
        <w:spacing w:after="0" w:line="182" w:lineRule="exact"/>
        <w:rPr>
          <w:rFonts w:ascii="Arial" w:cs="Arial" w:eastAsia="Arial" w:hAnsi="Arial"/>
          <w:sz w:val="18"/>
          <w:szCs w:val="18"/>
          <w:color w:val="auto"/>
        </w:rPr>
      </w:pPr>
    </w:p>
    <w:p>
      <w:pPr>
        <w:jc w:val="both"/>
        <w:ind w:firstLine="656"/>
        <w:spacing w:after="0" w:line="260" w:lineRule="auto"/>
        <w:tabs>
          <w:tab w:leader="none" w:pos="1296" w:val="left"/>
        </w:tabs>
        <w:numPr>
          <w:ilvl w:val="1"/>
          <w:numId w:val="86"/>
        </w:numPr>
        <w:rPr>
          <w:rFonts w:ascii="Arial" w:cs="Arial" w:eastAsia="Arial" w:hAnsi="Arial"/>
          <w:sz w:val="19"/>
          <w:szCs w:val="19"/>
          <w:color w:val="auto"/>
        </w:rPr>
      </w:pPr>
      <w:r>
        <w:rPr>
          <w:rFonts w:ascii="Arial" w:cs="Arial" w:eastAsia="Arial" w:hAnsi="Arial"/>
          <w:sz w:val="19"/>
          <w:szCs w:val="19"/>
          <w:b w:val="1"/>
          <w:bCs w:val="1"/>
          <w:u w:val="single" w:color="auto"/>
          <w:color w:val="auto"/>
        </w:rPr>
        <w:t>TENANT’S EXPENSES</w:t>
      </w:r>
      <w:r>
        <w:rPr>
          <w:rFonts w:ascii="Arial" w:cs="Arial" w:eastAsia="Arial" w:hAnsi="Arial"/>
          <w:sz w:val="19"/>
          <w:szCs w:val="19"/>
          <w:color w:val="auto"/>
        </w:rPr>
        <w:t>. Prior to delinquency, Tenant shall pay (and, upon request, provide Landlord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evidence of payment of) all Taxes (as defined in </w:t>
      </w:r>
      <w:r>
        <w:rPr>
          <w:rFonts w:ascii="Arial" w:cs="Arial" w:eastAsia="Arial" w:hAnsi="Arial"/>
          <w:sz w:val="19"/>
          <w:szCs w:val="19"/>
          <w:b w:val="1"/>
          <w:bCs w:val="1"/>
          <w:color w:val="auto"/>
        </w:rPr>
        <w:t>Exhibit A</w:t>
      </w:r>
      <w:r>
        <w:rPr>
          <w:rFonts w:ascii="Arial" w:cs="Arial" w:eastAsia="Arial" w:hAnsi="Arial"/>
          <w:sz w:val="19"/>
          <w:szCs w:val="19"/>
          <w:color w:val="auto"/>
        </w:rPr>
        <w:t>) and all other taxes and assessments, together with any interest, charges, fees and penalties in connection therewith, levied upon or arising from (a) Tenant’s Property, (b) the conduct of Tenant’s business, or (c) Tenant’s leasehold estate. Tenant shall pay all such Taxes and other amounts directly to the applicable taxing authority, or if such amounts are billed to or paid by Landlord, then Tenant shall pay such amounts to Landlord within thirty (30) days after receipt of Landlord’s invoice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45" w:name="page146"/>
    <w:bookmarkEnd w:id="145"/>
    <w:p>
      <w:pPr>
        <w:ind w:left="660" w:hanging="652"/>
        <w:spacing w:after="0"/>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INDEMNITY AND WAIVER OF CLAIMS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56"/>
        <w:spacing w:after="0" w:line="244" w:lineRule="auto"/>
        <w:tabs>
          <w:tab w:leader="none" w:pos="1377" w:val="left"/>
        </w:tabs>
        <w:numPr>
          <w:ilvl w:val="2"/>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INDEMNITY</w:t>
      </w:r>
      <w:r>
        <w:rPr>
          <w:rFonts w:ascii="Arial" w:cs="Arial" w:eastAsia="Arial" w:hAnsi="Arial"/>
          <w:sz w:val="20"/>
          <w:szCs w:val="20"/>
          <w:color w:val="auto"/>
        </w:rPr>
        <w:t>. Tenant shall indemnify, protect, defend (by counsel acceptable to Landlord) and hold</w:t>
      </w:r>
      <w:r>
        <w:rPr>
          <w:rFonts w:ascii="Arial" w:cs="Arial" w:eastAsia="Arial" w:hAnsi="Arial"/>
          <w:sz w:val="20"/>
          <w:szCs w:val="20"/>
          <w:b w:val="1"/>
          <w:bCs w:val="1"/>
          <w:color w:val="auto"/>
        </w:rPr>
        <w:t xml:space="preserve"> </w:t>
      </w:r>
      <w:r>
        <w:rPr>
          <w:rFonts w:ascii="Arial" w:cs="Arial" w:eastAsia="Arial" w:hAnsi="Arial"/>
          <w:sz w:val="20"/>
          <w:szCs w:val="20"/>
          <w:color w:val="auto"/>
        </w:rPr>
        <w:t>harmless Landlord and the Indemnitees from and against Losses, which may be imposed upon, incurred or suffered by or asserted against Landlord or any of the Indemnitees at any time prior to, during or after the Term arising out of or in connection with Tenant’s occupancy or use of the Premises, any acts or omissions of Tenant or any Tenant Party, or the conduct of Tenant’s business, or otherwise in, upon or about the Premises, except to the extent caused by the gross negligence or willful misconduct of Landlord or of the Indemnitees. The obligations of Tenant under this Section shall survive the Lease Expiration Date.</w:t>
      </w:r>
    </w:p>
    <w:p>
      <w:pPr>
        <w:spacing w:after="0" w:line="199" w:lineRule="exact"/>
        <w:rPr>
          <w:rFonts w:ascii="Arial" w:cs="Arial" w:eastAsia="Arial" w:hAnsi="Arial"/>
          <w:sz w:val="20"/>
          <w:szCs w:val="20"/>
          <w:color w:val="auto"/>
        </w:rPr>
      </w:pPr>
    </w:p>
    <w:p>
      <w:pPr>
        <w:jc w:val="both"/>
        <w:ind w:firstLine="656"/>
        <w:spacing w:after="0" w:line="260" w:lineRule="auto"/>
        <w:tabs>
          <w:tab w:leader="none" w:pos="1296" w:val="left"/>
        </w:tabs>
        <w:numPr>
          <w:ilvl w:val="2"/>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CLAIMS</w:t>
      </w:r>
      <w:r>
        <w:rPr>
          <w:rFonts w:ascii="Arial" w:cs="Arial" w:eastAsia="Arial" w:hAnsi="Arial"/>
          <w:sz w:val="19"/>
          <w:szCs w:val="19"/>
          <w:color w:val="auto"/>
        </w:rPr>
        <w:t>. Except to the extent any loss, illness, injury, or damage is caused by the gross</w:t>
      </w:r>
      <w:r>
        <w:rPr>
          <w:rFonts w:ascii="Arial" w:cs="Arial" w:eastAsia="Arial" w:hAnsi="Arial"/>
          <w:sz w:val="19"/>
          <w:szCs w:val="19"/>
          <w:b w:val="1"/>
          <w:bCs w:val="1"/>
          <w:color w:val="auto"/>
        </w:rPr>
        <w:t xml:space="preserve"> </w:t>
      </w:r>
      <w:r>
        <w:rPr>
          <w:rFonts w:ascii="Arial" w:cs="Arial" w:eastAsia="Arial" w:hAnsi="Arial"/>
          <w:sz w:val="19"/>
          <w:szCs w:val="19"/>
          <w:color w:val="auto"/>
        </w:rPr>
        <w:t>negligence or willful misconduct of Landlord or Indemnitees, Tenant, as a material part of the consideration to Landlord, hereby assumes all loss due to business interruption and all risk of illness or injury to persons in, upon or about the Premises and/or the Project arising from any cause and all risk of damage to property including, but not limited to, Tenant’s Property and all Tenant’s Parties and all Alterations, and Tenant hereby expressly releases Landlord and the Indemnities and waives all claims in respect thereof against Landlord and the Indemnitees.</w:t>
      </w:r>
    </w:p>
    <w:p>
      <w:pPr>
        <w:spacing w:after="0" w:line="186" w:lineRule="exact"/>
        <w:rPr>
          <w:rFonts w:ascii="Arial" w:cs="Arial" w:eastAsia="Arial" w:hAnsi="Arial"/>
          <w:sz w:val="19"/>
          <w:szCs w:val="19"/>
          <w:color w:val="auto"/>
        </w:rPr>
      </w:pPr>
    </w:p>
    <w:p>
      <w:pPr>
        <w:ind w:left="660" w:hanging="652"/>
        <w:spacing w:after="0"/>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INSURANCE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575"/>
        <w:spacing w:after="0" w:line="244" w:lineRule="auto"/>
        <w:tabs>
          <w:tab w:leader="none" w:pos="1296" w:val="left"/>
        </w:tabs>
        <w:numPr>
          <w:ilvl w:val="1"/>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 Landlord shall maintain insurance policies insuring the Project against fire and extended</w:t>
      </w:r>
      <w:r>
        <w:rPr>
          <w:rFonts w:ascii="Arial" w:cs="Arial" w:eastAsia="Arial" w:hAnsi="Arial"/>
          <w:sz w:val="20"/>
          <w:szCs w:val="20"/>
          <w:b w:val="1"/>
          <w:bCs w:val="1"/>
          <w:color w:val="auto"/>
        </w:rPr>
        <w:t xml:space="preserve"> </w:t>
      </w:r>
      <w:r>
        <w:rPr>
          <w:rFonts w:ascii="Arial" w:cs="Arial" w:eastAsia="Arial" w:hAnsi="Arial"/>
          <w:sz w:val="20"/>
          <w:szCs w:val="20"/>
          <w:color w:val="auto"/>
        </w:rPr>
        <w:t>coverage (including, if Landlord elects, “special cause of loss form” coverage, earthquake/volcanic action, flood and/or surface water insurance) for the full replacement cost of the Building (including coverage of any Alteration made by Landlord, but excluding coverage of Tenant’s Property and any Alterations made by Tenant or a Tenant Party), with deductibles in the form and endorsements of such coverage as selected by Landlord. Landlord can obtain its insurance through a blanket policy or captive insurance program. Landlord may also in its discretion obtain other coverage for the Project.</w:t>
      </w:r>
    </w:p>
    <w:p>
      <w:pPr>
        <w:spacing w:after="0" w:line="199" w:lineRule="exact"/>
        <w:rPr>
          <w:rFonts w:ascii="Arial" w:cs="Arial" w:eastAsia="Arial" w:hAnsi="Arial"/>
          <w:sz w:val="20"/>
          <w:szCs w:val="20"/>
          <w:color w:val="auto"/>
        </w:rPr>
      </w:pPr>
    </w:p>
    <w:p>
      <w:pPr>
        <w:jc w:val="both"/>
        <w:ind w:firstLine="575"/>
        <w:spacing w:after="0" w:line="265" w:lineRule="auto"/>
        <w:tabs>
          <w:tab w:leader="none" w:pos="1296" w:val="left"/>
        </w:tabs>
        <w:numPr>
          <w:ilvl w:val="1"/>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TENANT</w:t>
      </w:r>
      <w:r>
        <w:rPr>
          <w:rFonts w:ascii="Arial" w:cs="Arial" w:eastAsia="Arial" w:hAnsi="Arial"/>
          <w:sz w:val="19"/>
          <w:szCs w:val="19"/>
          <w:color w:val="auto"/>
        </w:rPr>
        <w:t>. Tenant shall, at Tenant’s sole expense, obtain and keep in force at all times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in the following coverage amounts, which coverage amounts Landlord may reasonably increase from time to time upon reasonable advance written notice to Tenant in the event Tenant’s operations change or Landlord otherwise reasonably determines that such coverage amounts are inadequate under the circumstances:</w:t>
      </w:r>
    </w:p>
    <w:p>
      <w:pPr>
        <w:spacing w:after="0" w:line="182" w:lineRule="exact"/>
        <w:rPr>
          <w:rFonts w:ascii="Arial" w:cs="Arial" w:eastAsia="Arial" w:hAnsi="Arial"/>
          <w:sz w:val="19"/>
          <w:szCs w:val="19"/>
          <w:color w:val="auto"/>
        </w:rPr>
      </w:pPr>
    </w:p>
    <w:p>
      <w:pPr>
        <w:jc w:val="both"/>
        <w:ind w:firstLine="1304"/>
        <w:spacing w:after="0" w:line="265" w:lineRule="auto"/>
        <w:tabs>
          <w:tab w:leader="none" w:pos="1944" w:val="left"/>
        </w:tabs>
        <w:numPr>
          <w:ilvl w:val="3"/>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Commercial General Liability Insurance (Occurrence Form)</w:t>
      </w:r>
      <w:r>
        <w:rPr>
          <w:rFonts w:ascii="Arial" w:cs="Arial" w:eastAsia="Arial" w:hAnsi="Arial"/>
          <w:sz w:val="19"/>
          <w:szCs w:val="19"/>
          <w:color w:val="auto"/>
        </w:rPr>
        <w:t>. Commercial General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w:t>
      </w:r>
      <w:r>
        <w:rPr>
          <w:rFonts w:ascii="Arial" w:cs="Arial" w:eastAsia="Arial" w:hAnsi="Arial"/>
          <w:sz w:val="19"/>
          <w:szCs w:val="19"/>
          <w:b w:val="1"/>
          <w:bCs w:val="1"/>
          <w:color w:val="auto"/>
        </w:rPr>
        <w:t>CGL Policy</w:t>
      </w:r>
      <w:r>
        <w:rPr>
          <w:rFonts w:ascii="Arial" w:cs="Arial" w:eastAsia="Arial" w:hAnsi="Arial"/>
          <w:sz w:val="19"/>
          <w:szCs w:val="19"/>
          <w:color w:val="auto"/>
        </w:rPr>
        <w:t>”) covering claims of bodily injury, personal injury and property damage arising out of Tenant’s operations and contractual liabilities, including coverage formerly known as broad form, on an occurrence basis, with primary limits of at least $1,000,000 each occurrence and $2,000,000.00 annual aggregate;</w:t>
      </w:r>
    </w:p>
    <w:p>
      <w:pPr>
        <w:spacing w:after="0" w:line="182" w:lineRule="exact"/>
        <w:rPr>
          <w:rFonts w:ascii="Arial" w:cs="Arial" w:eastAsia="Arial" w:hAnsi="Arial"/>
          <w:sz w:val="19"/>
          <w:szCs w:val="19"/>
          <w:color w:val="auto"/>
        </w:rPr>
      </w:pPr>
    </w:p>
    <w:p>
      <w:pPr>
        <w:ind w:firstLine="1304"/>
        <w:spacing w:after="0" w:line="293" w:lineRule="auto"/>
        <w:tabs>
          <w:tab w:leader="none" w:pos="1944" w:val="left"/>
        </w:tabs>
        <w:numPr>
          <w:ilvl w:val="3"/>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Automobile Liability Insurance</w:t>
      </w:r>
      <w:r>
        <w:rPr>
          <w:rFonts w:ascii="Arial" w:cs="Arial" w:eastAsia="Arial" w:hAnsi="Arial"/>
          <w:sz w:val="19"/>
          <w:szCs w:val="19"/>
          <w:color w:val="auto"/>
        </w:rPr>
        <w:t>. Business automobile liability insurance having a combined single</w:t>
      </w:r>
      <w:r>
        <w:rPr>
          <w:rFonts w:ascii="Arial" w:cs="Arial" w:eastAsia="Arial" w:hAnsi="Arial"/>
          <w:sz w:val="19"/>
          <w:szCs w:val="19"/>
          <w:b w:val="1"/>
          <w:bCs w:val="1"/>
          <w:color w:val="auto"/>
        </w:rPr>
        <w:t xml:space="preserve"> </w:t>
      </w:r>
      <w:r>
        <w:rPr>
          <w:rFonts w:ascii="Arial" w:cs="Arial" w:eastAsia="Arial" w:hAnsi="Arial"/>
          <w:sz w:val="19"/>
          <w:szCs w:val="19"/>
          <w:color w:val="auto"/>
        </w:rPr>
        <w:t>limit of not less than $1,000,000.00 per occurrence and including owned, hired or non-owned automobiles;</w:t>
      </w:r>
    </w:p>
    <w:p>
      <w:pPr>
        <w:spacing w:after="0" w:line="303" w:lineRule="exact"/>
        <w:rPr>
          <w:rFonts w:ascii="Arial" w:cs="Arial" w:eastAsia="Arial" w:hAnsi="Arial"/>
          <w:sz w:val="19"/>
          <w:szCs w:val="19"/>
          <w:color w:val="auto"/>
        </w:rPr>
      </w:pPr>
    </w:p>
    <w:p>
      <w:pPr>
        <w:ind w:firstLine="1304"/>
        <w:spacing w:after="0" w:line="267" w:lineRule="auto"/>
        <w:tabs>
          <w:tab w:leader="none" w:pos="1944" w:val="left"/>
        </w:tabs>
        <w:numPr>
          <w:ilvl w:val="3"/>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Workers’ Compensation and Employer’s Liability Insurance</w:t>
      </w:r>
      <w:r>
        <w:rPr>
          <w:rFonts w:ascii="Arial" w:cs="Arial" w:eastAsia="Arial" w:hAnsi="Arial"/>
          <w:sz w:val="20"/>
          <w:szCs w:val="20"/>
          <w:color w:val="auto"/>
        </w:rPr>
        <w:t>. Workers’ compensation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having limits not less than those required by applicable state and federal statute,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46" w:name="page147"/>
    <w:bookmarkEnd w:id="146"/>
    <w:p>
      <w:pPr>
        <w:spacing w:after="0" w:line="260" w:lineRule="auto"/>
        <w:rPr>
          <w:sz w:val="20"/>
          <w:szCs w:val="20"/>
          <w:color w:val="auto"/>
        </w:rPr>
      </w:pPr>
      <w:r>
        <w:rPr>
          <w:rFonts w:ascii="Arial" w:cs="Arial" w:eastAsia="Arial" w:hAnsi="Arial"/>
          <w:sz w:val="20"/>
          <w:szCs w:val="20"/>
          <w:color w:val="auto"/>
        </w:rPr>
        <w:t>and covering all persons employed by Tenant, including volunteers, in the conduct of its operations on the Premises, together with employer’s liability insurance coverage in the amount of at least $1,000,000.00;</w:t>
      </w:r>
    </w:p>
    <w:p>
      <w:pPr>
        <w:spacing w:after="0" w:line="184" w:lineRule="exact"/>
        <w:rPr>
          <w:sz w:val="20"/>
          <w:szCs w:val="20"/>
          <w:color w:val="auto"/>
        </w:rPr>
      </w:pPr>
    </w:p>
    <w:p>
      <w:pPr>
        <w:jc w:val="both"/>
        <w:ind w:firstLine="1304"/>
        <w:spacing w:after="0" w:line="244" w:lineRule="auto"/>
        <w:tabs>
          <w:tab w:leader="none" w:pos="1944"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Property Insurance</w:t>
      </w:r>
      <w:r>
        <w:rPr>
          <w:rFonts w:ascii="Arial" w:cs="Arial" w:eastAsia="Arial" w:hAnsi="Arial"/>
          <w:sz w:val="20"/>
          <w:szCs w:val="20"/>
          <w:color w:val="auto"/>
        </w:rPr>
        <w:t>. “All risk” or “special cause of loss form” property insurance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coverage for vandalism, malicious mischief, sprinkler leakage and, if applicable, boiler and machinery comprehensive form, on a replacement cost basis, insuring (a) all Tenant’s Property, and (b) all Alterations made by Tenant or a Tenant Party, in each case, in an amount equal to the then applicable full replacement cost thereof. In the event property of Tenant’s invitees or customers are kept in the Premises or Project, Tenant shall maintain warehouser’s legal liability or bailee customers insurance for the full value of the property of such invitees or customers as determined by the warehouse contract between Tenant and its customer;</w:t>
      </w:r>
    </w:p>
    <w:p>
      <w:pPr>
        <w:spacing w:after="0" w:line="199" w:lineRule="exact"/>
        <w:rPr>
          <w:rFonts w:ascii="Arial" w:cs="Arial" w:eastAsia="Arial" w:hAnsi="Arial"/>
          <w:sz w:val="20"/>
          <w:szCs w:val="20"/>
          <w:color w:val="auto"/>
        </w:rPr>
      </w:pPr>
    </w:p>
    <w:p>
      <w:pPr>
        <w:jc w:val="both"/>
        <w:ind w:firstLine="1304"/>
        <w:spacing w:after="0" w:line="248" w:lineRule="auto"/>
        <w:tabs>
          <w:tab w:leader="none" w:pos="1944"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Business Interruption</w:t>
      </w:r>
      <w:r>
        <w:rPr>
          <w:rFonts w:ascii="Arial" w:cs="Arial" w:eastAsia="Arial" w:hAnsi="Arial"/>
          <w:sz w:val="20"/>
          <w:szCs w:val="20"/>
          <w:color w:val="auto"/>
        </w:rPr>
        <w:t>. Loss of income and extra expense insurance in amounts as will reimburse</w:t>
      </w:r>
      <w:r>
        <w:rPr>
          <w:rFonts w:ascii="Arial" w:cs="Arial" w:eastAsia="Arial" w:hAnsi="Arial"/>
          <w:sz w:val="20"/>
          <w:szCs w:val="20"/>
          <w:b w:val="1"/>
          <w:bCs w:val="1"/>
          <w:color w:val="auto"/>
        </w:rPr>
        <w:t xml:space="preserve"> </w:t>
      </w:r>
      <w:r>
        <w:rPr>
          <w:rFonts w:ascii="Arial" w:cs="Arial" w:eastAsia="Arial" w:hAnsi="Arial"/>
          <w:sz w:val="20"/>
          <w:szCs w:val="20"/>
          <w:color w:val="auto"/>
        </w:rPr>
        <w:t>Tenant for direct or indirect loss of earnings for a period of not less than 12 months, attributable to all perils included in the “all risk” or “special cause of loss form” property insurance policy required above or attributable to prevention of access to the Premises as a result of such perils; and</w:t>
      </w:r>
    </w:p>
    <w:p>
      <w:pPr>
        <w:spacing w:after="0" w:line="196" w:lineRule="exact"/>
        <w:rPr>
          <w:rFonts w:ascii="Arial" w:cs="Arial" w:eastAsia="Arial" w:hAnsi="Arial"/>
          <w:sz w:val="20"/>
          <w:szCs w:val="20"/>
          <w:color w:val="auto"/>
        </w:rPr>
      </w:pPr>
    </w:p>
    <w:p>
      <w:pPr>
        <w:jc w:val="both"/>
        <w:ind w:firstLine="1304"/>
        <w:spacing w:after="0" w:line="248" w:lineRule="auto"/>
        <w:tabs>
          <w:tab w:leader="none" w:pos="1944"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Umbrella/Excess Insurance</w:t>
      </w:r>
      <w:r>
        <w:rPr>
          <w:rFonts w:ascii="Arial" w:cs="Arial" w:eastAsia="Arial" w:hAnsi="Arial"/>
          <w:sz w:val="20"/>
          <w:szCs w:val="20"/>
          <w:color w:val="auto"/>
        </w:rPr>
        <w:t>. An umbrella liability policy or excess liability policy having a limit of</w:t>
      </w:r>
      <w:r>
        <w:rPr>
          <w:rFonts w:ascii="Arial" w:cs="Arial" w:eastAsia="Arial" w:hAnsi="Arial"/>
          <w:sz w:val="20"/>
          <w:szCs w:val="20"/>
          <w:b w:val="1"/>
          <w:bCs w:val="1"/>
          <w:color w:val="auto"/>
        </w:rPr>
        <w:t xml:space="preserve"> </w:t>
      </w:r>
      <w:r>
        <w:rPr>
          <w:rFonts w:ascii="Arial" w:cs="Arial" w:eastAsia="Arial" w:hAnsi="Arial"/>
          <w:sz w:val="20"/>
          <w:szCs w:val="20"/>
          <w:color w:val="auto"/>
        </w:rPr>
        <w:t>not less than $5,000,000.00, which policy shall be in “following form” and shall provide that if the underlying aggregate is exhausted, the excess coverage will drop down as primary insurance. Such umbrella liability policy or excess liability policy shall include coverage for additional insureds.</w:t>
      </w:r>
    </w:p>
    <w:p>
      <w:pPr>
        <w:spacing w:after="0" w:line="19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Tenant’s insurance company shall be authorized to do business in the state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is located and be rated at least “A VIII” (or higher if required by a Mortgagee) as determined by A.M. Best Company. Tenant shall deliver to Landlord certificates of insurance for all insurance required to be maintained by Tenant in the form of ACORD 28 and ACORD 25-S (or in a form acceptable to Landlord in its reasonable discretion), on or before the Lease Commencement Date or any earlier date on which Tenant or any Tenant Party accesses the Premises and, at least 10 days prior to the expiration of any required coverage. Landlord, Landlord’s Mortgagee, if any, and any other party designated by Landlord, as their interests may appear, shall be named as additional insureds (“</w:t>
      </w:r>
      <w:r>
        <w:rPr>
          <w:rFonts w:ascii="Arial" w:cs="Arial" w:eastAsia="Arial" w:hAnsi="Arial"/>
          <w:sz w:val="18"/>
          <w:szCs w:val="18"/>
          <w:b w:val="1"/>
          <w:bCs w:val="1"/>
          <w:color w:val="auto"/>
        </w:rPr>
        <w:t>Additional Insureds</w:t>
      </w:r>
      <w:r>
        <w:rPr>
          <w:rFonts w:ascii="Arial" w:cs="Arial" w:eastAsia="Arial" w:hAnsi="Arial"/>
          <w:sz w:val="18"/>
          <w:szCs w:val="18"/>
          <w:color w:val="auto"/>
        </w:rPr>
        <w:t>”) under Insurance Services Office endorsement CG 20 10 04 13 or equivalent under all of the policies required in this “Insurance” Section, which (a) endorsement shall be included with Tenant’s certificates of insurance, and (b) policies shall provide for severability of interest and shall be primary as respects the Additional Insureds, and any insurance maintained by the Additional Insureds shall be excess and non-contributing. The limits and types of insurance maintained by Tenant shall not limit Tenant’s liability under this Lease. Tenant shall notify Landlord within 24 hours after the occurrence of any accidents or incidents in the Premises or the Project which could give rise to a claim under any of the insurance policies required under this “Insurance” Section. Tenant shall not be permitted to satisfy any of its insurance obligations set forth in this Lease with deductible amounts, or through any self-insurance or self-insured retention, in excess of $25,000.00, without Landlord’s consent, subject to such additional conditions as Landlord may impose, in Landlord’s sole discretion.</w:t>
      </w:r>
    </w:p>
    <w:p>
      <w:pPr>
        <w:spacing w:after="0" w:line="190" w:lineRule="exact"/>
        <w:rPr>
          <w:sz w:val="20"/>
          <w:szCs w:val="20"/>
          <w:color w:val="auto"/>
        </w:rPr>
      </w:pPr>
    </w:p>
    <w:p>
      <w:pPr>
        <w:jc w:val="both"/>
        <w:ind w:firstLine="656"/>
        <w:spacing w:after="0" w:line="245" w:lineRule="auto"/>
        <w:tabs>
          <w:tab w:leader="none" w:pos="1296"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MUTUAL WAIVER OF SUBROGATION</w:t>
      </w:r>
      <w:r>
        <w:rPr>
          <w:rFonts w:ascii="Arial" w:cs="Arial" w:eastAsia="Arial" w:hAnsi="Arial"/>
          <w:sz w:val="20"/>
          <w:szCs w:val="20"/>
          <w:color w:val="auto"/>
        </w:rPr>
        <w:t>. Each party waives, and shall cause its insurance carrier to</w:t>
      </w:r>
      <w:r>
        <w:rPr>
          <w:rFonts w:ascii="Arial" w:cs="Arial" w:eastAsia="Arial" w:hAnsi="Arial"/>
          <w:sz w:val="20"/>
          <w:szCs w:val="20"/>
          <w:b w:val="1"/>
          <w:bCs w:val="1"/>
          <w:color w:val="auto"/>
        </w:rPr>
        <w:t xml:space="preserve"> </w:t>
      </w:r>
      <w:r>
        <w:rPr>
          <w:rFonts w:ascii="Arial" w:cs="Arial" w:eastAsia="Arial" w:hAnsi="Arial"/>
          <w:sz w:val="20"/>
          <w:szCs w:val="20"/>
          <w:color w:val="auto"/>
        </w:rPr>
        <w:t>waive, any right of recovery against the other for any loss of or damage to property which loss or damage is (or, if the insurance required hereunder had been carried, would have been) covered under the terms of any policy of property insurance, to the extent such releases or waivers are permitted under applicable law; provided, however, such waiver by Landlord shall not be effective with respect to Tenant’s liability described in the “Environmental Matters” Section below. The failure of a party to insure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0"/>
          <w:szCs w:val="20"/>
          <w:color w:val="auto"/>
        </w:rPr>
        <w:t>its property shall not void this waiver. For purposes of this subsection, (but subject to the terms of the Tenant’s Obligations subsection below), any deductible with respect to a party’s insurance shall be deemed covered by, and recoverable by such party under, valid and collectible policies of insurance.</w:t>
      </w:r>
    </w:p>
    <w:p>
      <w:pPr>
        <w:spacing w:after="0" w:line="342"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REPAIRS AND MAINTENANCE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48"/>
        <w:spacing w:after="0" w:line="247"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Tenant Obligations</w:t>
      </w:r>
      <w:r>
        <w:rPr>
          <w:rFonts w:ascii="Arial" w:cs="Arial" w:eastAsia="Arial" w:hAnsi="Arial"/>
          <w:sz w:val="20"/>
          <w:szCs w:val="20"/>
          <w:color w:val="auto"/>
        </w:rPr>
        <w:t>. Except as otherwise expressly provided in the “Landlord Obligations” Section below, Tenant, at Tenant’s sole cost and expense, shall Maintain the Premises, Building and Project in good, clean and safe condition, including, without limitation, the following:</w:t>
      </w:r>
    </w:p>
    <w:p>
      <w:pPr>
        <w:ind w:firstLine="1304"/>
        <w:spacing w:after="0" w:line="266" w:lineRule="auto"/>
        <w:tabs>
          <w:tab w:leader="none" w:pos="15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Systems serving the Premises (including, without limitation, exterior lighting and supplemental life safety systems relating to Tenant’s use of the Premises, specialty sprinkler systems and fire suppression systems);</w:t>
      </w:r>
    </w:p>
    <w:p>
      <w:pPr>
        <w:jc w:val="both"/>
        <w:ind w:firstLine="1304"/>
        <w:spacing w:after="0" w:line="239" w:lineRule="auto"/>
        <w:tabs>
          <w:tab w:leader="none" w:pos="1615" w:val="left"/>
        </w:tabs>
        <w:numPr>
          <w:ilvl w:val="2"/>
          <w:numId w:val="90"/>
        </w:numPr>
        <w:rPr>
          <w:rFonts w:ascii="Arial" w:cs="Arial" w:eastAsia="Arial" w:hAnsi="Arial"/>
          <w:sz w:val="20"/>
          <w:szCs w:val="20"/>
          <w:color w:val="auto"/>
        </w:rPr>
      </w:pPr>
      <w:r>
        <w:rPr>
          <w:rFonts w:ascii="Arial" w:cs="Arial" w:eastAsia="Arial" w:hAnsi="Arial"/>
          <w:sz w:val="20"/>
          <w:szCs w:val="20"/>
          <w:color w:val="auto"/>
        </w:rPr>
        <w:t>all fixtures and equipment in the Premises, Building and Project (including, without limitation, the floor/concrete slab, subfloors and floor coverings, all interior and exterior doors and windows, all dock equipment (including dock doors, levelers, bumpers, dock shelters, ramps and dock lights) and all telephone, telecommunications, data and other communication lines and equipment);</w:t>
      </w:r>
    </w:p>
    <w:p>
      <w:pPr>
        <w:spacing w:after="0" w:line="1" w:lineRule="exact"/>
        <w:rPr>
          <w:rFonts w:ascii="Arial" w:cs="Arial" w:eastAsia="Arial" w:hAnsi="Arial"/>
          <w:sz w:val="20"/>
          <w:szCs w:val="20"/>
          <w:color w:val="auto"/>
        </w:rPr>
      </w:pPr>
    </w:p>
    <w:p>
      <w:pPr>
        <w:ind w:left="1580" w:hanging="276"/>
        <w:spacing w:after="0"/>
        <w:tabs>
          <w:tab w:leader="none" w:pos="1580" w:val="left"/>
        </w:tabs>
        <w:numPr>
          <w:ilvl w:val="2"/>
          <w:numId w:val="90"/>
        </w:numPr>
        <w:rPr>
          <w:rFonts w:ascii="Arial" w:cs="Arial" w:eastAsia="Arial" w:hAnsi="Arial"/>
          <w:sz w:val="20"/>
          <w:szCs w:val="20"/>
          <w:color w:val="auto"/>
        </w:rPr>
      </w:pPr>
      <w:r>
        <w:rPr>
          <w:rFonts w:ascii="Arial" w:cs="Arial" w:eastAsia="Arial" w:hAnsi="Arial"/>
          <w:sz w:val="20"/>
          <w:szCs w:val="20"/>
          <w:color w:val="auto"/>
        </w:rPr>
        <w:t>any fencing exclusively serving the Premises;</w:t>
      </w:r>
    </w:p>
    <w:p>
      <w:pPr>
        <w:ind w:left="1580" w:hanging="276"/>
        <w:spacing w:after="0"/>
        <w:tabs>
          <w:tab w:leader="none" w:pos="1580" w:val="left"/>
        </w:tabs>
        <w:numPr>
          <w:ilvl w:val="2"/>
          <w:numId w:val="90"/>
        </w:numPr>
        <w:rPr>
          <w:rFonts w:ascii="Arial" w:cs="Arial" w:eastAsia="Arial" w:hAnsi="Arial"/>
          <w:sz w:val="20"/>
          <w:szCs w:val="20"/>
          <w:color w:val="auto"/>
        </w:rPr>
      </w:pPr>
      <w:r>
        <w:rPr>
          <w:rFonts w:ascii="Arial" w:cs="Arial" w:eastAsia="Arial" w:hAnsi="Arial"/>
          <w:sz w:val="20"/>
          <w:szCs w:val="20"/>
          <w:color w:val="auto"/>
        </w:rPr>
        <w:t>all utility lines, hook ups and connections;</w:t>
      </w:r>
    </w:p>
    <w:p>
      <w:pPr>
        <w:jc w:val="both"/>
        <w:ind w:firstLine="1304"/>
        <w:spacing w:after="0" w:line="239" w:lineRule="auto"/>
        <w:tabs>
          <w:tab w:leader="none" w:pos="1594" w:val="left"/>
        </w:tabs>
        <w:numPr>
          <w:ilvl w:val="2"/>
          <w:numId w:val="90"/>
        </w:numPr>
        <w:rPr>
          <w:rFonts w:ascii="Arial" w:cs="Arial" w:eastAsia="Arial" w:hAnsi="Arial"/>
          <w:sz w:val="20"/>
          <w:szCs w:val="20"/>
          <w:color w:val="auto"/>
        </w:rPr>
      </w:pPr>
      <w:r>
        <w:rPr>
          <w:rFonts w:ascii="Arial" w:cs="Arial" w:eastAsia="Arial" w:hAnsi="Arial"/>
          <w:sz w:val="20"/>
          <w:szCs w:val="20"/>
          <w:color w:val="auto"/>
        </w:rPr>
        <w:t>the roof membrane and the non-structural portions of the Building exterior walls (including, without limitation, exterior façade painting and caulk repair) and roof (including, without limitation, insulation, flashings and membrane); and</w:t>
      </w:r>
    </w:p>
    <w:p>
      <w:pPr>
        <w:spacing w:after="0" w:line="1" w:lineRule="exact"/>
        <w:rPr>
          <w:rFonts w:ascii="Arial" w:cs="Arial" w:eastAsia="Arial" w:hAnsi="Arial"/>
          <w:sz w:val="20"/>
          <w:szCs w:val="20"/>
          <w:color w:val="auto"/>
        </w:rPr>
      </w:pPr>
    </w:p>
    <w:p>
      <w:pPr>
        <w:jc w:val="both"/>
        <w:ind w:firstLine="1304"/>
        <w:spacing w:after="0"/>
        <w:tabs>
          <w:tab w:leader="none" w:pos="1550" w:val="left"/>
        </w:tabs>
        <w:numPr>
          <w:ilvl w:val="2"/>
          <w:numId w:val="90"/>
        </w:numPr>
        <w:rPr>
          <w:rFonts w:ascii="Arial" w:cs="Arial" w:eastAsia="Arial" w:hAnsi="Arial"/>
          <w:sz w:val="20"/>
          <w:szCs w:val="20"/>
          <w:color w:val="auto"/>
        </w:rPr>
      </w:pPr>
      <w:r>
        <w:rPr>
          <w:rFonts w:ascii="Arial" w:cs="Arial" w:eastAsia="Arial" w:hAnsi="Arial"/>
          <w:sz w:val="20"/>
          <w:szCs w:val="20"/>
          <w:color w:val="auto"/>
        </w:rPr>
        <w:t>exterior landscaping, sidewalks, parking areas loading areas and driveways. In addition to the foregoing, Tenant, at its sole cost, shall be responsible for the following: security; interior pest control; interior window cleaning; janitorial; trash and recyclables collection services (including dumpsters); elevators; office/warehouse lighting (including all bulbs and ballasts); and ceiling tiles. Tenant Maintenance work shall be subject to the applicable provisions of the “Alterations; Liens” Section of this Lease below.</w:t>
      </w:r>
    </w:p>
    <w:p>
      <w:pPr>
        <w:spacing w:after="0" w:line="21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At its discretion, Tenant shall either utilize its existing internal maintenance staff, or alternatively, at Tenant’s sole cost, enter into a regularly scheduled preventive maintenance/service contract (“</w:t>
      </w:r>
      <w:r>
        <w:rPr>
          <w:rFonts w:ascii="Arial" w:cs="Arial" w:eastAsia="Arial" w:hAnsi="Arial"/>
          <w:sz w:val="18"/>
          <w:szCs w:val="18"/>
          <w:b w:val="1"/>
          <w:bCs w:val="1"/>
          <w:color w:val="auto"/>
        </w:rPr>
        <w:t>Service Contract</w:t>
      </w:r>
      <w:r>
        <w:rPr>
          <w:rFonts w:ascii="Arial" w:cs="Arial" w:eastAsia="Arial" w:hAnsi="Arial"/>
          <w:sz w:val="18"/>
          <w:szCs w:val="18"/>
          <w:color w:val="auto"/>
        </w:rPr>
        <w:t xml:space="preserve">”) with a maintenance contractor reasonably acceptable to Landlord for servicing (a) HVAC System in compliance with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attached hereto, and (b) all dock equipment exclusively serving the Premises. If Tenant contracts with a maintenance contractor, Tenant shall deliver full and complete copies of the Service Contract (and any other service contracts entered into by Tenant) to Landlord at the commencement of each Lease Year and upon demand from Landlord. All Maintenance by Tenant shall utilize materials and equipment that meet or exceed the quality originally used in constructing the Building and Premises. In the event Tenant fails, in the reasonable judgment of Landlord, to Maintain the Premises, Building or Project to Landlord’s reasonable satisfaction, which failure continues at the end of 15 days following delivery of notice by Landlord to Tenant describing such failure, or in the case of an emergency immediately without prior notice, Landlord shall have the right to enter the Premises and perform such Maintenance at Tenant’s sole cost and expense (including a sum for overhead to Landlord equal to 10% of the costs of maintenance, repairs or refurbishing). Tenant shall maintain written records of Maintenance and deliver copies thereof to Landlord upon request. Notwithstanding anything contained in this Lease to the contrary, Tenant shall be solely responsible for all costs and expenses incurred by Landlord for any Alterations, or other Maintenance made necessary because of the acts or omissions of Tenant or any Tenant Party (including, without limitation, Tenant Alterations and/or Tenant Maintenance work, Tenant’s special or particular use of the Premises and Tenant voiding a warranty that would otherwise have covered a cost), in each case, to the extent not covered by applicable insurance proceeds paid to Landlord (Tenant being responsible for Landlord’s commercially reasonable deductible notwithstanding the waiver of claims set forth in the “Mutual Waiver of Subrogation” subsection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48" w:name="page149"/>
    <w:bookmarkEnd w:id="148"/>
    <w:p>
      <w:pPr>
        <w:jc w:val="both"/>
        <w:ind w:firstLine="656"/>
        <w:spacing w:after="0" w:line="243" w:lineRule="auto"/>
        <w:tabs>
          <w:tab w:leader="none" w:pos="1296" w:val="left"/>
        </w:tabs>
        <w:numPr>
          <w:ilvl w:val="1"/>
          <w:numId w:val="91"/>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 Obligations</w:t>
      </w:r>
      <w:r>
        <w:rPr>
          <w:rFonts w:ascii="Arial" w:cs="Arial" w:eastAsia="Arial" w:hAnsi="Arial"/>
          <w:sz w:val="20"/>
          <w:szCs w:val="20"/>
          <w:color w:val="auto"/>
        </w:rPr>
        <w:t>. Landlord shall only be required to maintain the structure of the Building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the structural portions of the roof (excluding the roof membrane)), at Landlord’s sole expense, without reimbursement from Tenant, unless the necessity for repairs to the same are necessitated due to the acts or omissions of Tenant or a Tenant Party (in which event Tenant shall be responsible for the cost of the same). Notwithstanding the foregoing, Landlord shall not be required to make any repairs resulting from fire or other casualty or a Taking, except as provided in “Damage and Destruction” and “Condemnation” Sections below. Tenant shall immediately notify Landlord in writing if Tenant becomes aware of (a) any areas of water intrusion or mold in or about the Premises, or (b) any condition that is Landlord’s responsibility to Maintain.</w:t>
      </w:r>
    </w:p>
    <w:p>
      <w:pPr>
        <w:spacing w:after="0" w:line="202" w:lineRule="exact"/>
        <w:rPr>
          <w:rFonts w:ascii="Arial" w:cs="Arial" w:eastAsia="Arial" w:hAnsi="Arial"/>
          <w:sz w:val="20"/>
          <w:szCs w:val="20"/>
          <w:color w:val="auto"/>
        </w:rPr>
      </w:pPr>
    </w:p>
    <w:p>
      <w:pPr>
        <w:ind w:left="660" w:hanging="652"/>
        <w:spacing w:after="0"/>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ALTERATIONS; LIENS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56"/>
        <w:spacing w:after="0" w:line="268" w:lineRule="auto"/>
        <w:tabs>
          <w:tab w:leader="none" w:pos="1296" w:val="left"/>
        </w:tabs>
        <w:numPr>
          <w:ilvl w:val="1"/>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w:t>
      </w:r>
      <w:r>
        <w:rPr>
          <w:rFonts w:ascii="Arial" w:cs="Arial" w:eastAsia="Arial" w:hAnsi="Arial"/>
          <w:sz w:val="18"/>
          <w:szCs w:val="18"/>
          <w:color w:val="auto"/>
        </w:rPr>
        <w:t>. Tenant, at its sole cost, may install necessary trade fixtures, equipment and furniture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(it being agreed that such installation shall not be deemed an Alteration), provided that the installation and removal of them will not affect any structural portion of the Project, any System or any other equipment or facilities serving the Project or any occupant. Except for any Alterations or Tenant Maintenance work that, in either instance, (a) does not exceed $10,000.00 in the aggregate, (b) is not visible from the exterior of the Premises, (c) does not affect any System or any structural components of the Project, and (d) does not require penetrations into, or work within, the floor, ceiling or walls, Tenant shall not construct, nor allow to be constructed, any Alterations or Tenant Maintenance work in the Premises or on the Project without obtaining the prior written consent of Landlord, which consent shall not be unreasonably withheld. With respect to any Alterations or Tenant Maintenance work made by or on behalf of Tenant (whether or not it requires Landlord’s consent): (a) not less than 10 days prior to commencing any Alteration or Tenant Maintenance work, Tenant shall deliver to Landlord the plans, specifications and necessary permits for the Alteration or Tenant Maintenance work, together with certificates evidencing that Tenant’s contractors and subcontractors have insurance coverage to Landlord’s reasonable satisfaction; (b) Tenant shall obtain Landlord’s prior written approval of any contractor or subcontractor; (c) the Alteration or Tenant Maintenance work shall be constructed with new materials, in a good and workmanlike manner, and in compliance with all Applicable Laws and the plans and specifications delivered to and approved by Landlord; (d) the Alteration or Tenant Maintenance work shall be completed promptly after the commencement thereof and performed in accordance with Landlord’s reasonable requirements relating to sustainability and energy efficiency; (e) Tenant shall pay Landlord all reasonable costs and expenses in connection with Landlord’s review of Tenant’s plans and specifications, and of any supervision or inspection of the construction Landlord deems necessary; and (f) upon Landlord’s request Tenant shall, prior to commencing any Alteration or Tenant Maintenance work, provide Landlord reasonable security against liens arising out of such construction. Upon completion, Tenant shall furnish Landlord with (i) “as-built” plans (in CAD format, if requested by Landlord) for Alterations, completion affidavits and full and final waivers of lien, and (ii) the warranties from Tenant’s contractor(s), which shall be for the benefit of Landlord as well as Tenant. Any Alteration by Tenant shall be the property of Tenant until the Lease Expiration Date; at that time Tenant, at its sole cost, shall remove any Alteration(s) and repair all damage caused by the installation or removal thereof and will restore the Premises or the Project to the condition existing prior to Tenant’s Alteration; provided, however, at the Lease Expiration Date, and at Landlord’s sole option, without payment by Landlord, Landlord may require Tenant to leave any Alteration(s) at the Premises, in which event they shall become the property of Landlord.</w:t>
      </w:r>
    </w:p>
    <w:p>
      <w:pPr>
        <w:spacing w:after="0" w:line="183" w:lineRule="exact"/>
        <w:rPr>
          <w:rFonts w:ascii="Arial" w:cs="Arial" w:eastAsia="Arial" w:hAnsi="Arial"/>
          <w:sz w:val="18"/>
          <w:szCs w:val="18"/>
          <w:color w:val="auto"/>
        </w:rPr>
      </w:pPr>
    </w:p>
    <w:p>
      <w:pPr>
        <w:jc w:val="both"/>
        <w:ind w:firstLine="656"/>
        <w:spacing w:after="0" w:line="246" w:lineRule="auto"/>
        <w:tabs>
          <w:tab w:leader="none" w:pos="1296" w:val="left"/>
        </w:tabs>
        <w:numPr>
          <w:ilvl w:val="1"/>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 Tenant, at its sole cost, shall promptly pay and discharge all claims for labor performed, supplies</w:t>
      </w:r>
      <w:r>
        <w:rPr>
          <w:rFonts w:ascii="Arial" w:cs="Arial" w:eastAsia="Arial" w:hAnsi="Arial"/>
          <w:sz w:val="20"/>
          <w:szCs w:val="20"/>
          <w:b w:val="1"/>
          <w:bCs w:val="1"/>
          <w:color w:val="auto"/>
        </w:rPr>
        <w:t xml:space="preserve"> </w:t>
      </w:r>
      <w:r>
        <w:rPr>
          <w:rFonts w:ascii="Arial" w:cs="Arial" w:eastAsia="Arial" w:hAnsi="Arial"/>
          <w:sz w:val="20"/>
          <w:szCs w:val="20"/>
          <w:color w:val="auto"/>
        </w:rPr>
        <w:t>furnished and services rendered at the request of Tenant and shall keep the Premises free of all mechanics’ and materialmen’s liens. Tenant, at its sole cost, shall remove any such lien within 15 days after notice from Landlord. If Tenant fails to do so, an Event of Default by Tenant shall have occurred, and Landlord may bond, insure over or pay the amount necessary to cause such removal, whether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49" w:name="page150"/>
    <w:bookmarkEnd w:id="149"/>
    <w:p>
      <w:pPr>
        <w:ind w:right="20"/>
        <w:spacing w:after="0" w:line="260" w:lineRule="auto"/>
        <w:rPr>
          <w:sz w:val="20"/>
          <w:szCs w:val="20"/>
          <w:color w:val="auto"/>
        </w:rPr>
      </w:pPr>
      <w:r>
        <w:rPr>
          <w:rFonts w:ascii="Arial" w:cs="Arial" w:eastAsia="Arial" w:hAnsi="Arial"/>
          <w:sz w:val="20"/>
          <w:szCs w:val="20"/>
          <w:color w:val="auto"/>
        </w:rPr>
        <w:t>or not such lien is valid, and charge the Tenant such amount, together with reasonable attorneys’ fees and expenses, in addition to all other remedies Landlord has under this Lease, at law or in equity.</w:t>
      </w:r>
    </w:p>
    <w:p>
      <w:pPr>
        <w:spacing w:after="0" w:line="184" w:lineRule="exact"/>
        <w:rPr>
          <w:sz w:val="20"/>
          <w:szCs w:val="20"/>
          <w:color w:val="auto"/>
        </w:rPr>
      </w:pPr>
    </w:p>
    <w:p>
      <w:pPr>
        <w:jc w:val="both"/>
        <w:ind w:firstLine="8"/>
        <w:spacing w:after="0" w:line="255" w:lineRule="auto"/>
        <w:tabs>
          <w:tab w:leader="none" w:pos="648" w:val="left"/>
        </w:tabs>
        <w:numPr>
          <w:ilvl w:val="0"/>
          <w:numId w:val="93"/>
        </w:numPr>
        <w:rPr>
          <w:rFonts w:ascii="Arial" w:cs="Arial" w:eastAsia="Arial" w:hAnsi="Arial"/>
          <w:sz w:val="19"/>
          <w:szCs w:val="19"/>
          <w:color w:val="auto"/>
        </w:rPr>
      </w:pPr>
      <w:r>
        <w:rPr>
          <w:rFonts w:ascii="Arial" w:cs="Arial" w:eastAsia="Arial" w:hAnsi="Arial"/>
          <w:sz w:val="19"/>
          <w:szCs w:val="19"/>
          <w:b w:val="1"/>
          <w:bCs w:val="1"/>
          <w:u w:val="single" w:color="auto"/>
          <w:color w:val="auto"/>
        </w:rPr>
        <w:t>LANDLORD’S RIGHT OF ENTRY</w:t>
      </w:r>
      <w:r>
        <w:rPr>
          <w:rFonts w:ascii="Arial" w:cs="Arial" w:eastAsia="Arial" w:hAnsi="Arial"/>
          <w:sz w:val="19"/>
          <w:szCs w:val="19"/>
          <w:color w:val="auto"/>
        </w:rPr>
        <w:t>. Landlord reserves the right to enter the Premises upon reasonable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Tenant (including by telephone or email) and without notice in case of an emergency, and to undertake the following: (i) to inspect, monitor, investigate, test or Maintain the Premises and/or the Project; (ii) to verify Tenant is complying with its obligations hereunder; (iii) to perform Landlord’s obligations hereunder; (iv) to make permitted, or inspect Tenant’s, Alterations; (v) to install, use, Maintain, alter or relocate any pipes, ducts, conduits, wires, equipment and other facilities at the Project; (vi) to install, Maintain and operate conduit cabling within the utility and/or conduit ducts and risers at the Project; or (vii) to show the Premises for the purpose of sale, insurance or financing, and, during the last 12 months of the Term (or following any Event of Default), leasing the Premises to another tenant. If reasonably necessary, Landlord may temporarily close all or a portion of the Premises to perform repairs, alterations and additions. However, except in emergencies, Landlord will not close the Premises if the work can reasonably be completed on weekends and after normal business hours. Landlord will make reasonable efforts not to inconvenience Tenant in exercising such rights. The entry and authority granted to Landlord under this Section shall not constitute a constructive eviction or entitle Tenant to an abatement or reduction of Rent.</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Landlord acknowledges that, consistent with Tenant’s Permitted Use under this Lease, Tenant is required to comply with the export control laws and regulations of the United States Department of Commerce, the United States Department of State, and other United States government agencies relating to the export of (i.e., the sharing of or access to) commercial or military technology, including but not limited to the U.S. Arms Export Control Act, as amended, the International Traffic in Arms Regulations (ITAR), the Export Administration Regulations (EAR), the Export Administration Act, as amended, the Foreign Assets Control Regulations (collectively, “Export Control Laws”). These Export Control Laws require Tenant to obtain information concerning the citizenship or immigrant status of all persons who enter or otherwise seek access to the Project if such entry involves access to areas containing “Technical Data” as defined by applicable law. Landlord acknowledges and agrees to furnish such information for all of Landlord’s employees, representatives, or agents before such individuals enter or otherwise access the Project, and that, except in the event of an emergency, Tenant may deny entry or access to the Project by such persons if such information is not furnished. Landlord further acknowledges and agrees that if any of its employees, representative, or agents are “Foreign Persons” as defined by applicable law, that Tenant may deny entry or access to the Project by such persons, consist with the Export Control Laws. If Tenant denies entry to Landlord or Landlord’s employees, representatives, or agents, then in no event shall Landlord have any liability or otherwise be in default with respect to Landlord’s inability to perform, or delay in the performance of, Landlord’s obligations resulting therefrom.</w:t>
      </w:r>
    </w:p>
    <w:p>
      <w:pPr>
        <w:spacing w:after="0" w:line="335" w:lineRule="exact"/>
        <w:rPr>
          <w:sz w:val="20"/>
          <w:szCs w:val="20"/>
          <w:color w:val="auto"/>
        </w:rPr>
      </w:pPr>
    </w:p>
    <w:p>
      <w:pPr>
        <w:jc w:val="both"/>
        <w:ind w:firstLine="8"/>
        <w:spacing w:after="0" w:line="256" w:lineRule="auto"/>
        <w:tabs>
          <w:tab w:leader="none" w:pos="648" w:val="left"/>
        </w:tabs>
        <w:numPr>
          <w:ilvl w:val="0"/>
          <w:numId w:val="94"/>
        </w:numPr>
        <w:rPr>
          <w:rFonts w:ascii="Arial" w:cs="Arial" w:eastAsia="Arial" w:hAnsi="Arial"/>
          <w:sz w:val="19"/>
          <w:szCs w:val="19"/>
          <w:color w:val="auto"/>
        </w:rPr>
      </w:pPr>
      <w:r>
        <w:rPr>
          <w:rFonts w:ascii="Arial" w:cs="Arial" w:eastAsia="Arial" w:hAnsi="Arial"/>
          <w:sz w:val="19"/>
          <w:szCs w:val="19"/>
          <w:b w:val="1"/>
          <w:bCs w:val="1"/>
          <w:u w:val="single" w:color="auto"/>
          <w:color w:val="auto"/>
        </w:rPr>
        <w:t>ENVIRONMENTAL MATTERS</w:t>
      </w:r>
      <w:r>
        <w:rPr>
          <w:rFonts w:ascii="Arial" w:cs="Arial" w:eastAsia="Arial" w:hAnsi="Arial"/>
          <w:sz w:val="19"/>
          <w:szCs w:val="19"/>
          <w:color w:val="auto"/>
        </w:rPr>
        <w:t>. Tenant shall not cause nor permit, nor allow any of Tenant’s Parties to cause or</w:t>
      </w:r>
      <w:r>
        <w:rPr>
          <w:rFonts w:ascii="Arial" w:cs="Arial" w:eastAsia="Arial" w:hAnsi="Arial"/>
          <w:sz w:val="19"/>
          <w:szCs w:val="19"/>
          <w:b w:val="1"/>
          <w:bCs w:val="1"/>
          <w:color w:val="auto"/>
        </w:rPr>
        <w:t xml:space="preserve"> </w:t>
      </w:r>
      <w:r>
        <w:rPr>
          <w:rFonts w:ascii="Arial" w:cs="Arial" w:eastAsia="Arial" w:hAnsi="Arial"/>
          <w:sz w:val="19"/>
          <w:szCs w:val="19"/>
          <w:color w:val="auto"/>
        </w:rPr>
        <w:t>permit, any Hazardous Materials to be brought upon, stored, manufactured, generated, blended, handled, recycled, treated, disposed or used on, in, under or about the Premises or the Project, except for routine office and janitorial supplies in usual and customary quantities stored, used and disposed of in accordance with all applicable Environmental Laws. Tenant shall not install, operate or maintain any above or below grade tank, sump, pit, pond, lagoon or other storage or treatment vessel or device at the Project without Landlord’s prior written consent which may be withheld in Landlord’s sole discretion. Tenant shall neither create nor suffer to exist, nor permit any Tenant Party to create or suffer to exist, any lien, security interest or other charge or encumbrance of any kind with respect to the Project, including without limitation, any lien imposed pursuant to Section 107(f) of the Superfund Amendments and Reauthorization Act of 1986 (42 U.S.C. Section 9607(1)) or any similar state statute. As defined in Environmental Laws, Tenant is and shall be deemed to be the “operator” of Tenant’s “facility” and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0" w:name="page151"/>
    <w:bookmarkEnd w:id="150"/>
    <w:p>
      <w:pPr>
        <w:jc w:val="both"/>
        <w:spacing w:after="0" w:line="267" w:lineRule="auto"/>
        <w:rPr>
          <w:sz w:val="20"/>
          <w:szCs w:val="20"/>
          <w:color w:val="auto"/>
        </w:rPr>
      </w:pPr>
      <w:r>
        <w:rPr>
          <w:rFonts w:ascii="Arial" w:cs="Arial" w:eastAsia="Arial" w:hAnsi="Arial"/>
          <w:sz w:val="18"/>
          <w:szCs w:val="18"/>
          <w:color w:val="auto"/>
        </w:rPr>
        <w:t>“owner” of all Hazardous Materials brought on the Premises by Tenant, its agents, employees, contractors or invitees, and the wastes, by-products, or residues generated, resulting, or produced therefrom. Tenant and Tenant’s Parties shall immediately notify Landlord and the respective property manager in writing of the violation of any Environmental Law or presence or suspected presence of any Hazardous Materials (other than office and janitorial supplies as permitted above) in, on, under or about the Premises or the improvements or the soil or groundwater thereunder. Landlord shall have the right to enter upon and inspect the Premises and to conduct tests, monitoring and investigations. Within 10 days following receipt by Tenant of a written request therefor from Landlord (which request shall not be made more often than annually), Tenant shall disclose to Landlord in writing the names and amounts of all Hazardous Materials, or any combination thereof, which were stored, generated, used or disposed of on, in, under or about the Premises for the 12-month period prior to and after each such request, or which Tenant intends to store, generate, use or dispose of on, in, under or about the Premises. Similarly, within 10 days of written request from Landlord, Tenant will complete a certification as to its compliance with this Section. Landlord may conduct environmental testing, including “Phase I”, around the Lease Expiration Date and treat as an Operating Expense. Tenant shall indemnify, protect, defend (by counsel acceptable to Landlord) and hold harmless the Indemnitees from and against any and all Losses of or in connection with (a) Tenant and/or any Tenant Party’s breach of this Section, or (b) the presence of Hazardous Materials on, in, under or about the Premises, the Land, the Project or other property as a result (directly or indirectly) of Tenant’s and/or any Tenant Party’s activities, or failure to act, in connection with the Premises, the Project or this Lease. This indemnity shall include, without limitation, any Losses arising from or in connection with (i) the effects of any contamination or injury to person, property or the environment created or suffered by Tenant or a Tenant Party, (ii) the cost of any required or necessary repair, cleanup or detoxification, and the preparation and implementation of any closure, monitoring or other required plans, whether such action is required or necessary prior to or following the termination of this Lease, (iii) interest, penalties and damages arising from claims brought by or on behalf of employees of Tenant (with respect to which Tenant waives any right to raise as a defense against Landlord any immunity to which it may be entitled under any industrial or worker’s compensation laws), and (iv) fees, costs or expenses incurred for the services of attorneys, consultants, contractors, experts, laboratories, and all other costs incurred in connection with the investigation, monitoring or remediation of such Hazardous Materials or violation of such Environmental Laws. Landlord shall have the right to direct any and all remediation activities, all of which shall be performed at Tenant’s sole cost. Neither the written consent by Landlord to the presence of Hazardous Materials on, in, under or about the Premises, nor the strict compliance by Tenant with all Environmental Laws, shall excuse Tenant from Tenant’s obligation of indemnification pursuant hereto. Tenant’s obligations pursuant to the foregoing indemnity shall survive the Lease Expiration Date.</w:t>
      </w:r>
    </w:p>
    <w:p>
      <w:pPr>
        <w:spacing w:after="0" w:line="201" w:lineRule="exact"/>
        <w:rPr>
          <w:sz w:val="20"/>
          <w:szCs w:val="20"/>
          <w:color w:val="auto"/>
        </w:rPr>
      </w:pPr>
    </w:p>
    <w:p>
      <w:pPr>
        <w:jc w:val="both"/>
        <w:ind w:firstLine="8"/>
        <w:spacing w:after="0" w:line="270"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DAMAGE AND DESTRUCTION</w:t>
      </w:r>
      <w:r>
        <w:rPr>
          <w:rFonts w:ascii="Arial" w:cs="Arial" w:eastAsia="Arial" w:hAnsi="Arial"/>
          <w:sz w:val="18"/>
          <w:szCs w:val="18"/>
          <w:color w:val="auto"/>
        </w:rPr>
        <w:t>. If at any time during the Term all or a portion of the Premises are damaged by</w:t>
      </w:r>
      <w:r>
        <w:rPr>
          <w:rFonts w:ascii="Arial" w:cs="Arial" w:eastAsia="Arial" w:hAnsi="Arial"/>
          <w:sz w:val="18"/>
          <w:szCs w:val="18"/>
          <w:b w:val="1"/>
          <w:bCs w:val="1"/>
          <w:color w:val="auto"/>
        </w:rPr>
        <w:t xml:space="preserve"> </w:t>
      </w:r>
      <w:r>
        <w:rPr>
          <w:rFonts w:ascii="Arial" w:cs="Arial" w:eastAsia="Arial" w:hAnsi="Arial"/>
          <w:sz w:val="18"/>
          <w:szCs w:val="18"/>
          <w:color w:val="auto"/>
        </w:rPr>
        <w:t>a fire or other casualty, then Tenant shall promptly notify Landlord. Within 60 days after Landlord becomes aware of such damage, Landlord shall inform Tenant of the amount of time Landlord reasonably estimates to restore the Premises (including the restoration of any Alteration made by Landlord), except for modifications required by Applicable Laws, and excluding the repair, restoration or replacement of the fixtures, equipment, or Alterations made by Tenant or a Tenant Party. If the restoration time is estimated to exceed 9 months from the issuance of all required permits, then either Tenant (unless the damage was caused by Tenant’s negligence or intentional act) or Landlord may elect to terminate this Lease effective as of the date of fire or other casualty by giving notice to the other within 15 days after Landlord’s notice, and Tenant shall promptly remove any salvageable personal property it seeks to retain from the Premises if Landlord deems the Premises safe for entry. In addition, Landlord shall have the right to terminate this Lease, if the loss is not covered by insurance, within 30 days of receiving notice of this fact. If this Lease is not, or cannot be, terminated in accordance with the foregoing, then, subject to receipt of sufficient insurance proceeds and delays due to Force Majeure, Landlord shall commence to restore the Premises (including any Alterations made by Landlord) to substantially the same condition that existed immediately prior to the fire or other casualty, except for modifications required by Applicable Laws,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1" w:name="page152"/>
    <w:bookmarkEnd w:id="151"/>
    <w:p>
      <w:pPr>
        <w:jc w:val="both"/>
        <w:spacing w:after="0" w:line="255" w:lineRule="auto"/>
        <w:rPr>
          <w:sz w:val="20"/>
          <w:szCs w:val="20"/>
          <w:color w:val="auto"/>
        </w:rPr>
      </w:pPr>
      <w:r>
        <w:rPr>
          <w:rFonts w:ascii="Arial" w:cs="Arial" w:eastAsia="Arial" w:hAnsi="Arial"/>
          <w:sz w:val="19"/>
          <w:szCs w:val="19"/>
          <w:color w:val="auto"/>
        </w:rPr>
        <w:t>excluding the repair, restoration or replacement of the fixtures, equipment, or Alterations made by Tenant or a Tenant Party. Notwithstanding the foregoing, each of Tenant (unless the damage was caused by Tenant’s negligence or intentional act) and Landlord may terminate this Lease if the Premises are damaged by a fire or other casualty during the last year of the Term and Landlord reasonably estimates that it will take more than 3 months to repair such damage. Rent shall be abated from the time of a fire or other casualty until Landlord’s repair and restoration obligations are completed by the percentage equal to the area of the Premises that is untenantable, if any, divided by the total area of the Premises. Such abatement shall be the sole remedy of Tenant, and except as provided in this Section, Tenant waives any right to terminate this Lease by reason of damage or casualty loss. Landlord shall not be liable for any inconvenience to Tenant, or injury to Tenant’s business resulting in any way from a fire or other casualty or the repair thereof. Tenant shall not interfere with or delay, and instead cooperate with Landlord, in Landlord’s completion of Landlord’s repair and restoration obligations. Tenant agrees that the terms of this Section shall govern any damage or destruction and shall accordingly supersede any contrary statute or rule of law.</w:t>
      </w:r>
    </w:p>
    <w:p>
      <w:pPr>
        <w:spacing w:after="0" w:line="192" w:lineRule="exact"/>
        <w:rPr>
          <w:sz w:val="20"/>
          <w:szCs w:val="20"/>
          <w:color w:val="auto"/>
        </w:rPr>
      </w:pPr>
    </w:p>
    <w:p>
      <w:pPr>
        <w:jc w:val="both"/>
        <w:ind w:firstLine="8"/>
        <w:spacing w:after="0" w:line="254" w:lineRule="auto"/>
        <w:tabs>
          <w:tab w:leader="none" w:pos="648" w:val="left"/>
        </w:tabs>
        <w:numPr>
          <w:ilvl w:val="0"/>
          <w:numId w:val="96"/>
        </w:numPr>
        <w:rPr>
          <w:rFonts w:ascii="Arial" w:cs="Arial" w:eastAsia="Arial" w:hAnsi="Arial"/>
          <w:sz w:val="19"/>
          <w:szCs w:val="19"/>
          <w:color w:val="auto"/>
        </w:rPr>
      </w:pPr>
      <w:r>
        <w:rPr>
          <w:rFonts w:ascii="Arial" w:cs="Arial" w:eastAsia="Arial" w:hAnsi="Arial"/>
          <w:sz w:val="19"/>
          <w:szCs w:val="19"/>
          <w:b w:val="1"/>
          <w:bCs w:val="1"/>
          <w:u w:val="single" w:color="auto"/>
          <w:color w:val="auto"/>
        </w:rPr>
        <w:t>CONDEMNATION</w:t>
      </w:r>
      <w:r>
        <w:rPr>
          <w:rFonts w:ascii="Arial" w:cs="Arial" w:eastAsia="Arial" w:hAnsi="Arial"/>
          <w:sz w:val="19"/>
          <w:szCs w:val="19"/>
          <w:color w:val="auto"/>
        </w:rPr>
        <w:t>. If all of the Premises is Taken, then this Lease shall terminate. If any part of the Premises is</w:t>
      </w:r>
      <w:r>
        <w:rPr>
          <w:rFonts w:ascii="Arial" w:cs="Arial" w:eastAsia="Arial" w:hAnsi="Arial"/>
          <w:sz w:val="19"/>
          <w:szCs w:val="19"/>
          <w:b w:val="1"/>
          <w:bCs w:val="1"/>
          <w:color w:val="auto"/>
        </w:rPr>
        <w:t xml:space="preserve"> </w:t>
      </w:r>
      <w:r>
        <w:rPr>
          <w:rFonts w:ascii="Arial" w:cs="Arial" w:eastAsia="Arial" w:hAnsi="Arial"/>
          <w:sz w:val="19"/>
          <w:szCs w:val="19"/>
          <w:color w:val="auto"/>
        </w:rPr>
        <w:t>Taken and (i) Landlord determines the Taking would materially interfere with or impair its ownership or operation of the Project, (ii) Landlord determines the portion not Taken is insufficient in Landlord’s discretion for the reasonable operation of Tenant’s business, or (iii) in Landlord’s opinion it would be impractical or the condemnation proceeds insufficient to restore the remainder, then, in each case, upon written notice by Landlord, this Lease shall terminate. In the event this Lease is terminated in accordance with either of the foregoing sentences, then this Lease shall terminate as of the date the condemning authority takes possession and Rent shall be apportioned as of said date. If this Lease is not terminated after a Taking, then, subject to any delays due to Force Majeure, Landlord shall restore the Premises (including any Alterations made by Landlord) to a condition as near as reasonably possible to the condition prior to the Taking (except for modifications required by Applicable Laws, and excluding the repair, restoration or replacement of the fixtures, equipment, or Alterations made by Tenant or a Tenant Party), and the Rent payable hereunder during the unexpired Term shall be reduced to reflect the Taking as reasonably determined by Landlord. In the event of any such Taking, Landlord shall be entitled to receive the entire price or award from any such Taking without any payment to Tenant, and Tenant hereby assigns to Landlord Tenant’s interest, if any, in such award. Tenant shall have the right, to the extent the same shall not diminish Landlord’s award, to make a separate claim against the condemning authority (but not Landlord) for compensation for moving expenses and damage to Tenant’s trade fixtures, if a separate award for such items can be made to Tenant. Tenant agrees that the terms of this Section shall govern any Taking and shall accordingly supersede any contrary statute or rule of law.</w:t>
      </w:r>
    </w:p>
    <w:p>
      <w:pPr>
        <w:spacing w:after="0" w:line="198" w:lineRule="exact"/>
        <w:rPr>
          <w:rFonts w:ascii="Arial" w:cs="Arial" w:eastAsia="Arial" w:hAnsi="Arial"/>
          <w:sz w:val="19"/>
          <w:szCs w:val="19"/>
          <w:color w:val="auto"/>
        </w:rPr>
      </w:pPr>
    </w:p>
    <w:p>
      <w:pPr>
        <w:ind w:left="660" w:hanging="652"/>
        <w:spacing w:after="0"/>
        <w:tabs>
          <w:tab w:leader="none" w:pos="660" w:val="left"/>
        </w:tabs>
        <w:numPr>
          <w:ilvl w:val="0"/>
          <w:numId w:val="96"/>
        </w:numPr>
        <w:rPr>
          <w:rFonts w:ascii="Arial" w:cs="Arial" w:eastAsia="Arial" w:hAnsi="Arial"/>
          <w:sz w:val="20"/>
          <w:szCs w:val="20"/>
          <w:color w:val="auto"/>
        </w:rPr>
      </w:pPr>
      <w:r>
        <w:rPr>
          <w:rFonts w:ascii="Arial" w:cs="Arial" w:eastAsia="Arial" w:hAnsi="Arial"/>
          <w:sz w:val="20"/>
          <w:szCs w:val="20"/>
          <w:b w:val="1"/>
          <w:bCs w:val="1"/>
          <w:u w:val="single" w:color="auto"/>
          <w:color w:val="auto"/>
        </w:rPr>
        <w:t>DEFAULT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648"/>
        <w:spacing w:after="0" w:line="267"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Event of Default</w:t>
      </w:r>
      <w:r>
        <w:rPr>
          <w:rFonts w:ascii="Arial" w:cs="Arial" w:eastAsia="Arial" w:hAnsi="Arial"/>
          <w:sz w:val="20"/>
          <w:szCs w:val="20"/>
          <w:color w:val="auto"/>
        </w:rPr>
        <w:t>. The occurrence of any of the following events shall, at Landlord’s option, constitute an “</w:t>
      </w:r>
      <w:r>
        <w:rPr>
          <w:rFonts w:ascii="Arial" w:cs="Arial" w:eastAsia="Arial" w:hAnsi="Arial"/>
          <w:sz w:val="20"/>
          <w:szCs w:val="20"/>
          <w:b w:val="1"/>
          <w:bCs w:val="1"/>
          <w:color w:val="auto"/>
        </w:rPr>
        <w:t>Event of Default</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ind w:right="20" w:firstLine="1304"/>
        <w:spacing w:after="0" w:line="287" w:lineRule="auto"/>
        <w:tabs>
          <w:tab w:leader="none" w:pos="1944" w:val="left"/>
        </w:tabs>
        <w:numPr>
          <w:ilvl w:val="2"/>
          <w:numId w:val="96"/>
        </w:numPr>
        <w:rPr>
          <w:rFonts w:ascii="Arial" w:cs="Arial" w:eastAsia="Arial" w:hAnsi="Arial"/>
          <w:sz w:val="19"/>
          <w:szCs w:val="19"/>
          <w:color w:val="auto"/>
        </w:rPr>
      </w:pPr>
      <w:r>
        <w:rPr>
          <w:rFonts w:ascii="Arial" w:cs="Arial" w:eastAsia="Arial" w:hAnsi="Arial"/>
          <w:sz w:val="19"/>
          <w:szCs w:val="19"/>
          <w:color w:val="auto"/>
        </w:rPr>
        <w:t>Tenant fails to pay in full any and all Rent when due and, if written notice to the Tenant of such failure is required under this Lease, the failure continues for a period of 3 days after written notice to Tenant.</w:t>
      </w:r>
    </w:p>
    <w:p>
      <w:pPr>
        <w:spacing w:after="0" w:line="165" w:lineRule="exact"/>
        <w:rPr>
          <w:rFonts w:ascii="Arial" w:cs="Arial" w:eastAsia="Arial" w:hAnsi="Arial"/>
          <w:sz w:val="19"/>
          <w:szCs w:val="19"/>
          <w:color w:val="auto"/>
        </w:rPr>
      </w:pPr>
    </w:p>
    <w:p>
      <w:pPr>
        <w:jc w:val="both"/>
        <w:ind w:firstLine="1304"/>
        <w:spacing w:after="0" w:line="244" w:lineRule="auto"/>
        <w:tabs>
          <w:tab w:leader="none" w:pos="1944" w:val="left"/>
        </w:tabs>
        <w:numPr>
          <w:ilvl w:val="2"/>
          <w:numId w:val="96"/>
        </w:numPr>
        <w:rPr>
          <w:rFonts w:ascii="Arial" w:cs="Arial" w:eastAsia="Arial" w:hAnsi="Arial"/>
          <w:sz w:val="20"/>
          <w:szCs w:val="20"/>
          <w:color w:val="auto"/>
        </w:rPr>
      </w:pPr>
      <w:r>
        <w:rPr>
          <w:rFonts w:ascii="Arial" w:cs="Arial" w:eastAsia="Arial" w:hAnsi="Arial"/>
          <w:sz w:val="20"/>
          <w:szCs w:val="20"/>
          <w:color w:val="auto"/>
        </w:rPr>
        <w:t>Tenant or any guarantor of Tenant’s obligations hereunder (a) makes a general assignment for the benefit of creditors, (b) commences any Proceeding for Debt Relief, (c) becomes the subject of any Proceeding for Debt Relief that is not dismissed within 60 days of its filing or entry, or (d) dies or suffers a legal disability (if Tenant or Guarantor is an individual) or is dissolved or fails to maintain its legal existence (if Tenant or Guarantor is a corporation, partnership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2" w:name="page153"/>
    <w:bookmarkEnd w:id="152"/>
    <w:p>
      <w:pPr>
        <w:ind w:left="1960" w:hanging="656"/>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Tenant enters into or permits any Transfer in violation of the “Assignment and Subletting”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p>
      <w:pPr>
        <w:ind w:left="1960" w:hanging="656"/>
        <w:spacing w:after="0"/>
        <w:tabs>
          <w:tab w:leader="none" w:pos="196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Tenant fails to maintain insurance as required by the “Insurance” Section above.</w:t>
      </w:r>
    </w:p>
    <w:p>
      <w:pPr>
        <w:spacing w:after="0" w:line="229" w:lineRule="exact"/>
        <w:rPr>
          <w:rFonts w:ascii="Arial" w:cs="Arial" w:eastAsia="Arial" w:hAnsi="Arial"/>
          <w:sz w:val="20"/>
          <w:szCs w:val="20"/>
          <w:color w:val="auto"/>
        </w:rPr>
      </w:pPr>
    </w:p>
    <w:p>
      <w:pPr>
        <w:jc w:val="both"/>
        <w:ind w:firstLine="1304"/>
        <w:spacing w:after="0" w:line="246" w:lineRule="auto"/>
        <w:tabs>
          <w:tab w:leader="none" w:pos="1944" w:val="left"/>
        </w:tabs>
        <w:numPr>
          <w:ilvl w:val="1"/>
          <w:numId w:val="98"/>
        </w:numPr>
        <w:rPr>
          <w:rFonts w:ascii="Arial" w:cs="Arial" w:eastAsia="Arial" w:hAnsi="Arial"/>
          <w:sz w:val="20"/>
          <w:szCs w:val="20"/>
          <w:color w:val="auto"/>
        </w:rPr>
      </w:pPr>
      <w:r>
        <w:rPr>
          <w:rFonts w:ascii="Arial" w:cs="Arial" w:eastAsia="Arial" w:hAnsi="Arial"/>
          <w:sz w:val="20"/>
          <w:szCs w:val="20"/>
          <w:color w:val="auto"/>
        </w:rPr>
        <w:t>Tenant fails to observe or comply with any provision of this Lease and, if written notice to the Tenant of such failure is required under this Lease, the failure continues for a period of 10 days after written notice to Tenant (extended to 30 days if the default cannot reasonably be cured within such 10 days, and Tenant has begun to cure the default).</w:t>
      </w:r>
    </w:p>
    <w:p>
      <w:pPr>
        <w:spacing w:after="0" w:line="198" w:lineRule="exact"/>
        <w:rPr>
          <w:rFonts w:ascii="Arial" w:cs="Arial" w:eastAsia="Arial" w:hAnsi="Arial"/>
          <w:sz w:val="20"/>
          <w:szCs w:val="20"/>
          <w:color w:val="auto"/>
        </w:rPr>
      </w:pPr>
    </w:p>
    <w:p>
      <w:pPr>
        <w:jc w:val="both"/>
        <w:ind w:firstLine="656"/>
        <w:spacing w:after="0" w:line="253" w:lineRule="auto"/>
        <w:tabs>
          <w:tab w:leader="none" w:pos="1296" w:val="left"/>
        </w:tabs>
        <w:numPr>
          <w:ilvl w:val="0"/>
          <w:numId w:val="99"/>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Landlord’s Remedies</w:t>
      </w:r>
      <w:r>
        <w:rPr>
          <w:rFonts w:ascii="Arial" w:cs="Arial" w:eastAsia="Arial" w:hAnsi="Arial"/>
          <w:sz w:val="20"/>
          <w:szCs w:val="20"/>
          <w:color w:val="auto"/>
        </w:rPr>
        <w:t>. Upon any Event of Default, Landlord shall have the right to pursue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remedies, without notice or demand, in addition to any other remedies available to Landlord under this Lease, at law or in equity, all of which shall be cumulative and nonexclusive:</w:t>
      </w:r>
    </w:p>
    <w:p>
      <w:pPr>
        <w:spacing w:after="0" w:line="196" w:lineRule="exact"/>
        <w:rPr>
          <w:rFonts w:ascii="Arial" w:cs="Arial" w:eastAsia="Arial" w:hAnsi="Arial"/>
          <w:sz w:val="20"/>
          <w:szCs w:val="20"/>
          <w:color w:val="auto"/>
        </w:rPr>
      </w:pPr>
    </w:p>
    <w:p>
      <w:pPr>
        <w:jc w:val="both"/>
        <w:ind w:firstLine="1304"/>
        <w:spacing w:after="0" w:line="270" w:lineRule="auto"/>
        <w:tabs>
          <w:tab w:leader="none" w:pos="19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Landlord may terminate this Lease, in which event Tenant shall immediately surrender the Premises to Landlord, and if Tenant fails to do so, Landlord may enter and take possession of the Premises and remove Tenant and any other person occupying the Premises or any part thereof, without being liable for prosecution or any claim of damages therefor; and Landlord may recover from Tenant the following: (a) all accrued and unpaid Rent accrued through the date of termination; (ii) the cost to Landlord, not yet amortized through the date of termination in accordance with generally accepted accounting principles, of the Alterations paid for and installed by Landlord pursuant to this Lease; (iii) the Costs of Reletting; (iv) the positive difference, if any, of the present value of the Rent, less the present value of the then fair market rental value for the Premises, for the remainder of the Term had this Lease not been terminated, such present value computed in each case using a discount rate of 9% per annum; (v) any damages in addition thereto, including reasonable attorneys’ fees, court costs, and collection services, and costs to remove and store Tenant’s Property, which Landlord sustains by reason of the breach of any of the terms, conditions and covenants of this Lease; and (vi) such other amounts in addition to or in lieu of the foregoing as may be permitted from time to time by law.</w:t>
      </w:r>
    </w:p>
    <w:p>
      <w:pPr>
        <w:spacing w:after="0" w:line="189" w:lineRule="exact"/>
        <w:rPr>
          <w:rFonts w:ascii="Arial" w:cs="Arial" w:eastAsia="Arial" w:hAnsi="Arial"/>
          <w:sz w:val="18"/>
          <w:szCs w:val="18"/>
          <w:color w:val="auto"/>
        </w:rPr>
      </w:pPr>
    </w:p>
    <w:p>
      <w:pPr>
        <w:jc w:val="both"/>
        <w:ind w:firstLine="1304"/>
        <w:spacing w:after="0" w:line="269" w:lineRule="auto"/>
        <w:tabs>
          <w:tab w:leader="none" w:pos="19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Landlord may enter the Premises without terminating this Lease, and in its discretion remove any property from the Premises, and relet the Premises or any part thereof for the account of Tenant, upon such terms as Landlord in Landlord’s sole discretion shall determine. Landlord shall not be required to accept any tenant offered by Tenant or to observe any instructions given by Tenant relative to such reletting. In connection with such reletting, Landlord may make repairs, alterations, and additions to the Premises to the extent deemed reasonably necessary by Landlord, and Tenant shall upon demand pay the cost thereof. Landlord may collect the rents from any such reletting and apply the same first to the payment of the repairs, alterations, additions, expenses of re-entry, attorney’s fees, court costs, collection services, and leasing commissions and second to the payment of Rent to be paid by Tenant, and any excess or residue shall operate only as an offsetting credit against the amount of Rent as the same thereafter becomes due and payable hereunder. No such re-entry or repossession, repairs, alterations and additions or reletting shall be construed as an eviction or ouster of Tenant or as an election by Landlord to terminate this Lease unless written notice thereof is delivered by Landlord to Tenant, nor shall the same operate to release the Tenant in whole or in part from any of the Tenant’s obligations hereunder. Landlord may at any time sue and recover judgment for any damages remaining after the application of proceeds from any such reletting. In the event of reletting without termination of this Lease, Landlord may at any time thereafter elect to terminate this Lease for such previous breach.</w:t>
      </w:r>
    </w:p>
    <w:p>
      <w:pPr>
        <w:spacing w:after="0" w:line="192" w:lineRule="exact"/>
        <w:rPr>
          <w:rFonts w:ascii="Arial" w:cs="Arial" w:eastAsia="Arial" w:hAnsi="Arial"/>
          <w:sz w:val="18"/>
          <w:szCs w:val="18"/>
          <w:color w:val="auto"/>
        </w:rPr>
      </w:pPr>
    </w:p>
    <w:p>
      <w:pPr>
        <w:jc w:val="both"/>
        <w:ind w:firstLine="1304"/>
        <w:spacing w:after="0" w:line="250" w:lineRule="auto"/>
        <w:tabs>
          <w:tab w:leader="none" w:pos="1944" w:val="left"/>
        </w:tabs>
        <w:numPr>
          <w:ilvl w:val="1"/>
          <w:numId w:val="99"/>
        </w:numPr>
        <w:rPr>
          <w:rFonts w:ascii="Arial" w:cs="Arial" w:eastAsia="Arial" w:hAnsi="Arial"/>
          <w:sz w:val="20"/>
          <w:szCs w:val="20"/>
          <w:color w:val="auto"/>
        </w:rPr>
      </w:pPr>
      <w:r>
        <w:rPr>
          <w:rFonts w:ascii="Arial" w:cs="Arial" w:eastAsia="Arial" w:hAnsi="Arial"/>
          <w:sz w:val="20"/>
          <w:szCs w:val="20"/>
          <w:color w:val="auto"/>
        </w:rPr>
        <w:t>Landlord may, without any obligation to do so, cure the default on behalf of Tenant, in which case Landlord may enter the Premises without being deemed in any manner guilty of trespass, eviction or forcible entry and detainer and without incurring any liability for any damage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0"/>
          <w:szCs w:val="20"/>
          <w:color w:val="auto"/>
        </w:rPr>
        <w:t>interruption of Tenant’s business resulting therefrom. Tenant agrees to pay Landlord an amount equal to 110% of any expenses that Landlord may incur in curing the default, including without limitation, attorney’s fees, together with interest thereon at the Applicable Interest Rate from the date of expenditure.</w:t>
      </w:r>
    </w:p>
    <w:p>
      <w:pPr>
        <w:spacing w:after="0" w:line="193" w:lineRule="exact"/>
        <w:rPr>
          <w:sz w:val="20"/>
          <w:szCs w:val="20"/>
          <w:color w:val="auto"/>
        </w:rPr>
      </w:pPr>
    </w:p>
    <w:p>
      <w:pPr>
        <w:jc w:val="both"/>
        <w:ind w:firstLine="656"/>
        <w:spacing w:after="0" w:line="256" w:lineRule="auto"/>
        <w:tabs>
          <w:tab w:leader="none" w:pos="1296" w:val="left"/>
        </w:tabs>
        <w:numPr>
          <w:ilvl w:val="0"/>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Notice periods provided for in this Lease shall run concurrently with any statutory notice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notice given hereunder may be given simultaneously with or incorporated into a statutory notice. Notwithstanding any provision to the contrary in this Lease, (a) Landlord shall not be required to give Tenant any notice or opportunity to cure any specific monetary or non-monetary default that occurs more than twice in any consecutive 12-month period, and thereafter Landlord may declare an Event of Default without affording Tenant any notice or cure rights provided under this Lease, and (b) Landlord shall not be required to give any notice or cure period as described in the “Events of Default” subsection above for a breach of the “Memorandum of Lease” subsection or any other covenant by Tenant that has a separate notice and/or cure period (e.g., Tenant’s failure to provide an estoppel on 10 days’ notice as described in the “Estoppel; Financials” subsection below shall be an Event of Default without the requirement to provide additional notice), or in an emergency.</w:t>
      </w:r>
    </w:p>
    <w:p>
      <w:pPr>
        <w:spacing w:after="0" w:line="193" w:lineRule="exact"/>
        <w:rPr>
          <w:rFonts w:ascii="Arial" w:cs="Arial" w:eastAsia="Arial" w:hAnsi="Arial"/>
          <w:sz w:val="19"/>
          <w:szCs w:val="19"/>
          <w:color w:val="auto"/>
        </w:rPr>
      </w:pPr>
    </w:p>
    <w:p>
      <w:pPr>
        <w:jc w:val="both"/>
        <w:ind w:firstLine="656"/>
        <w:spacing w:after="0" w:line="269" w:lineRule="auto"/>
        <w:tabs>
          <w:tab w:leader="none" w:pos="1296"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Tenant waives, for itself and all those claiming by, through or under Tenant, by order or judgment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court or any legal process or writ, this Lease and Tenant’s right of occupancy of the Premises after any termination. Exercise by Landlord of any right or remedy shall not be deemed to be an acceptance of surrender of the Premises, a termination of this Lease by Landlord or a release of Tenant from any of its obligations hereunder. No waiver by either Party of any breach by the other Party shall be a waiver of any subsequent breach, nor shall any forbearance by either Party to seek a remedy for any breach by the other Party be a waiver of any rights or remedies with respect to any breach. Efforts by a Party to mitigate the damages caused by the other Party’s default shall not constitute a waiver of the mitigating Party’s right to recover damages hereunder. Unless expressly stated otherwise in this Lease, no right or remedy conferred upon either Party is intended to be exclusive of any other right or remedy provided herein or at law or in equity, and each right or remedy shall be cumulative and nonexclusive and in addition to every other right or remedy given herein or at law or in equity. No payment by Tenant or acceptance by Landlord of a lesser amount than the total amount due Landlord under this Lease shall be deemed to be a waiver of Landlord’s right to recover the balance due, which is expressly reserved, nor shall any endorsement or statement on any check or payment be deemed an accord and satisfaction. Landlord shall not be liable, nor shall Tenant’s obligations hereunder be diminished, because of Landlord’s failure to relet the Premises or collect rent due in respect of such reletting. If either party commences an action against the other party arising out of or in connection with this Lease, then the prevailing party shall be entitled to have and recover from the other party reasonably incurred attorneys’ fees, costs of suit, investigation expenses and discovery and other litigation costs, including costs of appeal. LANDLORD AND TENANT WAIVE THE RIGHT TO A TRIAL BY JURY IN ANY ACTION OR PROCEEDING BASED UPON OR RELATED TO THE SUBJECT MATTER OF THIS LEASE.</w:t>
      </w:r>
    </w:p>
    <w:p>
      <w:pPr>
        <w:spacing w:after="0" w:line="182" w:lineRule="exact"/>
        <w:rPr>
          <w:rFonts w:ascii="Arial" w:cs="Arial" w:eastAsia="Arial" w:hAnsi="Arial"/>
          <w:sz w:val="18"/>
          <w:szCs w:val="18"/>
          <w:color w:val="auto"/>
        </w:rPr>
      </w:pPr>
    </w:p>
    <w:p>
      <w:pPr>
        <w:ind w:firstLine="656"/>
        <w:spacing w:after="0" w:line="293" w:lineRule="auto"/>
        <w:tabs>
          <w:tab w:leader="none" w:pos="1296" w:val="left"/>
        </w:tabs>
        <w:numPr>
          <w:ilvl w:val="0"/>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Mitigation</w:t>
      </w:r>
      <w:r>
        <w:rPr>
          <w:rFonts w:ascii="Arial" w:cs="Arial" w:eastAsia="Arial" w:hAnsi="Arial"/>
          <w:sz w:val="19"/>
          <w:szCs w:val="19"/>
          <w:color w:val="auto"/>
        </w:rPr>
        <w:t>. In the event of a default under this Lease, Landlord and Tenant shall each use commercially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efforts to mitigate any damages resulting from a default of the other party under this Lease.</w:t>
      </w:r>
    </w:p>
    <w:p>
      <w:pPr>
        <w:spacing w:after="0" w:line="161" w:lineRule="exact"/>
        <w:rPr>
          <w:rFonts w:ascii="Arial" w:cs="Arial" w:eastAsia="Arial" w:hAnsi="Arial"/>
          <w:sz w:val="19"/>
          <w:szCs w:val="19"/>
          <w:color w:val="auto"/>
        </w:rPr>
      </w:pPr>
    </w:p>
    <w:p>
      <w:pPr>
        <w:jc w:val="both"/>
        <w:ind w:left="1960" w:right="20" w:hanging="170"/>
        <w:spacing w:after="0" w:line="250" w:lineRule="auto"/>
        <w:tabs>
          <w:tab w:leader="none" w:pos="19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Landlord’s obligation to mitigate damages after a default by Tenant shall be satisfied in full if Landlord undertakes to lease the Premises to another tenant (a “</w:t>
      </w:r>
      <w:r>
        <w:rPr>
          <w:rFonts w:ascii="Arial" w:cs="Arial" w:eastAsia="Arial" w:hAnsi="Arial"/>
          <w:sz w:val="20"/>
          <w:szCs w:val="20"/>
          <w:b w:val="1"/>
          <w:bCs w:val="1"/>
          <w:color w:val="auto"/>
        </w:rPr>
        <w:t>Substitute Tenant</w:t>
      </w:r>
      <w:r>
        <w:rPr>
          <w:rFonts w:ascii="Arial" w:cs="Arial" w:eastAsia="Arial" w:hAnsi="Arial"/>
          <w:sz w:val="20"/>
          <w:szCs w:val="20"/>
          <w:color w:val="auto"/>
        </w:rPr>
        <w:t>”) in accordance with the following criteria:</w:t>
      </w:r>
    </w:p>
    <w:p>
      <w:pPr>
        <w:spacing w:after="0" w:line="199" w:lineRule="exact"/>
        <w:rPr>
          <w:rFonts w:ascii="Arial" w:cs="Arial" w:eastAsia="Arial" w:hAnsi="Arial"/>
          <w:sz w:val="20"/>
          <w:szCs w:val="20"/>
          <w:color w:val="auto"/>
        </w:rPr>
      </w:pPr>
    </w:p>
    <w:p>
      <w:pPr>
        <w:jc w:val="both"/>
        <w:ind w:left="2600" w:hanging="324"/>
        <w:spacing w:after="0" w:line="250" w:lineRule="auto"/>
        <w:tabs>
          <w:tab w:leader="none" w:pos="260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Landlord shall have no obligation to solicit or entertain negotiations with any other prospective tenant for the Premises until Landlord obtains full and complete possession of the Premises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4" w:name="page155"/>
    <w:bookmarkEnd w:id="154"/>
    <w:p>
      <w:pPr>
        <w:ind w:left="2140"/>
        <w:spacing w:after="0"/>
        <w:rPr>
          <w:sz w:val="20"/>
          <w:szCs w:val="20"/>
          <w:color w:val="auto"/>
        </w:rPr>
      </w:pPr>
      <w:r>
        <w:rPr>
          <w:rFonts w:ascii="Arial" w:cs="Arial" w:eastAsia="Arial" w:hAnsi="Arial"/>
          <w:sz w:val="20"/>
          <w:szCs w:val="20"/>
          <w:color w:val="auto"/>
        </w:rPr>
        <w:t>final and unappealable legal right to relet the Premises free of any claim of Tenant.</w:t>
      </w:r>
    </w:p>
    <w:p>
      <w:pPr>
        <w:spacing w:after="0" w:line="229" w:lineRule="exact"/>
        <w:rPr>
          <w:sz w:val="20"/>
          <w:szCs w:val="20"/>
          <w:color w:val="auto"/>
        </w:rPr>
      </w:pPr>
    </w:p>
    <w:p>
      <w:pPr>
        <w:jc w:val="both"/>
        <w:ind w:left="2140" w:hanging="324"/>
        <w:spacing w:after="0" w:line="269" w:lineRule="auto"/>
        <w:tabs>
          <w:tab w:leader="none" w:pos="214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Landlord shall not be obligated to offer the Premises to a Substitute Tenant when other premises in the Building or other buildings owned by Landlord or an affiliate of Landlord suitable for that prospective tenant’s use are (or soon will be) available.</w:t>
      </w:r>
    </w:p>
    <w:p>
      <w:pPr>
        <w:spacing w:after="0" w:line="183" w:lineRule="exact"/>
        <w:rPr>
          <w:rFonts w:ascii="Arial" w:cs="Arial" w:eastAsia="Arial" w:hAnsi="Arial"/>
          <w:sz w:val="19"/>
          <w:szCs w:val="19"/>
          <w:color w:val="auto"/>
        </w:rPr>
      </w:pPr>
    </w:p>
    <w:p>
      <w:pPr>
        <w:jc w:val="both"/>
        <w:ind w:left="2140" w:hanging="324"/>
        <w:spacing w:after="0" w:line="328" w:lineRule="auto"/>
        <w:tabs>
          <w:tab w:leader="none" w:pos="21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Landlord shall not be obligated to lease the Premises to a Substitute Tenant for a rental less than the current fair market rental then prevailing for similar space, nor shall Landlord be obligated to enter into a new lease under other terms and conditions that are unacceptable to Landlord under Landlord’s then current leasing policies for comparable space.</w:t>
      </w:r>
    </w:p>
    <w:p>
      <w:pPr>
        <w:spacing w:after="0" w:line="141" w:lineRule="exact"/>
        <w:rPr>
          <w:rFonts w:ascii="Arial" w:cs="Arial" w:eastAsia="Arial" w:hAnsi="Arial"/>
          <w:sz w:val="16"/>
          <w:szCs w:val="16"/>
          <w:color w:val="auto"/>
        </w:rPr>
      </w:pPr>
    </w:p>
    <w:p>
      <w:pPr>
        <w:jc w:val="both"/>
        <w:ind w:left="2140" w:hanging="324"/>
        <w:spacing w:after="0" w:line="244" w:lineRule="auto"/>
        <w:tabs>
          <w:tab w:leader="none" w:pos="21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Landlord shall not be obligated to enter into a lease with any proposed tenant whose use would: (a) disrupt the tenant mix or balance of the Building; (b) violate any restriction, covenant, or requirement contained in the lease of another tenant of the Building; (c) adversely affect the reputation of the Building; or (d) be incompatible with the operation of the Building.</w:t>
      </w:r>
    </w:p>
    <w:p>
      <w:pPr>
        <w:spacing w:after="0" w:line="207" w:lineRule="exact"/>
        <w:rPr>
          <w:rFonts w:ascii="Arial" w:cs="Arial" w:eastAsia="Arial" w:hAnsi="Arial"/>
          <w:sz w:val="20"/>
          <w:szCs w:val="20"/>
          <w:color w:val="auto"/>
        </w:rPr>
      </w:pPr>
    </w:p>
    <w:p>
      <w:pPr>
        <w:jc w:val="both"/>
        <w:ind w:left="2140" w:hanging="324"/>
        <w:spacing w:after="0" w:line="291" w:lineRule="auto"/>
        <w:tabs>
          <w:tab w:leader="none" w:pos="2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Landlord shall not be obligated to enter into a lease with any proposed Substitute Tenant (a “</w:t>
      </w:r>
      <w:r>
        <w:rPr>
          <w:rFonts w:ascii="Arial" w:cs="Arial" w:eastAsia="Arial" w:hAnsi="Arial"/>
          <w:sz w:val="18"/>
          <w:szCs w:val="18"/>
          <w:b w:val="1"/>
          <w:bCs w:val="1"/>
          <w:color w:val="auto"/>
        </w:rPr>
        <w:t>Substitute Lease</w:t>
      </w:r>
      <w:r>
        <w:rPr>
          <w:rFonts w:ascii="Arial" w:cs="Arial" w:eastAsia="Arial" w:hAnsi="Arial"/>
          <w:sz w:val="18"/>
          <w:szCs w:val="18"/>
          <w:color w:val="auto"/>
        </w:rPr>
        <w:t>”) which does not have, in Landlord’s reasonable opinion, sufficient financial resources or operating experience to operate the Premises in a first-class manner.</w:t>
      </w:r>
    </w:p>
    <w:p>
      <w:pPr>
        <w:spacing w:after="0" w:line="165" w:lineRule="exact"/>
        <w:rPr>
          <w:rFonts w:ascii="Arial" w:cs="Arial" w:eastAsia="Arial" w:hAnsi="Arial"/>
          <w:sz w:val="18"/>
          <w:szCs w:val="18"/>
          <w:color w:val="auto"/>
        </w:rPr>
      </w:pPr>
    </w:p>
    <w:p>
      <w:pPr>
        <w:jc w:val="both"/>
        <w:ind w:left="2140" w:hanging="324"/>
        <w:spacing w:after="0" w:line="242" w:lineRule="auto"/>
        <w:tabs>
          <w:tab w:leader="none" w:pos="21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Landlord shall not be required to expend any amount of money to alter, remodel, or otherwise make the Premises suitable for use by a proposed Substitute Tenant unless: (a) Tenant pays any such sum to Landlord in advance of Landlord’s execution of a Substitute Lease with such Substitute Tenant (which payment shall not be in lieu of any damages or other sums to which Landlord may be entitled as a result of Tenant’s default under this Lease); or (b) Landlord, in Landlord’s sole and absolute discretion, determines that any such expenditure is financially justified in connection with entering into any such Substitute Lease.</w:t>
      </w:r>
    </w:p>
    <w:p>
      <w:pPr>
        <w:spacing w:after="0" w:line="210" w:lineRule="exact"/>
        <w:rPr>
          <w:rFonts w:ascii="Arial" w:cs="Arial" w:eastAsia="Arial" w:hAnsi="Arial"/>
          <w:sz w:val="20"/>
          <w:szCs w:val="20"/>
          <w:color w:val="auto"/>
        </w:rPr>
      </w:pPr>
    </w:p>
    <w:p>
      <w:pPr>
        <w:jc w:val="both"/>
        <w:ind w:left="1580" w:hanging="250"/>
        <w:spacing w:after="0" w:line="257" w:lineRule="auto"/>
        <w:tabs>
          <w:tab w:leader="none" w:pos="15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Upon compliance with the above criteria regarding the releasing of the Premises after a default by Tenant, Landlord shall be deemed to have fully satisfied Landlord’s obligation to mitigate damages under this Lease and under any law or judicial ruling in effect on the date of this Lease or at the time of Tenant’s default, and Tenant waives and releases, to the fullest extent legally permissible, any right to assert in any action by Landlord to enforce the terms of this Lease, any defense, counterclaim, or rights of setoff or recoupment respecting the mitigation of damages by Landlord, unless and to the extent Landlord maliciously or in bad faith fails to act in accordance with the requirements of this Section.</w:t>
      </w:r>
    </w:p>
    <w:p>
      <w:pPr>
        <w:spacing w:after="0" w:line="193" w:lineRule="exact"/>
        <w:rPr>
          <w:rFonts w:ascii="Arial" w:cs="Arial" w:eastAsia="Arial" w:hAnsi="Arial"/>
          <w:sz w:val="19"/>
          <w:szCs w:val="19"/>
          <w:color w:val="auto"/>
        </w:rPr>
      </w:pPr>
    </w:p>
    <w:p>
      <w:pPr>
        <w:jc w:val="both"/>
        <w:ind w:left="1580" w:hanging="250"/>
        <w:spacing w:after="0" w:line="250" w:lineRule="auto"/>
        <w:tabs>
          <w:tab w:leader="none" w:pos="15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Tenant’s right to seek damages from Landlord as a result of a default by Landlord under this Lease shall be conditioned on Tenant taking all actions reasonably required, under the circumstances, to minimize any loss or damage to Tenant’s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155" w:name="page156"/>
    <w:bookmarkEnd w:id="155"/>
    <w:p>
      <w:pPr>
        <w:ind w:left="1960"/>
        <w:spacing w:after="0" w:line="260" w:lineRule="auto"/>
        <w:rPr>
          <w:sz w:val="20"/>
          <w:szCs w:val="20"/>
          <w:color w:val="auto"/>
        </w:rPr>
      </w:pPr>
      <w:r>
        <w:rPr>
          <w:rFonts w:ascii="Arial" w:cs="Arial" w:eastAsia="Arial" w:hAnsi="Arial"/>
          <w:sz w:val="20"/>
          <w:szCs w:val="20"/>
          <w:color w:val="auto"/>
        </w:rPr>
        <w:t>property or business, or to any of Tenant’s Parties, or other third parties that may be caused by any such default of Landlord.</w:t>
      </w:r>
    </w:p>
    <w:p>
      <w:pPr>
        <w:spacing w:after="0" w:line="184"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b w:val="1"/>
          <w:bCs w:val="1"/>
          <w:u w:val="single" w:color="auto"/>
          <w:color w:val="auto"/>
        </w:rPr>
        <w:t>ASSIGNMENT AND SUBLETTING</w:t>
      </w:r>
      <w:r>
        <w:rPr>
          <w:rFonts w:ascii="Arial" w:cs="Arial" w:eastAsia="Arial" w:hAnsi="Arial"/>
          <w:sz w:val="20"/>
          <w:szCs w:val="20"/>
          <w:color w:val="auto"/>
        </w:rPr>
        <w:t>.</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provided below with respect to Landlord’s recapture rights, Tenant shall not enter into nor permit any Transfer, whether voluntarily or involuntarily or by operation of law, without Landlord’s prior written approval in a consent agreement or other writing, which approval shall not be unreasonably withheld. Without limitation, Tenant agrees that Landlord’s consent shall not be considered unreasonably withheld if (a) the proposed transferee is an existing tenant or affiliate of an existing tenant of Landlord or any of its affiliates, or Landlord or its affiliates are in discussions with such proposed transferee for space that is comparable or otherwise meets the business needs of proposed transferee, (b) the business, business reputation or creditworthiness of the proposed transferee or business use is unacceptable to Landlord in its sole discretion, (c) Landlord or an affiliate of Landlord has comparable space available for lease by the proposed transferee, (d) the proposed transferee is any entity or person that would be deemed a “related party tenant” of Landlord or any entity controlling, controlled by, or under common control with, Landlord, or (e) Tenant is in default under this Lease. Notwithstanding the foregoing, Landlord’s consent shall not be required in the event of any Transfer by Tenant to any of its Affiliates, provided the Affiliate has a tangible net worth at least equal to that of Tenant as of the date of this Lease, and Tenant and the transferee otherwise comply with the terms and conditions of this Section. If Tenant desires to undertake a Transfer, then Tenant shall deliver to Landlord (a) written notice at least 15 days prior thereto, which includes current financial statements of the proposed transferee certified by an officer of the transferee, complete copies of the proposed Transfer documents and any other information Landlord reasonably requests, and (b) on or before the effective date of the Transfer, an assumption agreement or sublease, as applicable, reasonably acceptable to Landlord (executed by Tenant and the transferee), together with a certificate of insurance evidencing the transferee’s compliance with the insurance requirements of Tenant hereunder. Whether or not a Transfer is consummated or approval is granted, Tenant shall pay Landlord (i) an administrative fee in the amount of $2,500.00, and (ii) reasonable attorneys’ and financial consultant’s fees incurred in the review of such proposed Transfer. This Lease may not be assigned by operation of law. A consent to one Transfer shall not be deemed to be a consent to any subsequent Transfer. In no event shall any Transfer relieve Tenant from any obligation under this Lease. Landlord’s acceptance of Rent from any person shall not be deemed to be a waiver by Landlord of any provision of this Lease or to be a consent to any Transfer. Any Transfer not in conformity with this Section shall be void at the option of Landlord. Tenant shall not collaterally assign, mortgage, pledge, hypothecate or otherwise encumber this Lease or any of Tenant’s rights hereunder.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the event of (a) an assignment of this Lease to a party other than Tenant’s Affiliate, or (b) subletting of more than 20% of the rentable square footage of the Premises for more than 50% of the remaining Term (excluding unexercised options), Landlord shall have the right to recapture the entire Premises or the portion of the Premises that Tenant is proposing to sublease. If Landlord exercises its right to recapture, then this Lease shall automatically be amended (or terminated if the entire Premises is being assigned or sublet) to delete the applicable portion of the Premises effective on the proposed effective date of the Transfer, although Landlord may require Tenant to execute a reasonable amendment or other document reflecting such reduction or termination. If Tenant receives rent or other consideration for any such Transfer in excess of the Rent, or in the case of a sublease of a portion of the Premises, in excess of such Rent that is fairly allocable to such portion, after appropriate adjustments to assure that all other payments required hereunder are appropriately taken into account, then Tenant shall pay Landlord 75% of the amount by which such payment of rent or other consideration exceeds the Rent required hereunder, after Tenant’s recovery of its actual and reasonable attorney’s fees, brokerage commissions and improvement allowances or improvement costs incurred directly in connection with such assignment or subletting, determined on 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1" w:right="999" w:bottom="1440" w:gutter="0" w:footer="0" w:header="0"/>
        </w:sectPr>
      </w:pPr>
    </w:p>
    <w:bookmarkStart w:id="156" w:name="page157"/>
    <w:bookmarkEnd w:id="156"/>
    <w:p>
      <w:pPr>
        <w:jc w:val="both"/>
        <w:spacing w:after="0" w:line="260" w:lineRule="auto"/>
        <w:rPr>
          <w:sz w:val="20"/>
          <w:szCs w:val="20"/>
          <w:color w:val="auto"/>
        </w:rPr>
      </w:pPr>
      <w:r>
        <w:rPr>
          <w:rFonts w:ascii="Arial" w:cs="Arial" w:eastAsia="Arial" w:hAnsi="Arial"/>
          <w:sz w:val="20"/>
          <w:szCs w:val="20"/>
          <w:color w:val="auto"/>
        </w:rPr>
        <w:t>straight-line basis. Tenant shall continue to be liable as a principal and not as a guarantor or surety to the same extent as though no assignment had been made.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Notwithstanding anything to the contrary contained in this Lease, if either Tenant or any other person having a right to Use the Premises shall enter into any lease, sublease, license, concession or other agreement for Use of all or any portion of the Premises (i) with any entity or person that would be deemed a “related party tenant” of Landlord or any entity controlling, controlled by, or under common control with, Landlord, or (ii)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then any such purported lease, sublease, license, concession or other agreement shall be null and void and ineffective as a Transfer of any right or interest in the Use of all or any part of the Premises.</w:t>
      </w:r>
    </w:p>
    <w:p>
      <w:pPr>
        <w:spacing w:after="0" w:line="188"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b w:val="1"/>
          <w:bCs w:val="1"/>
          <w:u w:val="single" w:color="auto"/>
          <w:color w:val="auto"/>
        </w:rPr>
        <w:t>ESTOPPEL, FINANCIALS; SUBORDINATION, ATTORNMENT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 Financials</w:t>
      </w:r>
      <w:r>
        <w:rPr>
          <w:rFonts w:ascii="Arial" w:cs="Arial" w:eastAsia="Arial" w:hAnsi="Arial"/>
          <w:sz w:val="18"/>
          <w:szCs w:val="18"/>
          <w:color w:val="auto"/>
        </w:rPr>
        <w:t>. Tenant shall, within 10 days after receipt of written notice from Landlord from time</w:t>
      </w:r>
    </w:p>
    <w:p>
      <w:pPr>
        <w:spacing w:after="0" w:line="44"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9"/>
          <w:szCs w:val="19"/>
          <w:color w:val="auto"/>
        </w:rPr>
        <w:t>to time: (a) execute and deliver to Landlord a commercially reasonable estoppel certificate to those parties as are reasonably requested by Landlord (including a Mortgagee or prospective purchaser) (it being agreed that, without limitation, such estoppel certificate may include a certification as to the status of this Lease, the existence of any Events of Default (to the best of Tenant’s knowledge) and the amount of Rent that is due and payable); and (b) provide to Landlord, any existing or prospective Mortgagee and/or any prospective purchaser reasonably requested Financials. Any statements in an estoppel certificate relating to Landlord’s obligations under the Lease shall apply only to such obligations that have accrued prior to the date of such estoppel certificate.</w:t>
      </w:r>
    </w:p>
    <w:p>
      <w:pPr>
        <w:spacing w:after="0" w:line="195" w:lineRule="exact"/>
        <w:rPr>
          <w:rFonts w:ascii="Arial" w:cs="Arial" w:eastAsia="Arial" w:hAnsi="Arial"/>
          <w:sz w:val="18"/>
          <w:szCs w:val="18"/>
          <w:color w:val="auto"/>
        </w:rPr>
      </w:pPr>
    </w:p>
    <w:p>
      <w:pPr>
        <w:jc w:val="both"/>
        <w:ind w:firstLine="656"/>
        <w:spacing w:after="0" w:line="268" w:lineRule="auto"/>
        <w:tabs>
          <w:tab w:leader="none" w:pos="1296"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 Attornment</w:t>
      </w:r>
      <w:r>
        <w:rPr>
          <w:rFonts w:ascii="Arial" w:cs="Arial" w:eastAsia="Arial" w:hAnsi="Arial"/>
          <w:sz w:val="18"/>
          <w:szCs w:val="18"/>
          <w:color w:val="auto"/>
        </w:rPr>
        <w:t>. This Lease shall unconditionally be and at all times remain subject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 to any Mortgage now or in the future affecting the Premises, all without the necessity of Tenant executing further instruments to effect such subordination. This clause shall be self-operative, but Tenant shall execute and deliver to Landlord, within 10 days after Landlord’s request, any further instruments confirming the subordination of this Lease and any further instruments of attornment that a Mortgagee may reasonably request, including an SNDA in the form reasonably required by the applicable Mortgagee. Notwithstanding anything to the contrary contained in this Section, the holder of any such Mortgage may at any time subordinate its Mortgage to this Lease, without Tenant’s consent, by notice in writing to Tenant, and thereupon this Lease shall be deemed prior to such Mortgage without regard to their respective dates of execution, delivery or recording and in the event such Mortgagee shall have the same rights with respect to this Lease as though this Lease has been executed prior to the execution, delivery and recording of such Mortgage. No Mortgagee shall:</w:t>
      </w:r>
    </w:p>
    <w:p>
      <w:pPr>
        <w:spacing w:after="0" w:line="5" w:lineRule="exact"/>
        <w:rPr>
          <w:rFonts w:ascii="Arial" w:cs="Arial" w:eastAsia="Arial" w:hAnsi="Arial"/>
          <w:sz w:val="18"/>
          <w:szCs w:val="18"/>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(a) be obligated to cure any default of Landlord; (b) be bound by (i) any payment of Base Rent for more than 1 month in advance, (ii) the obligation for any broker commission(s), or (iii) any amendment or modification of this Lease made without the express written consent of such Mortgagee; and (c) be liable for, nor subject to, (i) any offsets or defenses which Tenant may have by reason of any act or omission of Landlord under this Lease, or (ii) for the return of any sums which Tenant may have paid to Landlord under this Lease as and for security deposits, advance rentals or otherwise, except to the extent that such sums are actually delivered by Landlord to Mortgagee. The provisions of the “Damage and Destruction” and “Condemnation” Sections above notwithstanding, Landlord’s obligation to restore the Premises after a casualty or condemnation shall be subject to the consent and prior rights of any Mortgagee. If any Mortgagee refuses to allow Landlord to restore the Premises for any reason and such Mortgagee’s refusal prevents Landlord from fulfilling its obligations under the “Damage and Destruction” and “Condemnation” Sections above, then Tenant shall have as its sole remedy with respect to such failure by Landlord to fulfill these obligations the right to terminate this Lease. Tenant agrees to give any Mortgagee a written copy of any notice of default served upon the Landlord by Tenant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7" w:name="page158"/>
    <w:bookmarkEnd w:id="157"/>
    <w:p>
      <w:pPr>
        <w:spacing w:after="0" w:line="260" w:lineRule="auto"/>
        <w:rPr>
          <w:sz w:val="20"/>
          <w:szCs w:val="20"/>
          <w:color w:val="auto"/>
        </w:rPr>
      </w:pPr>
      <w:r>
        <w:rPr>
          <w:rFonts w:ascii="Arial" w:cs="Arial" w:eastAsia="Arial" w:hAnsi="Arial"/>
          <w:sz w:val="20"/>
          <w:szCs w:val="20"/>
          <w:color w:val="auto"/>
        </w:rPr>
        <w:t>concurrently with delivery to Landlord, provided that, prior to such notice, Tenant has been notified in writing of the address of such Mortgagee.</w:t>
      </w:r>
    </w:p>
    <w:p>
      <w:pPr>
        <w:spacing w:after="0" w:line="184" w:lineRule="exact"/>
        <w:rPr>
          <w:sz w:val="20"/>
          <w:szCs w:val="20"/>
          <w:color w:val="auto"/>
        </w:rPr>
      </w:pPr>
    </w:p>
    <w:p>
      <w:pPr>
        <w:jc w:val="both"/>
        <w:ind w:firstLine="8"/>
        <w:spacing w:after="0" w:line="255" w:lineRule="auto"/>
        <w:tabs>
          <w:tab w:leader="none" w:pos="648"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LIMITATION OF LIABILITY</w:t>
      </w:r>
      <w:r>
        <w:rPr>
          <w:rFonts w:ascii="Arial" w:cs="Arial" w:eastAsia="Arial" w:hAnsi="Arial"/>
          <w:sz w:val="19"/>
          <w:szCs w:val="19"/>
          <w:color w:val="auto"/>
        </w:rPr>
        <w:t>. NOTWITHSTANDING ANYTHING TO THE CONTRARY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THE LIABILITY OF LANDLORD (AND OF ANY SUCCESSOR LANDLORD) SHALL BE LIMITED TO THE INTEREST OF LANDLORD IN THE BUILDING. TENANT SHALL LOOK SOLELY TO LANDLORD’S PREVIOUSLY DEFINED INTEREST IN THE BUILDING FOR THE RECOVERY OF ANY JUDGMENT OR AWARD AGAINST LANDLORD OR ANY LANDLORD INDEMNITEES. NEITHER LANDLORD NOR ANY LANDLORD INDEMNITEES SHALL BE PERSONALLY LIABLE FOR ANY JUDGMENT OR DEFICIENCY, AND IN NO EVENT SHALL LANDLORD OR ANY LANDLORD INDEMNITEES OR MORTGAGEES BE LIABLE TO TENANT FOR LOST PROFIT, DAMAGE TO OR LOSS OF BUSINESS OR ANY FORM OF PUNITIVE, SPECIAL, INDIRECT OR CONSEQUENTIAL DAMAGE. LANDLORD SHALL NOT BE LIABLE FOR ANY BREACH UNLESS TENANT PROVIDES NOTICE SPECIFYING THE BREACH AND LANDLORD FAILS TO CURE THE BREACH WITHIN A REASONABLE PERIOD OF TIME AFTER DELIVERY OF THE NOTICE. WHENEVER LANDLORD TRANSFERS ITS INTEREST, LANDLORD SHALL BE AUTOMATICALLY RELEASED FROM FURTHER PERFORMANCE UNDER THIS LEASE AND FROM ALL FURTHER LIABILITIES AND EXPENSES HEREUNDER AND THE TRANSFEREE OF LANDLORD’S INTEREST SHALL ASSUME ALL LIABILITIES AND OBLIGATIONS OF LANDLORD HEREUNDER ARISING FROM THE DATE OF SUCH TRANSFER.</w:t>
      </w:r>
    </w:p>
    <w:p>
      <w:pPr>
        <w:spacing w:after="0" w:line="189" w:lineRule="exact"/>
        <w:rPr>
          <w:rFonts w:ascii="Arial" w:cs="Arial" w:eastAsia="Arial" w:hAnsi="Arial"/>
          <w:sz w:val="19"/>
          <w:szCs w:val="19"/>
          <w:color w:val="auto"/>
        </w:rPr>
      </w:pPr>
    </w:p>
    <w:p>
      <w:pPr>
        <w:ind w:left="660" w:hanging="652"/>
        <w:spacing w:after="0"/>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INTENTIONALLY OMITTED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8"/>
        <w:spacing w:after="0" w:line="270"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HOLDING OVER</w:t>
      </w:r>
      <w:r>
        <w:rPr>
          <w:rFonts w:ascii="Arial" w:cs="Arial" w:eastAsia="Arial" w:hAnsi="Arial"/>
          <w:sz w:val="18"/>
          <w:szCs w:val="18"/>
          <w:color w:val="auto"/>
        </w:rPr>
        <w:t>. If Tenant remains in possession of all or any part of the Premises after the Lease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then such holding over shall be a tenancy at sufferance, for the entire Premises, subject to the terms and conditions of this Lease, except that Tenant shall pay monthly installments of Rent (determined on a per month basis without reduction for partial months during the holdover) equal to 150% of the monthly installment of Rent in effect immediately prior to such holding over. This Section shall not be construed as Landlord’s permission for Tenant to holdover. Acceptance of Rent by Landlord following expiration or termination shall not constitute an extension of the Term or prevent Landlord from immediate recovery of possession of the Premises by summary proceedings or otherwise. Notwithstanding any provision in this Lease to the contrary, any holdover by Tenant, unless first consented to by Landlord, shall constitute an Event of Default on the part of Tenant under this Lease entitling Landlord to exercise, without obligation to provide Tenant any notice or cure period, all of the remedies available to Landlord in the case of an Event of Default by Tenant. If Tenant remains in possession of all or any part of the Premises after the Lease Expiration Date, then Tenant shall indemnify and hold Landlord harmless from and against all Losses (including, without limitation, consequential damages) resulting from or arising out of Tenant’s failure to surrender the Premises, including, but not limited to, any amounts required to be paid to any tenant or prospective tenant who was to have occupied the Premises after the Lease Expiration Date and any related reasonable attorneys’ fees and brokerage commissions incurred.</w:t>
      </w:r>
    </w:p>
    <w:p>
      <w:pPr>
        <w:spacing w:after="0" w:line="179" w:lineRule="exact"/>
        <w:rPr>
          <w:rFonts w:ascii="Arial" w:cs="Arial" w:eastAsia="Arial" w:hAnsi="Arial"/>
          <w:sz w:val="18"/>
          <w:szCs w:val="18"/>
          <w:color w:val="auto"/>
        </w:rPr>
      </w:pPr>
    </w:p>
    <w:p>
      <w:pPr>
        <w:jc w:val="both"/>
        <w:ind w:firstLine="8"/>
        <w:spacing w:after="0" w:line="273"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Unless otherwise specifically set forth in this Lease, all notices shall be in writing and delivered by hand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sent by registered, express, or certified mail, with return receipt requested or with delivery confirmation requested from the U.S. postal service, or sent by overnight or same day courier service to the party’s respective Notice Address(es) set forth above; provided notices sent by Landlord regarding general property operational matters may be sent via e-mail to the e-mail address provided by Tenant to Landlord for such purpose; provided further, notices may be sent by Landlord to Tenant pursuant to the Tenant Portal as described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In addition, if the Building is closed (whether due to emergency, governmental order or any other reason), then any notice address at the Building shall not be deemed a required notice address during such closure, and, unless Tenant has provided an alternative valid notice address to Landlord for use during such closure, any notices sent during such closure may be sent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8" w:name="page159"/>
    <w:bookmarkEnd w:id="158"/>
    <w:p>
      <w:pPr>
        <w:jc w:val="both"/>
        <w:spacing w:after="0" w:line="243" w:lineRule="auto"/>
        <w:rPr>
          <w:sz w:val="20"/>
          <w:szCs w:val="20"/>
          <w:color w:val="auto"/>
        </w:rPr>
      </w:pPr>
      <w:r>
        <w:rPr>
          <w:rFonts w:ascii="Arial" w:cs="Arial" w:eastAsia="Arial" w:hAnsi="Arial"/>
          <w:sz w:val="20"/>
          <w:szCs w:val="20"/>
          <w:color w:val="auto"/>
        </w:rPr>
        <w:t>via e-mail or in any other practical manner reasonably designed to ensure receipt by the intended recipient. Each notice shall be deemed to have been received on the earlier to occur of actual delivery or the date on which delivery is refused, or, if Tenant has vacated the Premises or any other Notice Address of Tenant without providing a new Notice Address, 3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203" w:lineRule="exact"/>
        <w:rPr>
          <w:sz w:val="20"/>
          <w:szCs w:val="20"/>
          <w:color w:val="auto"/>
        </w:rPr>
      </w:pPr>
    </w:p>
    <w:p>
      <w:pPr>
        <w:jc w:val="both"/>
        <w:ind w:firstLine="8"/>
        <w:spacing w:after="0" w:line="270" w:lineRule="auto"/>
        <w:tabs>
          <w:tab w:leader="none" w:pos="648"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SURRENDER</w:t>
      </w:r>
      <w:r>
        <w:rPr>
          <w:rFonts w:ascii="Arial" w:cs="Arial" w:eastAsia="Arial" w:hAnsi="Arial"/>
          <w:sz w:val="18"/>
          <w:szCs w:val="18"/>
          <w:color w:val="auto"/>
        </w:rPr>
        <w:t>. On the Lease Expiration Date, Tenant, at its sole cost, shall return possession of the Premises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in accordance with Tenant’s obligations under this Lease, and otherwise in the condition described on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attached hereto, ordinary wear and tear and damage by fire or casualty excepted. Conditions existing as a result of (i) Tenant’s failure to Maintain the Premises or the Project, as required by this Lease, (ii) Tenant’s failure to abide by the terms of this Lease or its default, or (iii) the presence of Hazardous Materials on, in, under or about the Premises, the Project or other property as a result (directly or indirectly) of Tenant’s and/or any Tenant Party’s activities, or failure to act, in connection with the Premises or the Project, shall not be deemed “ordinary wear and tear.” On or before the Lease Expiration Date, Tenant, at its sole cost, shall remove Tenant’s Property from the Project and repair all damage resulting from such removal and restore the Project to good order and condition, subject to the “Alterations; Liens” Section above. If Tenant fails to remove any of Tenant’s Property as required hereunder, then Landlord may deem all or any part of Tenant’s Property to be abandoned and, at Landlord’s option, title to Tenant’s Property shall vest in Landlord, and/or Landlord may at Tenant’s expense remove and/or dispose of any Tenant’s Property in any manner Landlord deems appropriate. If Tenant does not return possession of the Premises to Landlord in the condition required under this Lease, Tenant shall pay Landlord all resulting damages Landlord may suffer.</w:t>
      </w:r>
    </w:p>
    <w:p>
      <w:pPr>
        <w:spacing w:after="0" w:line="182" w:lineRule="exact"/>
        <w:rPr>
          <w:rFonts w:ascii="Arial" w:cs="Arial" w:eastAsia="Arial" w:hAnsi="Arial"/>
          <w:sz w:val="18"/>
          <w:szCs w:val="18"/>
          <w:color w:val="auto"/>
        </w:rPr>
      </w:pPr>
    </w:p>
    <w:p>
      <w:pPr>
        <w:jc w:val="both"/>
        <w:ind w:firstLine="8"/>
        <w:spacing w:after="0" w:line="253" w:lineRule="auto"/>
        <w:tabs>
          <w:tab w:leader="none" w:pos="648" w:val="left"/>
        </w:tabs>
        <w:numPr>
          <w:ilvl w:val="0"/>
          <w:numId w:val="106"/>
        </w:numPr>
        <w:rPr>
          <w:rFonts w:ascii="Arial" w:cs="Arial" w:eastAsia="Arial" w:hAnsi="Arial"/>
          <w:sz w:val="20"/>
          <w:szCs w:val="20"/>
          <w:color w:val="auto"/>
        </w:rPr>
      </w:pPr>
      <w:r>
        <w:rPr>
          <w:rFonts w:ascii="Arial" w:cs="Arial" w:eastAsia="Arial" w:hAnsi="Arial"/>
          <w:sz w:val="20"/>
          <w:szCs w:val="20"/>
          <w:b w:val="1"/>
          <w:bCs w:val="1"/>
          <w:u w:val="single" w:color="auto"/>
          <w:color w:val="auto"/>
        </w:rPr>
        <w:t>STATE LAW</w:t>
      </w:r>
      <w:r>
        <w:rPr>
          <w:rFonts w:ascii="Arial" w:cs="Arial" w:eastAsia="Arial" w:hAnsi="Arial"/>
          <w:sz w:val="20"/>
          <w:szCs w:val="20"/>
          <w:color w:val="auto"/>
        </w:rPr>
        <w:t>. Attached hereto as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G</w:t>
      </w:r>
      <w:r>
        <w:rPr>
          <w:rFonts w:ascii="Arial" w:cs="Arial" w:eastAsia="Arial" w:hAnsi="Arial"/>
          <w:sz w:val="20"/>
          <w:szCs w:val="20"/>
          <w:b w:val="1"/>
          <w:bCs w:val="1"/>
          <w:color w:val="auto"/>
        </w:rPr>
        <w:t xml:space="preserve"> </w:t>
      </w:r>
      <w:r>
        <w:rPr>
          <w:rFonts w:ascii="Arial" w:cs="Arial" w:eastAsia="Arial" w:hAnsi="Arial"/>
          <w:sz w:val="20"/>
          <w:szCs w:val="20"/>
          <w:color w:val="auto"/>
        </w:rPr>
        <w:t>are modifications to this Lease given the laws of the state where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Premises are located. To the extent of any inconsistency between the terms set forth in </w:t>
      </w:r>
      <w:r>
        <w:rPr>
          <w:rFonts w:ascii="Arial" w:cs="Arial" w:eastAsia="Arial" w:hAnsi="Arial"/>
          <w:sz w:val="20"/>
          <w:szCs w:val="20"/>
          <w:b w:val="1"/>
          <w:bCs w:val="1"/>
          <w:u w:val="single" w:color="auto"/>
          <w:color w:val="auto"/>
        </w:rPr>
        <w:t>Exhibit G</w:t>
      </w:r>
      <w:r>
        <w:rPr>
          <w:rFonts w:ascii="Arial" w:cs="Arial" w:eastAsia="Arial" w:hAnsi="Arial"/>
          <w:sz w:val="20"/>
          <w:szCs w:val="20"/>
          <w:color w:val="auto"/>
        </w:rPr>
        <w:t xml:space="preserve"> and the remainder of this Lease, the terms set forth in </w:t>
      </w:r>
      <w:r>
        <w:rPr>
          <w:rFonts w:ascii="Arial" w:cs="Arial" w:eastAsia="Arial" w:hAnsi="Arial"/>
          <w:sz w:val="20"/>
          <w:szCs w:val="20"/>
          <w:b w:val="1"/>
          <w:bCs w:val="1"/>
          <w:u w:val="single" w:color="auto"/>
          <w:color w:val="auto"/>
        </w:rPr>
        <w:t>Exhibit G</w:t>
      </w:r>
      <w:r>
        <w:rPr>
          <w:rFonts w:ascii="Arial" w:cs="Arial" w:eastAsia="Arial" w:hAnsi="Arial"/>
          <w:sz w:val="20"/>
          <w:szCs w:val="20"/>
          <w:color w:val="auto"/>
        </w:rPr>
        <w:t xml:space="preserve"> govern.</w:t>
      </w:r>
    </w:p>
    <w:p>
      <w:pPr>
        <w:spacing w:after="0" w:line="339" w:lineRule="exact"/>
        <w:rPr>
          <w:rFonts w:ascii="Arial" w:cs="Arial" w:eastAsia="Arial" w:hAnsi="Arial"/>
          <w:sz w:val="20"/>
          <w:szCs w:val="20"/>
          <w:color w:val="auto"/>
        </w:rPr>
      </w:pPr>
    </w:p>
    <w:p>
      <w:pPr>
        <w:ind w:left="660" w:hanging="652"/>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b w:val="1"/>
          <w:bCs w:val="1"/>
          <w:u w:val="single" w:color="auto"/>
          <w:color w:val="auto"/>
        </w:rPr>
        <w:t>OTHER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hanging="644"/>
        <w:spacing w:after="0" w:line="248" w:lineRule="auto"/>
        <w:tabs>
          <w:tab w:leader="none" w:pos="1300" w:val="left"/>
        </w:tabs>
        <w:numPr>
          <w:ilvl w:val="1"/>
          <w:numId w:val="106"/>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Lease sets forth the entire agreement between Landlord and Tenant concerning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and there are no agreements either oral or written other than as set forth herein. This Lease may be modified only by a written agreement signed by an authorized representative of each of Landlord and Tenant.</w:t>
      </w:r>
    </w:p>
    <w:p>
      <w:pPr>
        <w:spacing w:after="0" w:line="196" w:lineRule="exact"/>
        <w:rPr>
          <w:rFonts w:ascii="Arial" w:cs="Arial" w:eastAsia="Arial" w:hAnsi="Arial"/>
          <w:sz w:val="20"/>
          <w:szCs w:val="20"/>
          <w:color w:val="auto"/>
        </w:rPr>
      </w:pPr>
    </w:p>
    <w:p>
      <w:pPr>
        <w:jc w:val="both"/>
        <w:ind w:left="1300" w:hanging="644"/>
        <w:spacing w:after="0" w:line="280"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with respect to Tenant’s obligations and Landlord’s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provided that, if any date herein set forth for the performance of any monetary obligations by Landlord or Tenant, or for the delivery of any instrument or notice, should be on a Saturday, Sunday or Legal Holiday, the compliance with such monetary obligations or delivery will be deemed acceptable on the next business day following such Saturday, Sunday or Legal Holiday.</w:t>
      </w:r>
    </w:p>
    <w:p>
      <w:pPr>
        <w:spacing w:after="0" w:line="169" w:lineRule="exact"/>
        <w:rPr>
          <w:rFonts w:ascii="Arial" w:cs="Arial" w:eastAsia="Arial" w:hAnsi="Arial"/>
          <w:sz w:val="18"/>
          <w:szCs w:val="18"/>
          <w:color w:val="auto"/>
        </w:rPr>
      </w:pPr>
    </w:p>
    <w:p>
      <w:pPr>
        <w:jc w:val="both"/>
        <w:ind w:left="1300" w:hanging="644"/>
        <w:spacing w:after="0" w:line="27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Lease or the application of any such provision shall be held by a court</w:t>
      </w:r>
      <w:r>
        <w:rPr>
          <w:rFonts w:ascii="Arial" w:cs="Arial" w:eastAsia="Arial" w:hAnsi="Arial"/>
          <w:sz w:val="18"/>
          <w:szCs w:val="18"/>
          <w:b w:val="1"/>
          <w:bCs w:val="1"/>
          <w:color w:val="auto"/>
        </w:rPr>
        <w:t xml:space="preserve"> </w:t>
      </w:r>
      <w:r>
        <w:rPr>
          <w:rFonts w:ascii="Arial" w:cs="Arial" w:eastAsia="Arial" w:hAnsi="Arial"/>
          <w:sz w:val="18"/>
          <w:szCs w:val="18"/>
          <w:color w:val="auto"/>
        </w:rPr>
        <w:t>of competent jurisdiction to be invalid, void or unenforceable to any extent, then the remaining provisions of this Lease and the application thereof shall remain in full force and effect and shall not be affected, impaired or invalidated.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59" w:name="page160"/>
    <w:bookmarkEnd w:id="159"/>
    <w:p>
      <w:pPr>
        <w:jc w:val="both"/>
        <w:ind w:left="840" w:hanging="644"/>
        <w:spacing w:after="0" w:line="346"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Law</w:t>
      </w:r>
      <w:r>
        <w:rPr>
          <w:rFonts w:ascii="Arial" w:cs="Arial" w:eastAsia="Arial" w:hAnsi="Arial"/>
          <w:sz w:val="16"/>
          <w:szCs w:val="16"/>
          <w:color w:val="auto"/>
        </w:rPr>
        <w:t>. This Lease, and all claims or causes of action (whether in contract, tort or statute) that may be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arise out of or relate to this Lease, or the negotiation, execution or performance of this Lease, shall be governed by, and enforced in accordance with, the internal laws of the state where the Premises are located.</w:t>
      </w:r>
    </w:p>
    <w:p>
      <w:pPr>
        <w:spacing w:after="0" w:line="122" w:lineRule="exact"/>
        <w:rPr>
          <w:rFonts w:ascii="Arial" w:cs="Arial" w:eastAsia="Arial" w:hAnsi="Arial"/>
          <w:sz w:val="16"/>
          <w:szCs w:val="16"/>
          <w:color w:val="auto"/>
        </w:rPr>
      </w:pPr>
    </w:p>
    <w:p>
      <w:pPr>
        <w:jc w:val="both"/>
        <w:ind w:left="840" w:hanging="644"/>
        <w:spacing w:after="0" w:line="253"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This Lease shall be binding upon and inure to the benefit of the successors and</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of Landlord and, subject to compliance with the terms of the “Assignment and Subletting” Section above, Tenant.</w:t>
      </w:r>
    </w:p>
    <w:p>
      <w:pPr>
        <w:spacing w:after="0" w:line="190" w:lineRule="exact"/>
        <w:rPr>
          <w:rFonts w:ascii="Arial" w:cs="Arial" w:eastAsia="Arial" w:hAnsi="Arial"/>
          <w:sz w:val="20"/>
          <w:szCs w:val="20"/>
          <w:color w:val="auto"/>
        </w:rPr>
      </w:pPr>
    </w:p>
    <w:p>
      <w:pPr>
        <w:ind w:left="840" w:hanging="644"/>
        <w:spacing w:after="0" w:line="267"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Memorandum of Lease</w:t>
      </w:r>
      <w:r>
        <w:rPr>
          <w:rFonts w:ascii="Arial" w:cs="Arial" w:eastAsia="Arial" w:hAnsi="Arial"/>
          <w:sz w:val="20"/>
          <w:szCs w:val="20"/>
          <w:color w:val="auto"/>
        </w:rPr>
        <w:t>. Tenant shall not record this Lease, a short form memorandum hereof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 against Landlord’s title to the Project and/or Premises.</w:t>
      </w:r>
    </w:p>
    <w:p>
      <w:pPr>
        <w:spacing w:after="0" w:line="176" w:lineRule="exact"/>
        <w:rPr>
          <w:rFonts w:ascii="Arial" w:cs="Arial" w:eastAsia="Arial" w:hAnsi="Arial"/>
          <w:sz w:val="20"/>
          <w:szCs w:val="20"/>
          <w:color w:val="auto"/>
        </w:rPr>
      </w:pPr>
    </w:p>
    <w:p>
      <w:pPr>
        <w:jc w:val="both"/>
        <w:ind w:left="840" w:hanging="644"/>
        <w:spacing w:after="0" w:line="248"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Agency, Partnership or Joint Venture</w:t>
      </w:r>
      <w:r>
        <w:rPr>
          <w:rFonts w:ascii="Arial" w:cs="Arial" w:eastAsia="Arial" w:hAnsi="Arial"/>
          <w:sz w:val="20"/>
          <w:szCs w:val="20"/>
          <w:color w:val="auto"/>
        </w:rPr>
        <w:t>. Nothing contained herein nor any acts of the parties hereto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or construed by the parties hereto, nor by any third party, as creating the relationship of principal and agent or of partnership or of joint venture by the parties hereto or any other relationship beside landlord and tenant.</w:t>
      </w:r>
    </w:p>
    <w:p>
      <w:pPr>
        <w:spacing w:after="0" w:line="196" w:lineRule="exact"/>
        <w:rPr>
          <w:rFonts w:ascii="Arial" w:cs="Arial" w:eastAsia="Arial" w:hAnsi="Arial"/>
          <w:sz w:val="20"/>
          <w:szCs w:val="20"/>
          <w:color w:val="auto"/>
        </w:rPr>
      </w:pPr>
    </w:p>
    <w:p>
      <w:pPr>
        <w:jc w:val="both"/>
        <w:ind w:left="840" w:hanging="644"/>
        <w:spacing w:after="0" w:line="248"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Merger</w:t>
      </w:r>
      <w:r>
        <w:rPr>
          <w:rFonts w:ascii="Arial" w:cs="Arial" w:eastAsia="Arial" w:hAnsi="Arial"/>
          <w:sz w:val="20"/>
          <w:szCs w:val="20"/>
          <w:color w:val="auto"/>
        </w:rPr>
        <w:t>. The voluntary or other surrender of this Lease by Tenant or a mutual cancellation thereof or a</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by Landlord shall not work a merger and shall, at the option of Landlord, terminate all or any existing sub-tenancies or may, at the option of Landlord, operate as an assignment to Landlord of any or all of such sub-tenancies.</w:t>
      </w:r>
    </w:p>
    <w:p>
      <w:pPr>
        <w:spacing w:after="0" w:line="196" w:lineRule="exact"/>
        <w:rPr>
          <w:rFonts w:ascii="Arial" w:cs="Arial" w:eastAsia="Arial" w:hAnsi="Arial"/>
          <w:sz w:val="20"/>
          <w:szCs w:val="20"/>
          <w:color w:val="auto"/>
        </w:rPr>
      </w:pPr>
    </w:p>
    <w:p>
      <w:pPr>
        <w:ind w:left="840" w:hanging="644"/>
        <w:spacing w:after="0" w:line="267"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Section headings have been inserted solely as a matter of convenience and are not intended to</w:t>
      </w:r>
      <w:r>
        <w:rPr>
          <w:rFonts w:ascii="Arial" w:cs="Arial" w:eastAsia="Arial" w:hAnsi="Arial"/>
          <w:sz w:val="20"/>
          <w:szCs w:val="20"/>
          <w:b w:val="1"/>
          <w:bCs w:val="1"/>
          <w:color w:val="auto"/>
        </w:rPr>
        <w:t xml:space="preserve"> </w:t>
      </w:r>
      <w:r>
        <w:rPr>
          <w:rFonts w:ascii="Arial" w:cs="Arial" w:eastAsia="Arial" w:hAnsi="Arial"/>
          <w:sz w:val="20"/>
          <w:szCs w:val="20"/>
          <w:color w:val="auto"/>
        </w:rPr>
        <w:t>define or limit the scope of any of the provisions contained therein.</w:t>
      </w:r>
    </w:p>
    <w:p>
      <w:pPr>
        <w:spacing w:after="0" w:line="176" w:lineRule="exact"/>
        <w:rPr>
          <w:rFonts w:ascii="Arial" w:cs="Arial" w:eastAsia="Arial" w:hAnsi="Arial"/>
          <w:sz w:val="20"/>
          <w:szCs w:val="20"/>
          <w:color w:val="auto"/>
        </w:rPr>
      </w:pPr>
    </w:p>
    <w:p>
      <w:pPr>
        <w:jc w:val="both"/>
        <w:ind w:left="840" w:hanging="644"/>
        <w:spacing w:after="0" w:line="260" w:lineRule="auto"/>
        <w:tabs>
          <w:tab w:leader="none" w:pos="840" w:val="left"/>
        </w:tabs>
        <w:numPr>
          <w:ilvl w:val="0"/>
          <w:numId w:val="107"/>
        </w:numPr>
        <w:rPr>
          <w:rFonts w:ascii="Arial" w:cs="Arial" w:eastAsia="Arial" w:hAnsi="Arial"/>
          <w:sz w:val="19"/>
          <w:szCs w:val="19"/>
          <w:color w:val="auto"/>
        </w:rPr>
      </w:pPr>
      <w:r>
        <w:rPr>
          <w:rFonts w:ascii="Arial" w:cs="Arial" w:eastAsia="Arial" w:hAnsi="Arial"/>
          <w:sz w:val="19"/>
          <w:szCs w:val="19"/>
          <w:b w:val="1"/>
          <w:bCs w:val="1"/>
          <w:u w:val="single" w:color="auto"/>
          <w:color w:val="auto"/>
        </w:rPr>
        <w:t>Signs</w:t>
      </w:r>
      <w:r>
        <w:rPr>
          <w:rFonts w:ascii="Arial" w:cs="Arial" w:eastAsia="Arial" w:hAnsi="Arial"/>
          <w:sz w:val="19"/>
          <w:szCs w:val="19"/>
          <w:color w:val="auto"/>
        </w:rPr>
        <w:t>. Tenant shall not place any signs at the Project without the prior consent of Landlord, other than signs</w:t>
      </w:r>
      <w:r>
        <w:rPr>
          <w:rFonts w:ascii="Arial" w:cs="Arial" w:eastAsia="Arial" w:hAnsi="Arial"/>
          <w:sz w:val="19"/>
          <w:szCs w:val="19"/>
          <w:b w:val="1"/>
          <w:bCs w:val="1"/>
          <w:color w:val="auto"/>
        </w:rPr>
        <w:t xml:space="preserve"> </w:t>
      </w:r>
      <w:r>
        <w:rPr>
          <w:rFonts w:ascii="Arial" w:cs="Arial" w:eastAsia="Arial" w:hAnsi="Arial"/>
          <w:sz w:val="19"/>
          <w:szCs w:val="19"/>
          <w:color w:val="auto"/>
        </w:rPr>
        <w:t>that are located wholly within the interior of the Premises and not visible from the exterior of the Premises. Tenant shall Maintain all signs installed by Tenant in good condition. Tenant shall remove its signs on or prior to the Lease Expiration Date, shall repair any resulting damage, and shall restore the Project to its condition existing prior to the installation of Tenant’s signs. Landlord hereby consents to the existing signage on the Project pursuant to the Existing Lease.</w:t>
      </w:r>
    </w:p>
    <w:p>
      <w:pPr>
        <w:spacing w:after="0" w:line="186" w:lineRule="exact"/>
        <w:rPr>
          <w:rFonts w:ascii="Arial" w:cs="Arial" w:eastAsia="Arial" w:hAnsi="Arial"/>
          <w:sz w:val="19"/>
          <w:szCs w:val="19"/>
          <w:color w:val="auto"/>
        </w:rPr>
      </w:pPr>
    </w:p>
    <w:p>
      <w:pPr>
        <w:jc w:val="both"/>
        <w:ind w:left="840" w:hanging="644"/>
        <w:spacing w:after="0" w:line="245"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Brokers</w:t>
      </w:r>
      <w:r>
        <w:rPr>
          <w:rFonts w:ascii="Arial" w:cs="Arial" w:eastAsia="Arial" w:hAnsi="Arial"/>
          <w:sz w:val="20"/>
          <w:szCs w:val="20"/>
          <w:color w:val="auto"/>
        </w:rPr>
        <w:t>. Tenant agrees that it has dealt with no brokers in connection with this Lease, except Jones Lang</w:t>
      </w:r>
      <w:r>
        <w:rPr>
          <w:rFonts w:ascii="Arial" w:cs="Arial" w:eastAsia="Arial" w:hAnsi="Arial"/>
          <w:sz w:val="20"/>
          <w:szCs w:val="20"/>
          <w:b w:val="1"/>
          <w:bCs w:val="1"/>
          <w:color w:val="auto"/>
        </w:rPr>
        <w:t xml:space="preserve"> </w:t>
      </w:r>
      <w:r>
        <w:rPr>
          <w:rFonts w:ascii="Arial" w:cs="Arial" w:eastAsia="Arial" w:hAnsi="Arial"/>
          <w:sz w:val="20"/>
          <w:szCs w:val="20"/>
          <w:color w:val="auto"/>
        </w:rPr>
        <w:t>LaSalle (as “</w:t>
      </w:r>
      <w:r>
        <w:rPr>
          <w:rFonts w:ascii="Arial" w:cs="Arial" w:eastAsia="Arial" w:hAnsi="Arial"/>
          <w:sz w:val="20"/>
          <w:szCs w:val="20"/>
          <w:b w:val="1"/>
          <w:bCs w:val="1"/>
          <w:color w:val="auto"/>
        </w:rPr>
        <w:t>Landlord’s Broker</w:t>
      </w:r>
      <w:r>
        <w:rPr>
          <w:rFonts w:ascii="Arial" w:cs="Arial" w:eastAsia="Arial" w:hAnsi="Arial"/>
          <w:sz w:val="20"/>
          <w:szCs w:val="20"/>
          <w:color w:val="auto"/>
        </w:rPr>
        <w:t>”), and CBRE Inc. (as “</w:t>
      </w:r>
      <w:r>
        <w:rPr>
          <w:rFonts w:ascii="Arial" w:cs="Arial" w:eastAsia="Arial" w:hAnsi="Arial"/>
          <w:sz w:val="20"/>
          <w:szCs w:val="20"/>
          <w:b w:val="1"/>
          <w:bCs w:val="1"/>
          <w:color w:val="auto"/>
        </w:rPr>
        <w:t>Tenant’s Broker</w:t>
      </w:r>
      <w:r>
        <w:rPr>
          <w:rFonts w:ascii="Arial" w:cs="Arial" w:eastAsia="Arial" w:hAnsi="Arial"/>
          <w:sz w:val="20"/>
          <w:szCs w:val="20"/>
          <w:color w:val="auto"/>
        </w:rPr>
        <w:t>”). Landlord agrees to pay any commission due by Landlord to Landlord’s Broker and Tenant’s Broker pursuant to separate agreements. Tenant agrees to indemnify and hold Landlord harmless from any and all claims for commissions or fees in connection with the Premises and this Lease from any other real estate brokers or agents with whom Tenant may have dealt.</w:t>
      </w:r>
    </w:p>
    <w:p>
      <w:pPr>
        <w:spacing w:after="0" w:line="197" w:lineRule="exact"/>
        <w:rPr>
          <w:rFonts w:ascii="Arial" w:cs="Arial" w:eastAsia="Arial" w:hAnsi="Arial"/>
          <w:sz w:val="20"/>
          <w:szCs w:val="20"/>
          <w:color w:val="auto"/>
        </w:rPr>
      </w:pPr>
    </w:p>
    <w:p>
      <w:pPr>
        <w:jc w:val="both"/>
        <w:ind w:left="840" w:right="20" w:hanging="644"/>
        <w:spacing w:after="0" w:line="265" w:lineRule="auto"/>
        <w:tabs>
          <w:tab w:leader="none" w:pos="840" w:val="left"/>
        </w:tabs>
        <w:numPr>
          <w:ilvl w:val="0"/>
          <w:numId w:val="107"/>
        </w:numPr>
        <w:rPr>
          <w:rFonts w:ascii="Arial" w:cs="Arial" w:eastAsia="Arial" w:hAnsi="Arial"/>
          <w:sz w:val="19"/>
          <w:szCs w:val="19"/>
          <w:color w:val="auto"/>
        </w:rPr>
      </w:pPr>
      <w:r>
        <w:rPr>
          <w:rFonts w:ascii="Arial" w:cs="Arial" w:eastAsia="Arial" w:hAnsi="Arial"/>
          <w:sz w:val="19"/>
          <w:szCs w:val="19"/>
          <w:b w:val="1"/>
          <w:bCs w:val="1"/>
          <w:u w:val="single" w:color="auto"/>
          <w:color w:val="auto"/>
        </w:rPr>
        <w:t>Joint and Several</w:t>
      </w:r>
      <w:r>
        <w:rPr>
          <w:rFonts w:ascii="Arial" w:cs="Arial" w:eastAsia="Arial" w:hAnsi="Arial"/>
          <w:sz w:val="19"/>
          <w:szCs w:val="19"/>
          <w:color w:val="auto"/>
        </w:rPr>
        <w:t>. If Tenant consists of more than one person, then the obligation of all such persons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joint and several. In such event, requests or demands from any one person or entity comprising Tenant shall be deemed to have been made by all such persons or entities, and notices to any one person or entity shall be deemed to have been given to all persons and entities.</w:t>
      </w:r>
    </w:p>
    <w:p>
      <w:pPr>
        <w:spacing w:after="0" w:line="182" w:lineRule="exact"/>
        <w:rPr>
          <w:rFonts w:ascii="Arial" w:cs="Arial" w:eastAsia="Arial" w:hAnsi="Arial"/>
          <w:sz w:val="19"/>
          <w:szCs w:val="19"/>
          <w:color w:val="auto"/>
        </w:rPr>
      </w:pPr>
    </w:p>
    <w:p>
      <w:pPr>
        <w:jc w:val="both"/>
        <w:ind w:left="840" w:hanging="644"/>
        <w:spacing w:after="0" w:line="253" w:lineRule="auto"/>
        <w:tabs>
          <w:tab w:leader="none" w:pos="840"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OFAC</w:t>
      </w:r>
      <w:r>
        <w:rPr>
          <w:rFonts w:ascii="Arial" w:cs="Arial" w:eastAsia="Arial" w:hAnsi="Arial"/>
          <w:sz w:val="20"/>
          <w:szCs w:val="20"/>
          <w:color w:val="auto"/>
        </w:rPr>
        <w:t>. Tenant hereby represents, warrants and certifies that: (a) neither it nor its officers, directors, or</w:t>
      </w:r>
      <w:r>
        <w:rPr>
          <w:rFonts w:ascii="Arial" w:cs="Arial" w:eastAsia="Arial" w:hAnsi="Arial"/>
          <w:sz w:val="20"/>
          <w:szCs w:val="20"/>
          <w:b w:val="1"/>
          <w:bCs w:val="1"/>
          <w:color w:val="auto"/>
        </w:rPr>
        <w:t xml:space="preserve"> </w:t>
      </w:r>
      <w:r>
        <w:rPr>
          <w:rFonts w:ascii="Arial" w:cs="Arial" w:eastAsia="Arial" w:hAnsi="Arial"/>
          <w:sz w:val="20"/>
          <w:szCs w:val="20"/>
          <w:color w:val="auto"/>
        </w:rPr>
        <w:t>controlling owners is acting, directly or indirectly, for or on behalf of any person, group, entity, or nation named by any Executive Order, the United States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160" w:name="page161"/>
    <w:bookmarkEnd w:id="160"/>
    <w:p>
      <w:pPr>
        <w:jc w:val="both"/>
        <w:ind w:left="840"/>
        <w:spacing w:after="0" w:line="255" w:lineRule="auto"/>
        <w:rPr>
          <w:sz w:val="20"/>
          <w:szCs w:val="20"/>
          <w:color w:val="auto"/>
        </w:rPr>
      </w:pPr>
      <w:r>
        <w:rPr>
          <w:rFonts w:ascii="Arial" w:cs="Arial" w:eastAsia="Arial" w:hAnsi="Arial"/>
          <w:sz w:val="19"/>
          <w:szCs w:val="19"/>
          <w:color w:val="auto"/>
        </w:rPr>
        <w:t>Department of Justice, or the United States Treasury Department as a terrorist, “Specifically Designated National or Blocked Person,” or other banned or blocked person, entity, nation, or transaction pursuant to any law, order, rule or regulation that is enforced or administered by the Office of Foreign Assets Control (“</w:t>
      </w:r>
      <w:r>
        <w:rPr>
          <w:rFonts w:ascii="Arial" w:cs="Arial" w:eastAsia="Arial" w:hAnsi="Arial"/>
          <w:sz w:val="19"/>
          <w:szCs w:val="19"/>
          <w:b w:val="1"/>
          <w:bCs w:val="1"/>
          <w:color w:val="auto"/>
        </w:rPr>
        <w:t>SDN</w:t>
      </w:r>
      <w:r>
        <w:rPr>
          <w:rFonts w:ascii="Arial" w:cs="Arial" w:eastAsia="Arial" w:hAnsi="Arial"/>
          <w:sz w:val="19"/>
          <w:szCs w:val="19"/>
          <w:color w:val="auto"/>
        </w:rPr>
        <w:t>”); (b) neither it nor its officers, directors or controlling owners is engaged in this transaction, directly or indirectly on behalf of, or instigating or facilitating this transaction, directly or indirectly on behalf of, any such person, group, entity, or nation; and (c) neither it nor its officers, directors or controlling owners is in violation of Presidential Executive Order 13224, the USA PATRIOT Act, (Public Law 107-56), the Bank Secrecy Act, the Money Laundering Control Act or any regulations promulgated pursuant thereto. If the foregoing representations are untrue at any time during the Term, then an Event of Default will be deemed to have occurred, without the necessity of notice to Tenant. The provisions of this subsection shall survive the Lease Expiration Date.</w:t>
      </w:r>
    </w:p>
    <w:p>
      <w:pPr>
        <w:spacing w:after="0" w:line="194" w:lineRule="exact"/>
        <w:rPr>
          <w:sz w:val="20"/>
          <w:szCs w:val="20"/>
          <w:color w:val="auto"/>
        </w:rPr>
      </w:pPr>
    </w:p>
    <w:p>
      <w:pPr>
        <w:jc w:val="both"/>
        <w:ind w:left="840" w:hanging="644"/>
        <w:spacing w:after="0" w:line="246" w:lineRule="auto"/>
        <w:tabs>
          <w:tab w:leader="none" w:pos="840" w:val="left"/>
        </w:tabs>
        <w:numPr>
          <w:ilvl w:val="0"/>
          <w:numId w:val="108"/>
        </w:numPr>
        <w:rPr>
          <w:rFonts w:ascii="Arial" w:cs="Arial" w:eastAsia="Arial" w:hAnsi="Arial"/>
          <w:sz w:val="20"/>
          <w:szCs w:val="20"/>
          <w:color w:val="auto"/>
        </w:rPr>
      </w:pPr>
      <w:r>
        <w:rPr>
          <w:rFonts w:ascii="Arial" w:cs="Arial" w:eastAsia="Arial" w:hAnsi="Arial"/>
          <w:sz w:val="20"/>
          <w:szCs w:val="20"/>
          <w:b w:val="1"/>
          <w:bCs w:val="1"/>
          <w:u w:val="single" w:color="auto"/>
          <w:color w:val="auto"/>
        </w:rPr>
        <w:t>Roof Use by Landlord</w:t>
      </w:r>
      <w:r>
        <w:rPr>
          <w:rFonts w:ascii="Arial" w:cs="Arial" w:eastAsia="Arial" w:hAnsi="Arial"/>
          <w:sz w:val="20"/>
          <w:szCs w:val="20"/>
          <w:color w:val="auto"/>
        </w:rPr>
        <w:t>. Landlord reserves the right to use the surface of the roof in any manner which does</w:t>
      </w:r>
      <w:r>
        <w:rPr>
          <w:rFonts w:ascii="Arial" w:cs="Arial" w:eastAsia="Arial" w:hAnsi="Arial"/>
          <w:sz w:val="20"/>
          <w:szCs w:val="20"/>
          <w:b w:val="1"/>
          <w:bCs w:val="1"/>
          <w:color w:val="auto"/>
        </w:rPr>
        <w:t xml:space="preserve"> </w:t>
      </w:r>
      <w:r>
        <w:rPr>
          <w:rFonts w:ascii="Arial" w:cs="Arial" w:eastAsia="Arial" w:hAnsi="Arial"/>
          <w:sz w:val="20"/>
          <w:szCs w:val="20"/>
          <w:color w:val="auto"/>
        </w:rPr>
        <w:t>not materially interfere with Tenant’s use of the Premises including, but not limited to, installation of telecommunication equipment, solar equipment, fuel cells, battery storage, distributed technologies or any other uses. Landlord acknowledges and agrees that its right of access to the roof is subject to the restrictions set forth in Section 14 of this Lease.</w:t>
      </w:r>
    </w:p>
    <w:p>
      <w:pPr>
        <w:spacing w:after="0" w:line="198" w:lineRule="exact"/>
        <w:rPr>
          <w:rFonts w:ascii="Arial" w:cs="Arial" w:eastAsia="Arial" w:hAnsi="Arial"/>
          <w:sz w:val="20"/>
          <w:szCs w:val="20"/>
          <w:color w:val="auto"/>
        </w:rPr>
      </w:pPr>
    </w:p>
    <w:p>
      <w:pPr>
        <w:jc w:val="both"/>
        <w:ind w:left="840" w:hanging="644"/>
        <w:spacing w:after="0" w:line="271" w:lineRule="auto"/>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Renewable Energy</w:t>
      </w:r>
      <w:r>
        <w:rPr>
          <w:rFonts w:ascii="Arial" w:cs="Arial" w:eastAsia="Arial" w:hAnsi="Arial"/>
          <w:sz w:val="18"/>
          <w:szCs w:val="18"/>
          <w:color w:val="auto"/>
        </w:rPr>
        <w:t>. Tenant agrees to cooperate with Landlord in the event that Landlord desires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 source of renewable energy to serve the Premises or the Project, such as solar or wind power. Without limiting the foregoing, Tenant shall, upon request, (i) provide Landlord with its actual and estimated future energy consumption needs, (ii) if the Premises is separately metered, enter into a reasonable power purchase agreement with Landlord or the generator of the renewable energy source, provided that Tenant shall not be obligated to pay more than it pays the utility company, (iii) in connection with any such renewable energy source, enter into a reasonable net meter arrangement with the utility company providing service to the Premises, and (iv) permit Landlord and/or the installation company reasonable access to the Premises to permit connection of the renewable energy system and net meter to the electrical facilities serving the Premises. Upon installation of any renewable energy system, Tenant shall be obligated to purchase the energy generated by such system, not to exceed Tenant’s actual energy usage.</w:t>
      </w:r>
    </w:p>
    <w:p>
      <w:pPr>
        <w:spacing w:after="0" w:line="183" w:lineRule="exact"/>
        <w:rPr>
          <w:rFonts w:ascii="Arial" w:cs="Arial" w:eastAsia="Arial" w:hAnsi="Arial"/>
          <w:sz w:val="18"/>
          <w:szCs w:val="18"/>
          <w:color w:val="auto"/>
        </w:rPr>
      </w:pPr>
    </w:p>
    <w:p>
      <w:pPr>
        <w:jc w:val="both"/>
        <w:ind w:left="840" w:hanging="644"/>
        <w:spacing w:after="0" w:line="274" w:lineRule="auto"/>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If either party to this Lease is prevented from performing any obligation under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by a Force Majeure, such obligation shall be excused during (and any time period for the performance of such obligation shall be extended by) the period during which the Force Majeure continues; provided, however, that this Section shall not (a) permit Tenant to hold over in the Premises after the Lease Expiration Date, or (b) excuse (or extend any time period for the performance of) (i) any obligation to pay Rent, otherwise remit money or deliver credit enhancement, (ii) any obligation under the “Indemnity and Waiver of Claims” and “Insurance” Sections, or (iii) any of Tenant’s obligations whose breach would interfere with another occupant’s use, occupancy or enjoyment of its Premises or the Project.</w:t>
      </w:r>
    </w:p>
    <w:p>
      <w:pPr>
        <w:spacing w:after="0" w:line="175" w:lineRule="exact"/>
        <w:rPr>
          <w:rFonts w:ascii="Arial" w:cs="Arial" w:eastAsia="Arial" w:hAnsi="Arial"/>
          <w:sz w:val="18"/>
          <w:szCs w:val="18"/>
          <w:color w:val="auto"/>
        </w:rPr>
      </w:pPr>
    </w:p>
    <w:p>
      <w:pPr>
        <w:jc w:val="both"/>
        <w:ind w:left="840" w:hanging="644"/>
        <w:spacing w:after="0" w:line="246" w:lineRule="auto"/>
        <w:tabs>
          <w:tab w:leader="none" w:pos="840" w:val="left"/>
        </w:tabs>
        <w:numPr>
          <w:ilvl w:val="0"/>
          <w:numId w:val="108"/>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Lease may be executed in one or more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taken together shall constitute one and the same instrument. The signature of a party transmitted electronically (e.g., e-signature) or by facsimile, email of a pdf copy, DocuSign or other similar technology application shall constitute and have the same force and effect as the original signature of the party.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161" w:name="page162"/>
    <w:bookmarkEnd w:id="161"/>
    <w:p>
      <w:pPr>
        <w:jc w:val="both"/>
        <w:ind w:left="840"/>
        <w:spacing w:after="0" w:line="269" w:lineRule="auto"/>
        <w:rPr>
          <w:sz w:val="20"/>
          <w:szCs w:val="20"/>
          <w:color w:val="auto"/>
        </w:rPr>
      </w:pPr>
      <w:r>
        <w:rPr>
          <w:rFonts w:ascii="Arial" w:cs="Arial" w:eastAsia="Arial" w:hAnsi="Arial"/>
          <w:sz w:val="19"/>
          <w:szCs w:val="19"/>
          <w:color w:val="auto"/>
        </w:rPr>
        <w:t>Following execution, a pdf (or similar image file format) of this Lease (whether signed electronically or in ink) shall be deemed the equivalent of the delivery of the original, and any party delivering such a counterpart shall in all events deliver to the other party an original signature promptly upon request.</w:t>
      </w:r>
    </w:p>
    <w:p>
      <w:pPr>
        <w:spacing w:after="0" w:line="177" w:lineRule="exact"/>
        <w:rPr>
          <w:sz w:val="20"/>
          <w:szCs w:val="20"/>
          <w:color w:val="auto"/>
        </w:rPr>
      </w:pPr>
    </w:p>
    <w:p>
      <w:pPr>
        <w:jc w:val="both"/>
        <w:ind w:left="840" w:hanging="644"/>
        <w:spacing w:after="0" w:line="245" w:lineRule="auto"/>
        <w:tabs>
          <w:tab w:leader="none" w:pos="84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Unrelated Business Income</w:t>
      </w:r>
      <w:r>
        <w:rPr>
          <w:rFonts w:ascii="Arial" w:cs="Arial" w:eastAsia="Arial" w:hAnsi="Arial"/>
          <w:sz w:val="20"/>
          <w:szCs w:val="20"/>
          <w:color w:val="auto"/>
        </w:rPr>
        <w:t>. If Landlord becomes aware that any part of the payments by Tenant to</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under this Lease may be characterized as (i) unrelated business income, or (ii) not “rents from real property,” in each case, under the United States Internal Revenue Code and related regulations, then Tenant shall enter into any amendment proposed by Landlord to change such characterizations, provided the amendment does not require Tenant to make more payments or accept fewer services from Landlord than under this Lease.</w:t>
      </w:r>
    </w:p>
    <w:p>
      <w:pPr>
        <w:spacing w:after="0" w:line="197" w:lineRule="exact"/>
        <w:rPr>
          <w:rFonts w:ascii="Arial" w:cs="Arial" w:eastAsia="Arial" w:hAnsi="Arial"/>
          <w:sz w:val="20"/>
          <w:szCs w:val="20"/>
          <w:color w:val="auto"/>
        </w:rPr>
      </w:pPr>
    </w:p>
    <w:p>
      <w:pPr>
        <w:jc w:val="both"/>
        <w:ind w:left="840" w:hanging="644"/>
        <w:spacing w:after="0" w:line="248" w:lineRule="auto"/>
        <w:tabs>
          <w:tab w:leader="none" w:pos="84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Redemption of Tenant</w:t>
      </w:r>
      <w:r>
        <w:rPr>
          <w:rFonts w:ascii="Arial" w:cs="Arial" w:eastAsia="Arial" w:hAnsi="Arial"/>
          <w:sz w:val="20"/>
          <w:szCs w:val="20"/>
          <w:color w:val="auto"/>
        </w:rPr>
        <w:t>. Tenant hereby waives, for Tenant and for all those claiming by, under or</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Tenant, all rights now or hereafter existing to redeem by order or judgment of any court or by any legal process or writ, Tenant’s right of occupancy of the Premises or Project after any termination of this Lease.</w:t>
      </w:r>
    </w:p>
    <w:p>
      <w:pPr>
        <w:spacing w:after="0" w:line="196" w:lineRule="exact"/>
        <w:rPr>
          <w:rFonts w:ascii="Arial" w:cs="Arial" w:eastAsia="Arial" w:hAnsi="Arial"/>
          <w:sz w:val="20"/>
          <w:szCs w:val="20"/>
          <w:color w:val="auto"/>
        </w:rPr>
      </w:pPr>
    </w:p>
    <w:p>
      <w:pPr>
        <w:jc w:val="both"/>
        <w:ind w:left="840" w:hanging="644"/>
        <w:spacing w:after="0" w:line="244" w:lineRule="auto"/>
        <w:tabs>
          <w:tab w:leader="none" w:pos="84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Reserved by Landlord</w:t>
      </w:r>
      <w:r>
        <w:rPr>
          <w:rFonts w:ascii="Arial" w:cs="Arial" w:eastAsia="Arial" w:hAnsi="Arial"/>
          <w:sz w:val="20"/>
          <w:szCs w:val="20"/>
          <w:color w:val="auto"/>
        </w:rPr>
        <w:t>. Landlord excepts and reserves exclusively to itself any and all rights not</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granted to Tenant under this Lease. Landlord reserves the right to make changes to the Project and the Building as Landlord deems appropriate, including, without limitation, the right to grant easements, rights of way, utility raceways and make dedications; to grant lease, license or use rights to third parties; to utilize the foregoing easements or licenses at the Project; to dedicate for public use portions of the Project; to improve the energy efficiency or sustainability of the Building or the Project; and to change the name of the Building or the Project.</w:t>
      </w:r>
    </w:p>
    <w:p>
      <w:pPr>
        <w:spacing w:after="0" w:line="199" w:lineRule="exact"/>
        <w:rPr>
          <w:rFonts w:ascii="Arial" w:cs="Arial" w:eastAsia="Arial" w:hAnsi="Arial"/>
          <w:sz w:val="20"/>
          <w:szCs w:val="20"/>
          <w:color w:val="auto"/>
        </w:rPr>
      </w:pPr>
    </w:p>
    <w:p>
      <w:pPr>
        <w:ind w:left="840" w:hanging="644"/>
        <w:spacing w:after="0" w:line="267" w:lineRule="auto"/>
        <w:tabs>
          <w:tab w:leader="none" w:pos="84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Sustainability Contact</w:t>
      </w:r>
      <w:r>
        <w:rPr>
          <w:rFonts w:ascii="Arial" w:cs="Arial" w:eastAsia="Arial" w:hAnsi="Arial"/>
          <w:sz w:val="20"/>
          <w:szCs w:val="20"/>
          <w:color w:val="auto"/>
        </w:rPr>
        <w:t>. Landlord’s sustainability contact for the Project can be reached at</w:t>
      </w:r>
      <w:r>
        <w:rPr>
          <w:rFonts w:ascii="Arial" w:cs="Arial" w:eastAsia="Arial" w:hAnsi="Arial"/>
          <w:sz w:val="20"/>
          <w:szCs w:val="20"/>
          <w:b w:val="1"/>
          <w:bCs w:val="1"/>
          <w:color w:val="auto"/>
        </w:rPr>
        <w:t xml:space="preserve"> </w:t>
      </w:r>
      <w:r>
        <w:rPr>
          <w:rFonts w:ascii="Arial" w:cs="Arial" w:eastAsia="Arial" w:hAnsi="Arial"/>
          <w:sz w:val="20"/>
          <w:szCs w:val="20"/>
          <w:color w:val="auto"/>
        </w:rPr>
        <w:t>sustainability@linklogistics.com.</w:t>
      </w:r>
    </w:p>
    <w:p>
      <w:pPr>
        <w:spacing w:after="0" w:line="176" w:lineRule="exact"/>
        <w:rPr>
          <w:rFonts w:ascii="Arial" w:cs="Arial" w:eastAsia="Arial" w:hAnsi="Arial"/>
          <w:sz w:val="20"/>
          <w:szCs w:val="20"/>
          <w:color w:val="auto"/>
        </w:rPr>
      </w:pPr>
    </w:p>
    <w:p>
      <w:pPr>
        <w:ind w:left="840" w:hanging="644"/>
        <w:spacing w:after="0"/>
        <w:tabs>
          <w:tab w:leader="none" w:pos="84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Exhibits</w:t>
      </w:r>
      <w:r>
        <w:rPr>
          <w:rFonts w:ascii="Arial" w:cs="Arial" w:eastAsia="Arial" w:hAnsi="Arial"/>
          <w:sz w:val="20"/>
          <w:szCs w:val="20"/>
          <w:color w:val="auto"/>
        </w:rPr>
        <w:t>: The following exhibits are incorporated into and made a part of this Lease:</w:t>
      </w:r>
    </w:p>
    <w:p>
      <w:pPr>
        <w:spacing w:after="0" w:line="235" w:lineRule="exact"/>
        <w:rPr>
          <w:rFonts w:ascii="Arial" w:cs="Arial" w:eastAsia="Arial" w:hAnsi="Arial"/>
          <w:sz w:val="20"/>
          <w:szCs w:val="20"/>
          <w:color w:val="auto"/>
        </w:rPr>
      </w:pP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A (Definitions)</w:t>
      </w:r>
    </w:p>
    <w:p>
      <w:pPr>
        <w:spacing w:after="0" w:line="15" w:lineRule="exact"/>
        <w:rPr>
          <w:rFonts w:ascii="Arial" w:cs="Arial" w:eastAsia="Arial" w:hAnsi="Arial"/>
          <w:sz w:val="18"/>
          <w:szCs w:val="18"/>
          <w:color w:val="auto"/>
        </w:rPr>
      </w:pP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B (Plan Showing Premises)</w:t>
      </w: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C (Rules and Regulations)</w:t>
      </w: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D (Landlord Payment Instructions; Tenant Portal Instructions)</w:t>
      </w: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E (Minimum Service Contract Requirements)</w:t>
      </w: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F (Move Out Conditions)</w:t>
      </w:r>
    </w:p>
    <w:p>
      <w:pPr>
        <w:ind w:left="1500" w:hanging="656"/>
        <w:spacing w:after="0"/>
        <w:tabs>
          <w:tab w:leader="none" w:pos="150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Exhibit G (State Law Addendum)</w:t>
      </w:r>
    </w:p>
    <w:p>
      <w:pPr>
        <w:spacing w:after="0" w:line="21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2" w:right="99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Landlord and Tenant have executed this Lease as of the day and year first above written.</w:t>
      </w:r>
    </w:p>
    <w:p>
      <w:pPr>
        <w:spacing w:after="0" w:line="24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LANDLORD:</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BCORE Defender CA1W03, LLC</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4960"/>
        <w:spacing w:after="0"/>
        <w:tabs>
          <w:tab w:leader="none" w:pos="5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Finnigan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10160</wp:posOffset>
            </wp:positionV>
            <wp:extent cx="2888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Joseph Finnigan</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-144780</wp:posOffset>
            </wp:positionV>
            <wp:extent cx="27686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TENANT:</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tbl>
      <w:tblPr>
        <w:tblLayout w:type="fixed"/>
        <w:tblInd w:w="4960" w:type="dxa"/>
        <w:tblCellMar>
          <w:top w:w="0" w:type="dxa"/>
          <w:left w:w="0" w:type="dxa"/>
          <w:bottom w:w="0" w:type="dxa"/>
          <w:right w:w="0" w:type="dxa"/>
        </w:tblCellMar>
      </w:tblPr>
      <w:tr>
        <w:trPr>
          <w:trHeight w:val="246"/>
        </w:trPr>
        <w:tc>
          <w:tcPr>
            <w:tcW w:w="540" w:type="dxa"/>
            <w:vAlign w:val="bottom"/>
            <w:gridSpan w:val="2"/>
          </w:tcPr>
          <w:p>
            <w:pPr>
              <w:spacing w:after="0"/>
              <w:rPr>
                <w:sz w:val="20"/>
                <w:szCs w:val="20"/>
                <w:color w:val="auto"/>
              </w:rPr>
            </w:pPr>
            <w:r>
              <w:rPr>
                <w:rFonts w:ascii="Arial" w:cs="Arial" w:eastAsia="Arial" w:hAnsi="Arial"/>
                <w:sz w:val="20"/>
                <w:szCs w:val="20"/>
                <w:color w:val="auto"/>
              </w:rPr>
              <w:t>By:</w:t>
            </w:r>
          </w:p>
        </w:tc>
        <w:tc>
          <w:tcPr>
            <w:tcW w:w="4420" w:type="dxa"/>
            <w:vAlign w:val="bottom"/>
          </w:tcPr>
          <w:p>
            <w:pPr>
              <w:ind w:left="120"/>
              <w:spacing w:after="0"/>
              <w:rPr>
                <w:sz w:val="20"/>
                <w:szCs w:val="20"/>
                <w:color w:val="auto"/>
              </w:rPr>
            </w:pPr>
            <w:r>
              <w:rPr>
                <w:rFonts w:ascii="Arial" w:cs="Arial" w:eastAsia="Arial" w:hAnsi="Arial"/>
                <w:sz w:val="20"/>
                <w:szCs w:val="20"/>
                <w:color w:val="auto"/>
              </w:rPr>
              <w:t>/s/ Kevin McDonnell</w:t>
            </w:r>
          </w:p>
        </w:tc>
      </w:tr>
      <w:tr>
        <w:trPr>
          <w:trHeight w:val="223"/>
        </w:trPr>
        <w:tc>
          <w:tcPr>
            <w:tcW w:w="420" w:type="dxa"/>
            <w:vAlign w:val="bottom"/>
          </w:tcPr>
          <w:p>
            <w:pPr>
              <w:spacing w:after="0"/>
              <w:rPr>
                <w:sz w:val="20"/>
                <w:szCs w:val="20"/>
                <w:color w:val="auto"/>
              </w:rPr>
            </w:pPr>
            <w:r>
              <w:rPr>
                <w:rFonts w:ascii="Arial" w:cs="Arial" w:eastAsia="Arial" w:hAnsi="Arial"/>
                <w:sz w:val="19"/>
                <w:szCs w:val="19"/>
                <w:color w:val="auto"/>
                <w:w w:val="71"/>
              </w:rPr>
              <w:t>Name:</w:t>
            </w:r>
          </w:p>
        </w:tc>
        <w:tc>
          <w:tcPr>
            <w:tcW w:w="120" w:type="dxa"/>
            <w:vAlign w:val="bottom"/>
            <w:tcBorders>
              <w:top w:val="single" w:sz="8" w:color="auto"/>
            </w:tcBorders>
          </w:tcPr>
          <w:p>
            <w:pPr>
              <w:spacing w:after="0"/>
              <w:rPr>
                <w:sz w:val="19"/>
                <w:szCs w:val="19"/>
                <w:color w:val="auto"/>
              </w:rPr>
            </w:pPr>
          </w:p>
        </w:tc>
        <w:tc>
          <w:tcPr>
            <w:tcW w:w="4420" w:type="dxa"/>
            <w:vAlign w:val="bottom"/>
            <w:tcBorders>
              <w:top w:val="single" w:sz="8" w:color="auto"/>
              <w:bottom w:val="single" w:sz="8" w:color="auto"/>
            </w:tcBorders>
          </w:tcPr>
          <w:p>
            <w:pPr>
              <w:spacing w:after="0"/>
              <w:rPr>
                <w:sz w:val="19"/>
                <w:szCs w:val="19"/>
                <w:color w:val="auto"/>
              </w:rPr>
            </w:pPr>
          </w:p>
        </w:tc>
      </w:tr>
      <w:tr>
        <w:trPr>
          <w:trHeight w:val="223"/>
        </w:trPr>
        <w:tc>
          <w:tcPr>
            <w:tcW w:w="540" w:type="dxa"/>
            <w:vAlign w:val="bottom"/>
            <w:gridSpan w:val="2"/>
          </w:tcPr>
          <w:p>
            <w:pPr>
              <w:spacing w:after="0" w:line="223" w:lineRule="exact"/>
              <w:rPr>
                <w:sz w:val="20"/>
                <w:szCs w:val="20"/>
                <w:color w:val="auto"/>
              </w:rPr>
            </w:pPr>
            <w:r>
              <w:rPr>
                <w:rFonts w:ascii="Arial" w:cs="Arial" w:eastAsia="Arial" w:hAnsi="Arial"/>
                <w:sz w:val="20"/>
                <w:szCs w:val="20"/>
                <w:color w:val="auto"/>
              </w:rPr>
              <w:t>Title:</w:t>
            </w:r>
          </w:p>
        </w:tc>
        <w:tc>
          <w:tcPr>
            <w:tcW w:w="44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terms are defined in the body of the Lease: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“Additional Insureds”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“Broker(s)”</w:t>
      </w:r>
    </w:p>
    <w:p>
      <w:pPr>
        <w:spacing w:after="0"/>
        <w:rPr>
          <w:sz w:val="20"/>
          <w:szCs w:val="20"/>
          <w:color w:val="auto"/>
        </w:rPr>
      </w:pPr>
      <w:r>
        <w:rPr>
          <w:rFonts w:ascii="Arial" w:cs="Arial" w:eastAsia="Arial" w:hAnsi="Arial"/>
          <w:sz w:val="20"/>
          <w:szCs w:val="20"/>
          <w:color w:val="auto"/>
        </w:rPr>
        <w:t>“Building”</w:t>
      </w:r>
    </w:p>
    <w:p>
      <w:pPr>
        <w:spacing w:after="0"/>
        <w:rPr>
          <w:sz w:val="20"/>
          <w:szCs w:val="20"/>
          <w:color w:val="auto"/>
        </w:rPr>
      </w:pPr>
      <w:r>
        <w:rPr>
          <w:rFonts w:ascii="Arial" w:cs="Arial" w:eastAsia="Arial" w:hAnsi="Arial"/>
          <w:sz w:val="20"/>
          <w:szCs w:val="20"/>
          <w:color w:val="auto"/>
        </w:rPr>
        <w:t>“CGL Policy”</w:t>
      </w:r>
    </w:p>
    <w:p>
      <w:pPr>
        <w:spacing w:after="0"/>
        <w:rPr>
          <w:sz w:val="20"/>
          <w:szCs w:val="20"/>
          <w:color w:val="auto"/>
        </w:rPr>
      </w:pPr>
      <w:r>
        <w:rPr>
          <w:rFonts w:ascii="Arial" w:cs="Arial" w:eastAsia="Arial" w:hAnsi="Arial"/>
          <w:sz w:val="20"/>
          <w:szCs w:val="20"/>
          <w:color w:val="auto"/>
        </w:rPr>
        <w:t>“Estimated Expenses”</w:t>
      </w:r>
    </w:p>
    <w:p>
      <w:pPr>
        <w:spacing w:after="0"/>
        <w:rPr>
          <w:sz w:val="20"/>
          <w:szCs w:val="20"/>
          <w:color w:val="auto"/>
        </w:rPr>
      </w:pPr>
      <w:r>
        <w:rPr>
          <w:rFonts w:ascii="Arial" w:cs="Arial" w:eastAsia="Arial" w:hAnsi="Arial"/>
          <w:sz w:val="20"/>
          <w:szCs w:val="20"/>
          <w:color w:val="auto"/>
        </w:rPr>
        <w:t>“Estimated Expense Notice”</w:t>
      </w:r>
    </w:p>
    <w:p>
      <w:pPr>
        <w:spacing w:after="0"/>
        <w:rPr>
          <w:sz w:val="20"/>
          <w:szCs w:val="20"/>
          <w:color w:val="auto"/>
        </w:rPr>
      </w:pPr>
      <w:r>
        <w:rPr>
          <w:rFonts w:ascii="Arial" w:cs="Arial" w:eastAsia="Arial" w:hAnsi="Arial"/>
          <w:sz w:val="20"/>
          <w:szCs w:val="20"/>
          <w:color w:val="auto"/>
        </w:rPr>
        <w:t>“Event of Default”</w:t>
      </w:r>
    </w:p>
    <w:p>
      <w:pPr>
        <w:spacing w:after="0"/>
        <w:rPr>
          <w:sz w:val="20"/>
          <w:szCs w:val="20"/>
          <w:color w:val="auto"/>
        </w:rPr>
      </w:pPr>
      <w:r>
        <w:rPr>
          <w:rFonts w:ascii="Arial" w:cs="Arial" w:eastAsia="Arial" w:hAnsi="Arial"/>
          <w:sz w:val="20"/>
          <w:szCs w:val="20"/>
          <w:color w:val="auto"/>
        </w:rPr>
        <w:t>“Existing Lease”</w:t>
      </w:r>
    </w:p>
    <w:p>
      <w:pPr>
        <w:spacing w:after="0"/>
        <w:rPr>
          <w:sz w:val="20"/>
          <w:szCs w:val="20"/>
          <w:color w:val="auto"/>
        </w:rPr>
      </w:pPr>
      <w:r>
        <w:rPr>
          <w:rFonts w:ascii="Arial" w:cs="Arial" w:eastAsia="Arial" w:hAnsi="Arial"/>
          <w:sz w:val="20"/>
          <w:szCs w:val="20"/>
          <w:color w:val="auto"/>
        </w:rPr>
        <w:t>“Existing Lease Agreement”</w:t>
      </w:r>
    </w:p>
    <w:p>
      <w:pPr>
        <w:spacing w:after="0"/>
        <w:rPr>
          <w:sz w:val="20"/>
          <w:szCs w:val="20"/>
          <w:color w:val="auto"/>
        </w:rPr>
      </w:pPr>
      <w:r>
        <w:rPr>
          <w:rFonts w:ascii="Arial" w:cs="Arial" w:eastAsia="Arial" w:hAnsi="Arial"/>
          <w:sz w:val="20"/>
          <w:szCs w:val="20"/>
          <w:color w:val="auto"/>
        </w:rPr>
        <w:t>“Landlord”</w:t>
      </w:r>
    </w:p>
    <w:p>
      <w:pPr>
        <w:spacing w:after="0"/>
        <w:rPr>
          <w:sz w:val="20"/>
          <w:szCs w:val="20"/>
          <w:color w:val="auto"/>
        </w:rPr>
      </w:pPr>
      <w:r>
        <w:rPr>
          <w:rFonts w:ascii="Arial" w:cs="Arial" w:eastAsia="Arial" w:hAnsi="Arial"/>
          <w:sz w:val="20"/>
          <w:szCs w:val="20"/>
          <w:color w:val="auto"/>
        </w:rPr>
        <w:t>“Lease”</w:t>
      </w:r>
    </w:p>
    <w:p>
      <w:pPr>
        <w:spacing w:after="0"/>
        <w:rPr>
          <w:sz w:val="20"/>
          <w:szCs w:val="20"/>
          <w:color w:val="auto"/>
        </w:rPr>
      </w:pPr>
      <w:r>
        <w:rPr>
          <w:rFonts w:ascii="Arial" w:cs="Arial" w:eastAsia="Arial" w:hAnsi="Arial"/>
          <w:sz w:val="20"/>
          <w:szCs w:val="20"/>
          <w:color w:val="auto"/>
        </w:rPr>
        <w:t>“Lease Commencement Date”</w:t>
      </w:r>
    </w:p>
    <w:p>
      <w:pPr>
        <w:spacing w:after="0"/>
        <w:rPr>
          <w:sz w:val="20"/>
          <w:szCs w:val="20"/>
          <w:color w:val="auto"/>
        </w:rPr>
      </w:pPr>
      <w:r>
        <w:rPr>
          <w:rFonts w:ascii="Arial" w:cs="Arial" w:eastAsia="Arial" w:hAnsi="Arial"/>
          <w:sz w:val="20"/>
          <w:szCs w:val="20"/>
          <w:color w:val="auto"/>
        </w:rPr>
        <w:t>“Lease Expiration Date”</w:t>
      </w:r>
    </w:p>
    <w:p>
      <w:pPr>
        <w:spacing w:after="0"/>
        <w:rPr>
          <w:sz w:val="20"/>
          <w:szCs w:val="20"/>
          <w:color w:val="auto"/>
        </w:rPr>
      </w:pPr>
      <w:r>
        <w:rPr>
          <w:rFonts w:ascii="Arial" w:cs="Arial" w:eastAsia="Arial" w:hAnsi="Arial"/>
          <w:sz w:val="20"/>
          <w:szCs w:val="20"/>
          <w:color w:val="auto"/>
        </w:rPr>
        <w:t>“Notice Addresses”</w:t>
      </w:r>
    </w:p>
    <w:p>
      <w:pPr>
        <w:spacing w:after="0"/>
        <w:rPr>
          <w:sz w:val="20"/>
          <w:szCs w:val="20"/>
          <w:color w:val="auto"/>
        </w:rPr>
      </w:pPr>
      <w:r>
        <w:rPr>
          <w:rFonts w:ascii="Arial" w:cs="Arial" w:eastAsia="Arial" w:hAnsi="Arial"/>
          <w:sz w:val="20"/>
          <w:szCs w:val="20"/>
          <w:color w:val="auto"/>
        </w:rPr>
        <w:t>“Permitted Use”</w:t>
      </w:r>
    </w:p>
    <w:p>
      <w:pPr>
        <w:spacing w:after="0"/>
        <w:rPr>
          <w:sz w:val="20"/>
          <w:szCs w:val="20"/>
          <w:color w:val="auto"/>
        </w:rPr>
      </w:pPr>
      <w:r>
        <w:rPr>
          <w:rFonts w:ascii="Arial" w:cs="Arial" w:eastAsia="Arial" w:hAnsi="Arial"/>
          <w:sz w:val="20"/>
          <w:szCs w:val="20"/>
          <w:color w:val="auto"/>
        </w:rPr>
        <w:t>“Premises”</w:t>
      </w:r>
    </w:p>
    <w:p>
      <w:pPr>
        <w:spacing w:after="0"/>
        <w:rPr>
          <w:sz w:val="20"/>
          <w:szCs w:val="20"/>
          <w:color w:val="auto"/>
        </w:rPr>
      </w:pPr>
      <w:r>
        <w:rPr>
          <w:rFonts w:ascii="Arial" w:cs="Arial" w:eastAsia="Arial" w:hAnsi="Arial"/>
          <w:sz w:val="20"/>
          <w:szCs w:val="20"/>
          <w:color w:val="auto"/>
        </w:rPr>
        <w:t>“Project”</w:t>
      </w:r>
    </w:p>
    <w:p>
      <w:pPr>
        <w:spacing w:after="0"/>
        <w:rPr>
          <w:sz w:val="20"/>
          <w:szCs w:val="20"/>
          <w:color w:val="auto"/>
        </w:rPr>
      </w:pPr>
      <w:r>
        <w:rPr>
          <w:rFonts w:ascii="Arial" w:cs="Arial" w:eastAsia="Arial" w:hAnsi="Arial"/>
          <w:sz w:val="20"/>
          <w:szCs w:val="20"/>
          <w:color w:val="auto"/>
        </w:rPr>
        <w:t>“Reconciliation Statement”</w:t>
      </w:r>
    </w:p>
    <w:p>
      <w:pPr>
        <w:spacing w:after="0"/>
        <w:rPr>
          <w:sz w:val="20"/>
          <w:szCs w:val="20"/>
          <w:color w:val="auto"/>
        </w:rPr>
      </w:pPr>
      <w:r>
        <w:rPr>
          <w:rFonts w:ascii="Arial" w:cs="Arial" w:eastAsia="Arial" w:hAnsi="Arial"/>
          <w:sz w:val="20"/>
          <w:szCs w:val="20"/>
          <w:color w:val="auto"/>
        </w:rPr>
        <w:t>“Security Deposit”</w:t>
      </w:r>
    </w:p>
    <w:p>
      <w:pPr>
        <w:spacing w:after="0"/>
        <w:rPr>
          <w:sz w:val="20"/>
          <w:szCs w:val="20"/>
          <w:color w:val="auto"/>
        </w:rPr>
      </w:pPr>
      <w:r>
        <w:rPr>
          <w:rFonts w:ascii="Arial" w:cs="Arial" w:eastAsia="Arial" w:hAnsi="Arial"/>
          <w:sz w:val="20"/>
          <w:szCs w:val="20"/>
          <w:color w:val="auto"/>
        </w:rPr>
        <w:t>“Service Contract”</w:t>
      </w:r>
    </w:p>
    <w:p>
      <w:pPr>
        <w:spacing w:after="0"/>
        <w:rPr>
          <w:sz w:val="20"/>
          <w:szCs w:val="20"/>
          <w:color w:val="auto"/>
        </w:rPr>
      </w:pPr>
      <w:r>
        <w:rPr>
          <w:rFonts w:ascii="Arial" w:cs="Arial" w:eastAsia="Arial" w:hAnsi="Arial"/>
          <w:sz w:val="20"/>
          <w:szCs w:val="20"/>
          <w:color w:val="auto"/>
        </w:rPr>
        <w:t>“SDN”</w:t>
      </w:r>
    </w:p>
    <w:p>
      <w:pPr>
        <w:spacing w:after="0"/>
        <w:rPr>
          <w:sz w:val="20"/>
          <w:szCs w:val="20"/>
          <w:color w:val="auto"/>
        </w:rPr>
      </w:pPr>
      <w:r>
        <w:rPr>
          <w:rFonts w:ascii="Arial" w:cs="Arial" w:eastAsia="Arial" w:hAnsi="Arial"/>
          <w:sz w:val="20"/>
          <w:szCs w:val="20"/>
          <w:color w:val="auto"/>
        </w:rPr>
        <w:t>“Substitute Lease”</w:t>
      </w:r>
    </w:p>
    <w:p>
      <w:pPr>
        <w:spacing w:after="0"/>
        <w:rPr>
          <w:sz w:val="20"/>
          <w:szCs w:val="20"/>
          <w:color w:val="auto"/>
        </w:rPr>
      </w:pPr>
      <w:r>
        <w:rPr>
          <w:rFonts w:ascii="Arial" w:cs="Arial" w:eastAsia="Arial" w:hAnsi="Arial"/>
          <w:sz w:val="20"/>
          <w:szCs w:val="20"/>
          <w:color w:val="auto"/>
        </w:rPr>
        <w:t>“Substitute Tenant”</w:t>
      </w:r>
    </w:p>
    <w:p>
      <w:pPr>
        <w:spacing w:after="0"/>
        <w:rPr>
          <w:sz w:val="20"/>
          <w:szCs w:val="20"/>
          <w:color w:val="auto"/>
        </w:rPr>
      </w:pPr>
      <w:r>
        <w:rPr>
          <w:rFonts w:ascii="Arial" w:cs="Arial" w:eastAsia="Arial" w:hAnsi="Arial"/>
          <w:sz w:val="20"/>
          <w:szCs w:val="20"/>
          <w:color w:val="auto"/>
        </w:rPr>
        <w:t>“Tenant”</w:t>
      </w:r>
    </w:p>
    <w:p>
      <w:pPr>
        <w:spacing w:after="0"/>
        <w:rPr>
          <w:sz w:val="20"/>
          <w:szCs w:val="20"/>
          <w:color w:val="auto"/>
        </w:rPr>
      </w:pPr>
      <w:r>
        <w:rPr>
          <w:rFonts w:ascii="Arial" w:cs="Arial" w:eastAsia="Arial" w:hAnsi="Arial"/>
          <w:sz w:val="20"/>
          <w:szCs w:val="20"/>
          <w:color w:val="auto"/>
        </w:rPr>
        <w:t>“Tenant’s Share”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terms have the meanings below:</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ADA</w:t>
      </w:r>
      <w:r>
        <w:rPr>
          <w:rFonts w:ascii="Arial" w:cs="Arial" w:eastAsia="Arial" w:hAnsi="Arial"/>
          <w:sz w:val="20"/>
          <w:szCs w:val="20"/>
          <w:color w:val="auto"/>
        </w:rPr>
        <w:t>” means the Americans with Disabilities Act of 1990, 42 USC 12111 et seq., as the same may be amended from time to time.</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Rent</w:t>
      </w:r>
      <w:r>
        <w:rPr>
          <w:rFonts w:ascii="Arial" w:cs="Arial" w:eastAsia="Arial" w:hAnsi="Arial"/>
          <w:sz w:val="20"/>
          <w:szCs w:val="20"/>
          <w:color w:val="auto"/>
        </w:rPr>
        <w:t>” means all sums other than Base Rent which Tenant is obligated to pay under this Lease, including without limitation Estimated Expenses, Taxes and Operating Expenses.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(i) any entity controlling, controlled by, or under common control of, Tenant, (ii) any successor, directly or indirectly, to Tenant by merger, consolidation or reorganization, and (iii) any purchaser of all or substantially all of the assets, directly or indirectly, of Tenant as a going concern.</w:t>
      </w:r>
    </w:p>
    <w:p>
      <w:pPr>
        <w:spacing w:after="0" w:line="19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Alteration</w:t>
      </w:r>
      <w:r>
        <w:rPr>
          <w:rFonts w:ascii="Arial" w:cs="Arial" w:eastAsia="Arial" w:hAnsi="Arial"/>
          <w:sz w:val="20"/>
          <w:szCs w:val="20"/>
          <w:color w:val="auto"/>
        </w:rPr>
        <w:t>” means any addition, alteration or improvement to the Premises or the Project made by Tenant or any Tenant Party , whether prior to or after the date of this Lease.</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Interest Rate</w:t>
      </w:r>
      <w:r>
        <w:rPr>
          <w:rFonts w:ascii="Arial" w:cs="Arial" w:eastAsia="Arial" w:hAnsi="Arial"/>
          <w:sz w:val="20"/>
          <w:szCs w:val="20"/>
          <w:color w:val="auto"/>
        </w:rPr>
        <w:t>” means interest, charged and compounded daily, at the rate of the lesser of (i) 0.0005% per day or (ii) the maximum rate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64" w:name="page165"/>
    <w:bookmarkEnd w:id="164"/>
    <w:p>
      <w:pPr>
        <w:jc w:val="both"/>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 all applicable laws, statutes, codes, ordinances, orders, zoning, rules, regulations, conditions of approval and requirements of all federal, state, county, municipal and governmental authorities and all administrative or judicial orders or decrees and all permits, licenses, approvals and other entitlements issued by governmental entities, and rules of common law, relating to or affecting the Project, the Premises or the Land or the use or operation thereof, whether now existing or hereafter enacted, including, without limitation, the ADA, Environmental Laws and CC&amp;Rs.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Rent</w:t>
      </w:r>
      <w:r>
        <w:rPr>
          <w:rFonts w:ascii="Arial" w:cs="Arial" w:eastAsia="Arial" w:hAnsi="Arial"/>
          <w:sz w:val="20"/>
          <w:szCs w:val="20"/>
          <w:color w:val="auto"/>
        </w:rPr>
        <w:t>” means the amounts set forth in the “Base Rent” Section of this Lease, charged monthly on or before the Lease Commencement Date and thereafter on the first day of each calendar month.</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CC&amp;Rs</w:t>
      </w:r>
      <w:r>
        <w:rPr>
          <w:rFonts w:ascii="Arial" w:cs="Arial" w:eastAsia="Arial" w:hAnsi="Arial"/>
          <w:sz w:val="20"/>
          <w:szCs w:val="20"/>
          <w:color w:val="auto"/>
        </w:rPr>
        <w:t>” means any covenants, conditions and restrictions encumbering the Land and/or the Project or any supplement thereto recorded in any official or public records with respect to the Project or any portion thereof.</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Costs of Reletting</w:t>
      </w:r>
      <w:r>
        <w:rPr>
          <w:rFonts w:ascii="Arial" w:cs="Arial" w:eastAsia="Arial" w:hAnsi="Arial"/>
          <w:sz w:val="19"/>
          <w:szCs w:val="19"/>
          <w:color w:val="auto"/>
        </w:rPr>
        <w:t>” means the costs incurred by Landlord to relet the Premises or a portion thereof, including brokers’ commissions, advertising, and repairs, alterations, improvements and concessions to obtain a new tenant.</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all applicable present and future statutes, regulations, ordinances, rules, codes, judgments, orders or other similar enactments of any governmental authority or agency regulating or relating to health, safety, or environmental conditions on, in, under, or about the Premises or the environment, including without limitation, the following: the federal Comprehensive Environmental Response, Compensation and Liability Act; the federal Resource Conservation and Recovery Act, the federal Clean Air Act; the federal Water Pollution Control Act; and all state and local counterparts thereto, and any regulations or policies promulgated or issued thereunder.</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Financials</w:t>
      </w:r>
      <w:r>
        <w:rPr>
          <w:rFonts w:ascii="Arial" w:cs="Arial" w:eastAsia="Arial" w:hAnsi="Arial"/>
          <w:sz w:val="19"/>
          <w:szCs w:val="19"/>
          <w:color w:val="auto"/>
        </w:rPr>
        <w:t>” means financial information certified by an officer of Tenant as being true and correct, including, but not limited to, (i) credit reports, (ii) tax returns, (iii) current, accurate, audited financial statements for Tenant and Tenant’s business, and (iv) unaudited financial statements (which shall at least include a balance sheet, an income statement and a statement of cash flow) for Tenant and Tenant’s business for each of the 3 years prior to the current financial statement year prepared under generally accepted accounting principles consistently applied.</w:t>
      </w:r>
    </w:p>
    <w:p>
      <w:pPr>
        <w:spacing w:after="0" w:line="184"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any strike, act of God, war, terrorist act, shortage of labor or materials, governmental action or orders, civil commotion, epidemic, pandemic, public health emergency or other cause beyond a party’s reasonable control.</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any substance, material, waste, pollutant, or contaminant listed or defined as hazardous, toxic or dangerous under any Environmental Laws, including asbestos, asbestos containing materials, polychlorinated, per-and polyfluoroalkyl substances, and petroleum, including crude oil or any fraction thereof, natural gas liquids, liquefied natural gas, or synthetic gas usable for fuel (or mixtures of natural gas and such synthetic gas) and explosives, flammables, or radioactive substances of any kind.</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HVAC System</w:t>
      </w:r>
      <w:r>
        <w:rPr>
          <w:rFonts w:ascii="Arial" w:cs="Arial" w:eastAsia="Arial" w:hAnsi="Arial"/>
          <w:sz w:val="20"/>
          <w:szCs w:val="20"/>
          <w:color w:val="auto"/>
        </w:rPr>
        <w:t>” means all heating ventilation, and air conditioning systems and equipment inside or exclusively serving the Premises.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Indemnitees</w:t>
      </w:r>
      <w:r>
        <w:rPr>
          <w:rFonts w:ascii="Arial" w:cs="Arial" w:eastAsia="Arial" w:hAnsi="Arial"/>
          <w:sz w:val="20"/>
          <w:szCs w:val="20"/>
          <w:color w:val="auto"/>
        </w:rPr>
        <w:t>” means Landlord’s affiliated entities, and each of Landlord’s and Landlord’s affiliated entities’ respective trustees, members, managers, principals, beneficiaries, partners, directors, officers, employees, shareholders, Mortgagees, agents, contractors, representatives,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65" w:name="page166"/>
    <w:bookmarkEnd w:id="165"/>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w:t>
      </w:r>
      <w:r>
        <w:rPr>
          <w:rFonts w:ascii="Arial" w:cs="Arial" w:eastAsia="Arial" w:hAnsi="Arial"/>
          <w:sz w:val="20"/>
          <w:szCs w:val="20"/>
          <w:color w:val="auto"/>
        </w:rPr>
        <w:t>” means the parcel(s) of land on which the Building and other adjacent improvements and appurtenances owned by Landlord are located or situated.</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Lease Year</w:t>
      </w:r>
      <w:r>
        <w:rPr>
          <w:rFonts w:ascii="Arial" w:cs="Arial" w:eastAsia="Arial" w:hAnsi="Arial"/>
          <w:sz w:val="19"/>
          <w:szCs w:val="19"/>
          <w:color w:val="auto"/>
        </w:rPr>
        <w:t>” means the period from the Lease Commencement Date through the succeeding 12 full calendar months (provided, however, that, if the Lease Commencement Date does not occur on the first day of a calendar month, then the first Lease Year shall include the partial calendar month in which the Lease Commencement Date occurs and the succeeding 12 full calendar months) and each successive 12-month period thereafter during the Term.</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Legal Holiday</w:t>
      </w:r>
      <w:r>
        <w:rPr>
          <w:rFonts w:ascii="Arial" w:cs="Arial" w:eastAsia="Arial" w:hAnsi="Arial"/>
          <w:sz w:val="19"/>
          <w:szCs w:val="19"/>
          <w:color w:val="auto"/>
        </w:rPr>
        <w:t>” means any federal holiday or holiday recognized by the state in which the Premises are located.</w:t>
      </w:r>
    </w:p>
    <w:p>
      <w:pPr>
        <w:spacing w:after="0" w:line="241"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any and all claims, judgments, causes of action, damages, obligations, penalties, fines, taxes, costs, liens, liabilities, losses, charges and expenses, including without limitation all attorneys’ fees and other professional fees.</w:t>
      </w:r>
    </w:p>
    <w:p>
      <w:pPr>
        <w:spacing w:after="0" w:line="13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Maintain</w:t>
      </w:r>
      <w:r>
        <w:rPr>
          <w:rFonts w:ascii="Arial" w:cs="Arial" w:eastAsia="Arial" w:hAnsi="Arial"/>
          <w:sz w:val="20"/>
          <w:szCs w:val="20"/>
          <w:color w:val="auto"/>
        </w:rPr>
        <w:t>” or “</w:t>
      </w:r>
      <w:r>
        <w:rPr>
          <w:rFonts w:ascii="Arial" w:cs="Arial" w:eastAsia="Arial" w:hAnsi="Arial"/>
          <w:sz w:val="20"/>
          <w:szCs w:val="20"/>
          <w:b w:val="1"/>
          <w:bCs w:val="1"/>
          <w:color w:val="auto"/>
        </w:rPr>
        <w:t>Maintenance</w:t>
      </w:r>
      <w:r>
        <w:rPr>
          <w:rFonts w:ascii="Arial" w:cs="Arial" w:eastAsia="Arial" w:hAnsi="Arial"/>
          <w:sz w:val="20"/>
          <w:szCs w:val="20"/>
          <w:color w:val="auto"/>
        </w:rPr>
        <w:t>” means to provide such maintenance, repair and, to the extent necessary and appropriate, replacement, as may be needed to keep the subject property in good condition and repair.</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w:t>
      </w:r>
      <w:r>
        <w:rPr>
          <w:rFonts w:ascii="Arial" w:cs="Arial" w:eastAsia="Arial" w:hAnsi="Arial"/>
          <w:sz w:val="20"/>
          <w:szCs w:val="20"/>
          <w:color w:val="auto"/>
        </w:rPr>
        <w:t>” means all ground leases, master leases and all mortgages and deeds of trust or other lien or encumbrance which now or hereafter affect the Premises, the Building or the Project or Landlord’s interest therein (including any modifications, renewals or extensions thereof and all amendments thereto).</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Mortgagee</w:t>
      </w:r>
      <w:r>
        <w:rPr>
          <w:rFonts w:ascii="Arial" w:cs="Arial" w:eastAsia="Arial" w:hAnsi="Arial"/>
          <w:sz w:val="20"/>
          <w:szCs w:val="20"/>
          <w:color w:val="auto"/>
        </w:rPr>
        <w:t>” means the party having the benefit of a Mortgage.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w:t>
      </w:r>
      <w:r>
        <w:rPr>
          <w:rFonts w:ascii="Arial" w:cs="Arial" w:eastAsia="Arial" w:hAnsi="Arial"/>
          <w:sz w:val="20"/>
          <w:szCs w:val="20"/>
          <w:color w:val="auto"/>
        </w:rPr>
        <w:t>” means any and all notices, requests, demands, approvals and consents.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Expenses</w:t>
      </w:r>
      <w:r>
        <w:rPr>
          <w:rFonts w:ascii="Arial" w:cs="Arial" w:eastAsia="Arial" w:hAnsi="Arial"/>
          <w:sz w:val="20"/>
          <w:szCs w:val="20"/>
          <w:color w:val="auto"/>
        </w:rPr>
        <w:t>” means the total costs and expenses incurred, or sums paid, by Landlord for insurance maintained by Landlord as described in the “Insurance” Section of this Lease, including, without limitation, Landlord’s cost of any deductible or self-insurance retention.</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 for Debt Relief</w:t>
      </w:r>
      <w:r>
        <w:rPr>
          <w:rFonts w:ascii="Arial" w:cs="Arial" w:eastAsia="Arial" w:hAnsi="Arial"/>
          <w:sz w:val="20"/>
          <w:szCs w:val="20"/>
          <w:color w:val="auto"/>
        </w:rPr>
        <w:t>” means, with respect to Tenant or any guarantor of Tenant’s obligations hereunder, a case, proceeding or other action seeking to have an order for relief entered on its behalf as a debtor or to adjudicate it as bankrupt or insolvent, or seeking reorganization, arrangement, adjustment, liquidation, dissolution or composition of it or its debts or seeking appointment of a receiver, trustee, custodian or other similar official for it or for all or of any substantial part of its property.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Rent</w:t>
      </w:r>
      <w:r>
        <w:rPr>
          <w:rFonts w:ascii="Arial" w:cs="Arial" w:eastAsia="Arial" w:hAnsi="Arial"/>
          <w:sz w:val="20"/>
          <w:szCs w:val="20"/>
          <w:color w:val="auto"/>
        </w:rPr>
        <w:t>” means Base Rent and all Additional Rent payable under this Lease.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Rules and Regulations</w:t>
      </w:r>
      <w:r>
        <w:rPr>
          <w:rFonts w:ascii="Arial" w:cs="Arial" w:eastAsia="Arial" w:hAnsi="Arial"/>
          <w:sz w:val="20"/>
          <w:szCs w:val="20"/>
          <w:color w:val="auto"/>
        </w:rPr>
        <w:t>” means the rules and regulations of the Project as reasonably established by Landlord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SNDA</w:t>
      </w:r>
      <w:r>
        <w:rPr>
          <w:rFonts w:ascii="Arial" w:cs="Arial" w:eastAsia="Arial" w:hAnsi="Arial"/>
          <w:sz w:val="20"/>
          <w:szCs w:val="20"/>
          <w:color w:val="auto"/>
        </w:rPr>
        <w:t>” means a subordination, non-disturbance and attornment agreement.</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Systems</w:t>
      </w:r>
      <w:r>
        <w:rPr>
          <w:rFonts w:ascii="Arial" w:cs="Arial" w:eastAsia="Arial" w:hAnsi="Arial"/>
          <w:sz w:val="20"/>
          <w:szCs w:val="20"/>
          <w:color w:val="auto"/>
        </w:rPr>
        <w:t>” means any electrical, mechanical, plumbing, heating, ventilating, air conditioning, sprinkler, life safety or security systems serving the Building or Project.</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Taken</w:t>
      </w:r>
      <w:r>
        <w:rPr>
          <w:rFonts w:ascii="Arial" w:cs="Arial" w:eastAsia="Arial" w:hAnsi="Arial"/>
          <w:sz w:val="20"/>
          <w:szCs w:val="20"/>
          <w:color w:val="auto"/>
        </w:rPr>
        <w:t>” or “</w:t>
      </w:r>
      <w:r>
        <w:rPr>
          <w:rFonts w:ascii="Arial" w:cs="Arial" w:eastAsia="Arial" w:hAnsi="Arial"/>
          <w:sz w:val="20"/>
          <w:szCs w:val="20"/>
          <w:b w:val="1"/>
          <w:bCs w:val="1"/>
          <w:color w:val="auto"/>
        </w:rPr>
        <w:t>Taking</w:t>
      </w:r>
      <w:r>
        <w:rPr>
          <w:rFonts w:ascii="Arial" w:cs="Arial" w:eastAsia="Arial" w:hAnsi="Arial"/>
          <w:sz w:val="20"/>
          <w:szCs w:val="20"/>
          <w:color w:val="auto"/>
        </w:rPr>
        <w:t>” means acquisition by a public authority under governmental law, ordinance, or regulation, or by right of eminent domain, or by private purchase in lieu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66" w:name="page167"/>
    <w:bookmarkEnd w:id="166"/>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 all taxes, assessments, supplementary taxes, possessory interest taxes, levies, fees, exactions and other governmental charges, together with any interest, charges, and fees in connection therewith, which are assessed, levied, charged, conferred or imposed by any public authority upon the Premises, the Building, or the Project, or any other improvements, fixtures, equipment or other property located at or on the Premises, the Building, or the Project, any excise, use, margin, transaction, sales or privilege taxes, assessments, levies or charges and other taxes assessed or imposed upon the rents payable to Landlord under this Lease (excluding net income taxes imposed on Landlord unless such net income taxes are in substitution for any Taxes payable hereunder), including but not limited to, gross receipts taxes, assessments for special improvement districts and building improvement districts, governmental charges, fees and assessments for police, fire, traffic mitigation or other governmental service of purported benefit to the Premises, Building, or the Project, taxes and assessments levied in substitution or supplementation in whole or in part of any such taxes and assessments and the share of the Premises, Building and the Project of any real estate taxes and assessments under any reciprocal easement agreement, common area agreement or similar agreement as to the Premises, Building and the portion of the Project allocable to the Building, (b) all personal property taxes for property that is owned by Landlord and used in connection with the operation, maintenance and repair of the Premises, Building or the Project, and (c) all costs and fees incurred in connection with seeking reductions in any tax liabilities described in (a) and (b), including, without limitation, any costs incurred by Landlord for compliance, review and appeal of tax liabilities.</w:t>
      </w:r>
    </w:p>
    <w:p>
      <w:pPr>
        <w:spacing w:after="0" w:line="19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Party</w:t>
      </w:r>
      <w:r>
        <w:rPr>
          <w:rFonts w:ascii="Arial" w:cs="Arial" w:eastAsia="Arial" w:hAnsi="Arial"/>
          <w:sz w:val="20"/>
          <w:szCs w:val="20"/>
          <w:color w:val="auto"/>
        </w:rPr>
        <w:t>” or “</w:t>
      </w:r>
      <w:r>
        <w:rPr>
          <w:rFonts w:ascii="Arial" w:cs="Arial" w:eastAsia="Arial" w:hAnsi="Arial"/>
          <w:sz w:val="20"/>
          <w:szCs w:val="20"/>
          <w:b w:val="1"/>
          <w:bCs w:val="1"/>
          <w:color w:val="auto"/>
        </w:rPr>
        <w:t>Tenant’s Parties</w:t>
      </w:r>
      <w:r>
        <w:rPr>
          <w:rFonts w:ascii="Arial" w:cs="Arial" w:eastAsia="Arial" w:hAnsi="Arial"/>
          <w:sz w:val="20"/>
          <w:szCs w:val="20"/>
          <w:color w:val="auto"/>
        </w:rPr>
        <w:t>” means Tenant’s and Tenant’s affiliates’ employees, agents, customers, visitors, representatives, invitees, licensees, contractors, assignees or subtenants.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Portal</w:t>
      </w:r>
      <w:r>
        <w:rPr>
          <w:rFonts w:ascii="Arial" w:cs="Arial" w:eastAsia="Arial" w:hAnsi="Arial"/>
          <w:sz w:val="20"/>
          <w:szCs w:val="20"/>
          <w:color w:val="auto"/>
        </w:rPr>
        <w:t xml:space="preserve">” means the online tenant portal described in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through which Landlord can deliver notices and communicate with Tenant, and Tenant can fulfill certain of its obligations under this Lease.</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Property</w:t>
      </w:r>
      <w:r>
        <w:rPr>
          <w:rFonts w:ascii="Arial" w:cs="Arial" w:eastAsia="Arial" w:hAnsi="Arial"/>
          <w:sz w:val="20"/>
          <w:szCs w:val="20"/>
          <w:color w:val="auto"/>
        </w:rPr>
        <w:t>” means all fixtures, furniture, equipment (including any racking and/or telecommunications, data and/or security equipment), merchandise, inventory, and all other personal property and other contents contained within the Premises whether installed in, or brought upon, the Premises by Tenant, a Tenant Party or Tenant’s assignees, subtenants or occupants.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means the period commencing on the Lease Commencement Date and ending on the Lease Expiration Date.</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w:t>
      </w:r>
      <w:r>
        <w:rPr>
          <w:rFonts w:ascii="Arial" w:cs="Arial" w:eastAsia="Arial" w:hAnsi="Arial"/>
          <w:sz w:val="20"/>
          <w:szCs w:val="20"/>
          <w:color w:val="auto"/>
        </w:rPr>
        <w:t>” means (i) any assignment, transfer, pledge or other encumbrance of all or a portion of Tenant’s interest in this Lease, or (ii) any sublease, license or concession of all or a portion of Tenant’s interest in the Premises. If the entity(ies) which directly or indirectly controls the voting shares/rights of Tenant (other than through the ownership of voting securities listed on a recognized securities exchange) changes at any time, such change of ownership or control shall constitute a Transfer.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Use</w:t>
      </w:r>
      <w:r>
        <w:rPr>
          <w:rFonts w:ascii="Arial" w:cs="Arial" w:eastAsia="Arial" w:hAnsi="Arial"/>
          <w:sz w:val="20"/>
          <w:szCs w:val="20"/>
          <w:color w:val="auto"/>
        </w:rPr>
        <w:t>” means having a right to possess, use, or occupy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67" w:name="page168"/>
    <w:bookmarkEnd w:id="167"/>
    <w:p>
      <w:pPr>
        <w:jc w:val="center"/>
        <w:ind w:right="-440"/>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u w:val="single" w:color="auto"/>
          <w:color w:val="auto"/>
        </w:rPr>
        <w:t>PREMISES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Premises occupy the space between the walls, and floor and ceiling, of the Building, as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185420</wp:posOffset>
            </wp:positionV>
            <wp:extent cx="4251960" cy="3960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425196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[remainder of page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46" w:right="1440"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RULES AND REGULATIONS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but not defined herein shall have the meanings given in Tenant’s Lease.</w:t>
      </w:r>
    </w:p>
    <w:p>
      <w:pPr>
        <w:spacing w:after="0" w:line="229" w:lineRule="exact"/>
        <w:rPr>
          <w:sz w:val="20"/>
          <w:szCs w:val="20"/>
          <w:color w:val="auto"/>
        </w:rPr>
      </w:pPr>
    </w:p>
    <w:p>
      <w:pPr>
        <w:jc w:val="both"/>
        <w:ind w:firstLine="8"/>
        <w:spacing w:after="0" w:line="259" w:lineRule="auto"/>
        <w:tabs>
          <w:tab w:leader="none" w:pos="64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Tenant will use the Premises in a careful, safe and proper manner and will not commit waste, overload the floor or structure or otherwise damage the Premises or Building. Tenant shall not permit any objectionable or unpleasant odors, smoke, dust, gas, noise, or vibrations to emanate from the Premises, or take any other action that would constitute a nuisance or would disturb, unreasonably interfere with, or endanger Landlord, Landlord’s performance of its obligations under the Lease or other leases with other tenants, or other tenants in the Building or Project. Tenant shall occupy the Premises in compliance with all Applicable Laws for the Premises or Project.</w:t>
      </w:r>
    </w:p>
    <w:p>
      <w:pPr>
        <w:spacing w:after="0" w:line="191" w:lineRule="exact"/>
        <w:rPr>
          <w:rFonts w:ascii="Arial" w:cs="Arial" w:eastAsia="Arial" w:hAnsi="Arial"/>
          <w:sz w:val="19"/>
          <w:szCs w:val="19"/>
          <w:color w:val="auto"/>
        </w:rPr>
      </w:pPr>
    </w:p>
    <w:p>
      <w:pPr>
        <w:jc w:val="both"/>
        <w:ind w:firstLine="8"/>
        <w:spacing w:after="0" w:line="269" w:lineRule="auto"/>
        <w:tabs>
          <w:tab w:leader="none" w:pos="64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Tenant shall not impair in any way the fire safety system and shall comply with all safety, fire protection and evacuation procedures and regulations established by Landlord, any governmental agency or any insurance company insuring the Project, including without limitation the insurer’s fire protection impairment procedures.</w:t>
      </w:r>
    </w:p>
    <w:p>
      <w:pPr>
        <w:spacing w:after="0" w:line="183" w:lineRule="exact"/>
        <w:rPr>
          <w:rFonts w:ascii="Arial" w:cs="Arial" w:eastAsia="Arial" w:hAnsi="Arial"/>
          <w:sz w:val="19"/>
          <w:szCs w:val="19"/>
          <w:color w:val="auto"/>
        </w:rPr>
      </w:pPr>
    </w:p>
    <w:p>
      <w:pPr>
        <w:jc w:val="both"/>
        <w:ind w:firstLine="8"/>
        <w:spacing w:after="0" w:line="250" w:lineRule="auto"/>
        <w:tabs>
          <w:tab w:leader="none" w:pos="64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Skylights, windows, doors and transoms shall not be covered or obstructed by Tenant, and Tenant shall not install any window covering which would affect the exterior appearance of the Building; provided, however, Landlord hereby consents to any existing coverings under the Existing Lease.</w:t>
      </w:r>
    </w:p>
    <w:p>
      <w:pPr>
        <w:spacing w:after="0" w:line="199" w:lineRule="exact"/>
        <w:rPr>
          <w:rFonts w:ascii="Arial" w:cs="Arial" w:eastAsia="Arial" w:hAnsi="Arial"/>
          <w:sz w:val="20"/>
          <w:szCs w:val="20"/>
          <w:color w:val="auto"/>
        </w:rPr>
      </w:pPr>
    </w:p>
    <w:p>
      <w:pPr>
        <w:jc w:val="both"/>
        <w:ind w:firstLine="8"/>
        <w:spacing w:after="0" w:line="243" w:lineRule="auto"/>
        <w:tabs>
          <w:tab w:leader="none" w:pos="64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No antenna, aerial, discs, dishes or other such device shall be erected on the roof or exterior walls of the Premises, or on the grounds, without the written consent of the Landlord in each instance. Any device so installed without such written consent shall be subject to removal by Tenant, at Tenant’s sole cost and expense, without notice at any time. Tenant, at its sole cost and expense, shall repair any damage resulting from such removal and shall restore the Project to good order and condition. Notwithstanding the foregoing, Landlord hereby consents to the existing antennas on the roof of the Premises under the Existing Lease.</w:t>
      </w:r>
    </w:p>
    <w:p>
      <w:pPr>
        <w:spacing w:after="0" w:line="209" w:lineRule="exact"/>
        <w:rPr>
          <w:rFonts w:ascii="Arial" w:cs="Arial" w:eastAsia="Arial" w:hAnsi="Arial"/>
          <w:sz w:val="20"/>
          <w:szCs w:val="20"/>
          <w:color w:val="auto"/>
        </w:rPr>
      </w:pPr>
    </w:p>
    <w:p>
      <w:pPr>
        <w:ind w:firstLine="8"/>
        <w:spacing w:after="0" w:line="260" w:lineRule="auto"/>
        <w:tabs>
          <w:tab w:leader="none" w:pos="64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No loud speakers, televisions, phonographs, radios or other devices shall be used in a manner so as to be heard or seen outside of the Premises without the prior written consent of the Landlord.</w:t>
      </w:r>
    </w:p>
    <w:p>
      <w:pPr>
        <w:spacing w:after="0" w:line="190" w:lineRule="exact"/>
        <w:rPr>
          <w:rFonts w:ascii="Arial" w:cs="Arial" w:eastAsia="Arial" w:hAnsi="Arial"/>
          <w:sz w:val="20"/>
          <w:szCs w:val="20"/>
          <w:color w:val="auto"/>
        </w:rPr>
      </w:pPr>
    </w:p>
    <w:p>
      <w:pPr>
        <w:jc w:val="both"/>
        <w:ind w:firstLine="8"/>
        <w:spacing w:after="0" w:line="250" w:lineRule="auto"/>
        <w:tabs>
          <w:tab w:leader="none" w:pos="64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outside areas immediately adjoining the Premises shall be kept clean and free from dirt and rubbish by the Tenant, including Tenant inventory, to the satisfaction of Landlord, and Tenant shall not place or permit any obstruction or materials in such areas or permit any work to be performed outside the Premises.</w:t>
      </w:r>
    </w:p>
    <w:p>
      <w:pPr>
        <w:spacing w:after="0" w:line="199" w:lineRule="exact"/>
        <w:rPr>
          <w:rFonts w:ascii="Arial" w:cs="Arial" w:eastAsia="Arial" w:hAnsi="Arial"/>
          <w:sz w:val="20"/>
          <w:szCs w:val="20"/>
          <w:color w:val="auto"/>
        </w:rPr>
      </w:pPr>
    </w:p>
    <w:p>
      <w:pPr>
        <w:ind w:left="660" w:hanging="652"/>
        <w:spacing w:after="0"/>
        <w:tabs>
          <w:tab w:leader="none" w:pos="6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No open storage or auctions shall be permitted in the Project.</w:t>
      </w:r>
    </w:p>
    <w:p>
      <w:pPr>
        <w:spacing w:after="0" w:line="229" w:lineRule="exact"/>
        <w:rPr>
          <w:rFonts w:ascii="Arial" w:cs="Arial" w:eastAsia="Arial" w:hAnsi="Arial"/>
          <w:sz w:val="20"/>
          <w:szCs w:val="20"/>
          <w:color w:val="auto"/>
        </w:rPr>
      </w:pPr>
    </w:p>
    <w:p>
      <w:pPr>
        <w:jc w:val="both"/>
        <w:ind w:firstLine="8"/>
        <w:spacing w:after="0" w:line="246" w:lineRule="auto"/>
        <w:tabs>
          <w:tab w:leader="none" w:pos="64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All garbage and refuse shall be placed in containers placed at the location designated for refuse collection, in the manner specified by Landlord. If Landlord consents to Tenant placing other containers, storage devices, construction dumpsters or similar vessels in the Project, Tenant must place plywood or other protective material under such items to protect the pavement or asphalt.</w:t>
      </w:r>
    </w:p>
    <w:p>
      <w:pPr>
        <w:spacing w:after="0" w:line="204" w:lineRule="exact"/>
        <w:rPr>
          <w:rFonts w:ascii="Arial" w:cs="Arial" w:eastAsia="Arial" w:hAnsi="Arial"/>
          <w:sz w:val="20"/>
          <w:szCs w:val="20"/>
          <w:color w:val="auto"/>
        </w:rPr>
      </w:pPr>
    </w:p>
    <w:p>
      <w:pPr>
        <w:ind w:left="660" w:hanging="652"/>
        <w:spacing w:after="0"/>
        <w:tabs>
          <w:tab w:leader="none" w:pos="6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Tenant shall not disturb, solicit, or canvass any occupant of the Building and shall cooperate to prevent same.</w:t>
      </w:r>
    </w:p>
    <w:p>
      <w:pPr>
        <w:spacing w:after="0" w:line="240" w:lineRule="exact"/>
        <w:rPr>
          <w:rFonts w:ascii="Arial" w:cs="Arial" w:eastAsia="Arial" w:hAnsi="Arial"/>
          <w:sz w:val="19"/>
          <w:szCs w:val="19"/>
          <w:color w:val="auto"/>
        </w:rPr>
      </w:pPr>
    </w:p>
    <w:p>
      <w:pPr>
        <w:ind w:firstLine="8"/>
        <w:spacing w:after="0" w:line="260" w:lineRule="auto"/>
        <w:tabs>
          <w:tab w:leader="none" w:pos="64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Landlord shall have the right to designate the Project or Building (including the Premises) as a non-smoking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69" w:name="page170"/>
    <w:bookmarkEnd w:id="169"/>
    <w:p>
      <w:pPr>
        <w:jc w:val="both"/>
        <w:ind w:firstLine="8"/>
        <w:spacing w:after="0" w:line="268"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otherwise directed by Landlord, Tenant shall have the right to park in common with other tenants of the Project in those areas designated by Landlord for non-reserved parking. Tenant shall comply with all parking regulations promulgated by Landlord from time to time for the orderly use of the vehicle parking area. Tenant agrees not to overburden the parking facilities and agrees to cooperate with Landlord and other tenants in the use of parking facilities. Landlord shall not be responsible for enforcing Tenant’s parking rights against any third parties. The parking spaces shall be used for parking by vehicles no larger than full-size passenger automobiles, SUVs or pick-up trucks (“</w:t>
      </w:r>
      <w:r>
        <w:rPr>
          <w:rFonts w:ascii="Arial" w:cs="Arial" w:eastAsia="Arial" w:hAnsi="Arial"/>
          <w:sz w:val="18"/>
          <w:szCs w:val="18"/>
          <w:b w:val="1"/>
          <w:bCs w:val="1"/>
          <w:color w:val="auto"/>
        </w:rPr>
        <w:t>Permitted Size Vehicles</w:t>
      </w:r>
      <w:r>
        <w:rPr>
          <w:rFonts w:ascii="Arial" w:cs="Arial" w:eastAsia="Arial" w:hAnsi="Arial"/>
          <w:sz w:val="18"/>
          <w:szCs w:val="18"/>
          <w:color w:val="auto"/>
        </w:rPr>
        <w:t>”). Landlord hereby consents to the existing unpowered “pull behind” trailers at the Premises. No vehicle or equipment shall remain upon the Project longer than 72 hours. Parked vehicles shall not be used for vending or any other business or other activity while parked in the parking areas. Tenant may store overnight in the normal course of its business one operative tractor/trailer or truck for each dock high loading position exclusive to the Premises, if any, provided this overnight storage does not interfere with other tenant’s use of the Building or Project. Vehicles other than Permitted Size Vehicles shall otherwise be parked and loaded or unloaded as directed by Landlord. Tenant shall not permit or allow any vehicles that belong to or are controlled by Tenant or Tenant’s employees, suppliers, shippers, customers, contractors or invitees to be loaded, unloaded, or parked in areas other than those designated by Landlord for such activities. If Tenant permits or allows any of the prohibited activities described in this Section, then Landlord shall have the right, without notice, in addition to such other rights and remedies that it may have, to remove or tow away the vehicle involved and charge the cost to Tenant, which cost shall be immediately payable upon demand by Landlord. No vehicle or equipment of any kind shall be dismantled or repaired or serviced at the Project. All vehicles entering or parking in the parking areas shall do so at owner’s sole risk and Landlord assumes no responsibility for any damage, destruction, vandalism or theft.</w:t>
      </w:r>
    </w:p>
    <w:p>
      <w:pPr>
        <w:spacing w:after="0" w:line="198"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Except as otherwise provided in the Lease, Tenant shall not use or keep on the Project or Premises (i) any matter having an offensive odor or which may negatively affect the indoor air quality of the Building, or (ii) any form of hemp or marijuana or ingredient thereof (e.g., THC or CBD) or any product containing same; nor shall any animals other than handicap assistance dogs in the company of their handlers be brought into or kept in or about the Project.</w:t>
      </w:r>
    </w:p>
    <w:p>
      <w:pPr>
        <w:spacing w:after="0" w:line="189" w:lineRule="exact"/>
        <w:rPr>
          <w:rFonts w:ascii="Arial" w:cs="Arial" w:eastAsia="Arial" w:hAnsi="Arial"/>
          <w:sz w:val="19"/>
          <w:szCs w:val="19"/>
          <w:color w:val="auto"/>
        </w:rPr>
      </w:pPr>
    </w:p>
    <w:p>
      <w:pPr>
        <w:jc w:val="both"/>
        <w:ind w:right="20" w:firstLine="8"/>
        <w:spacing w:after="0" w:line="250" w:lineRule="auto"/>
        <w:tabs>
          <w:tab w:leader="none" w:pos="64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Tenant assumes all responsibility for protecting the Premises from theft and vandalism; provided, however, Tenant shall not install additional locks upon any door of the Premises or permit any duplicate keys to be made, or retain any keys upon the Lease Expiration Date.</w:t>
      </w:r>
    </w:p>
    <w:p>
      <w:pPr>
        <w:spacing w:after="0" w:line="199" w:lineRule="exact"/>
        <w:rPr>
          <w:rFonts w:ascii="Arial" w:cs="Arial" w:eastAsia="Arial" w:hAnsi="Arial"/>
          <w:sz w:val="20"/>
          <w:szCs w:val="20"/>
          <w:color w:val="auto"/>
        </w:rPr>
      </w:pPr>
    </w:p>
    <w:p>
      <w:pPr>
        <w:ind w:left="660" w:hanging="652"/>
        <w:spacing w:after="0"/>
        <w:tabs>
          <w:tab w:leader="none" w:pos="6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Tenant shall cause all Tenant Parties to comply with these Rules and Regulations.</w:t>
      </w:r>
    </w:p>
    <w:p>
      <w:pPr>
        <w:spacing w:after="0" w:line="229" w:lineRule="exact"/>
        <w:rPr>
          <w:rFonts w:ascii="Arial" w:cs="Arial" w:eastAsia="Arial" w:hAnsi="Arial"/>
          <w:sz w:val="20"/>
          <w:szCs w:val="20"/>
          <w:color w:val="auto"/>
        </w:rPr>
      </w:pPr>
    </w:p>
    <w:p>
      <w:pPr>
        <w:jc w:val="both"/>
        <w:ind w:firstLine="8"/>
        <w:spacing w:after="0" w:line="250" w:lineRule="auto"/>
        <w:tabs>
          <w:tab w:leader="none" w:pos="64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Landlord shall not be responsible or liable to Tenant for the non-performance of any other tenant or occupant of the Building or Project of the Rules and Regulations or for any interference or disturbance of Tenant by any other tenant or occupant.</w:t>
      </w:r>
    </w:p>
    <w:p>
      <w:pPr>
        <w:spacing w:after="0" w:line="199" w:lineRule="exact"/>
        <w:rPr>
          <w:rFonts w:ascii="Arial" w:cs="Arial" w:eastAsia="Arial" w:hAnsi="Arial"/>
          <w:sz w:val="20"/>
          <w:szCs w:val="20"/>
          <w:color w:val="auto"/>
        </w:rPr>
      </w:pPr>
    </w:p>
    <w:p>
      <w:pPr>
        <w:ind w:firstLine="8"/>
        <w:spacing w:after="0" w:line="260" w:lineRule="auto"/>
        <w:tabs>
          <w:tab w:leader="none" w:pos="64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Landlord reserves the right to make such amendments to these Rules and Regulations from time to time that are not inconsistent with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20"/>
          <w:szCs w:val="20"/>
          <w:b w:val="1"/>
          <w:bCs w:val="1"/>
          <w:u w:val="single" w:color="auto"/>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PAYMENT INSTRUCTIONS AND TENANT PORTAL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Tenant must before, or promptly after, the Lease Commencement Date register with the Tenant Portal as indicated below.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Tenant hereby consents to receive any written or other notice under this Lease through the Tenant Portal.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Tenant agrees to make any payments required under this Lease by one of the following methodologies:</w:t>
      </w:r>
    </w:p>
    <w:p>
      <w:pPr>
        <w:spacing w:after="0" w:line="22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Through the Tenant Portal, as described below.</w:t>
      </w:r>
    </w:p>
    <w:p>
      <w:pPr>
        <w:spacing w:after="0" w:line="15" w:lineRule="exact"/>
        <w:rPr>
          <w:rFonts w:ascii="Arial" w:cs="Arial" w:eastAsia="Arial" w:hAnsi="Arial"/>
          <w:sz w:val="20"/>
          <w:szCs w:val="20"/>
          <w:color w:val="auto"/>
        </w:rPr>
      </w:pPr>
    </w:p>
    <w:p>
      <w:pPr>
        <w:ind w:left="660" w:hanging="652"/>
        <w:spacing w:after="0"/>
        <w:tabs>
          <w:tab w:leader="none" w:pos="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By wire.</w:t>
      </w:r>
    </w:p>
    <w:p>
      <w:pPr>
        <w:ind w:left="660" w:hanging="652"/>
        <w:spacing w:after="0"/>
        <w:tabs>
          <w:tab w:leader="none" w:pos="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By check.</w:t>
      </w:r>
    </w:p>
    <w:p>
      <w:pPr>
        <w:ind w:left="660" w:hanging="652"/>
        <w:spacing w:after="0"/>
        <w:tabs>
          <w:tab w:leader="none" w:pos="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By ACH.</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Landlord will provide Yardi enrollment instructions, address for payment of Rent by check, and wire instructions for payment of Rent by wire in a separate “welcome package” or other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MINIMUM SERVICE CONTRACT REQUIREMENTS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u w:val="single" w:color="auto"/>
          <w:color w:val="auto"/>
        </w:rPr>
        <w:t>Service Contract</w:t>
      </w:r>
      <w:r>
        <w:rPr>
          <w:rFonts w:ascii="Arial" w:cs="Arial" w:eastAsia="Arial" w:hAnsi="Arial"/>
          <w:sz w:val="19"/>
          <w:szCs w:val="19"/>
          <w:color w:val="auto"/>
        </w:rPr>
        <w:t>. The Service Contract for the HVAC System required under the Lease must become effective within 30</w:t>
      </w:r>
      <w:r>
        <w:rPr>
          <w:rFonts w:ascii="Arial" w:cs="Arial" w:eastAsia="Arial" w:hAnsi="Arial"/>
          <w:sz w:val="19"/>
          <w:szCs w:val="19"/>
          <w:b w:val="1"/>
          <w:bCs w:val="1"/>
          <w:color w:val="auto"/>
        </w:rPr>
        <w:t xml:space="preserve"> </w:t>
      </w:r>
      <w:r>
        <w:rPr>
          <w:rFonts w:ascii="Arial" w:cs="Arial" w:eastAsia="Arial" w:hAnsi="Arial"/>
          <w:sz w:val="19"/>
          <w:szCs w:val="19"/>
          <w:color w:val="auto"/>
        </w:rPr>
        <w:t>days of Tenant’s occupancy of the Premises, and service visits must be performed on at least a quarterly basis unless otherwise agreed in writing by Landlord. The maintenance contract must include the following services:</w:t>
      </w:r>
    </w:p>
    <w:p>
      <w:pPr>
        <w:spacing w:after="0" w:line="18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Adjust belt tension;</w:t>
      </w:r>
    </w:p>
    <w:p>
      <w:pPr>
        <w:spacing w:after="0" w:line="15" w:lineRule="exact"/>
        <w:rPr>
          <w:rFonts w:ascii="Arial" w:cs="Arial" w:eastAsia="Arial" w:hAnsi="Arial"/>
          <w:sz w:val="20"/>
          <w:szCs w:val="20"/>
          <w:color w:val="auto"/>
        </w:rPr>
      </w:pP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Lubricate all moving parts, as necessary;</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Inspect and adjust all temperature and safety controls;</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Check refrigeration system for leaks and operation;</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Check refrigeration system for moisture;</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Inspect compressor oil level and crank case heaters;</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Check head pressure, suction pressure and oil pressure;</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Inspect air filters and replace when necessary;</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Check space conditions;</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Check condensate drains and drain pans and clean, if necessary;</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Inspect and adjust all valves;</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Check and adjust dampers; and</w:t>
      </w: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Run machine through complete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MOVE OUT CONDITIONS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Notwithstanding anything to the contrary in this Lease, Tenant is obligated to check and address prior to move-out of the Premises the following items. The following list is designed to assist Tenant in the move-out procedures but is not intended to be all inclusive.</w:t>
      </w:r>
    </w:p>
    <w:p>
      <w:pPr>
        <w:spacing w:after="0" w:line="199" w:lineRule="exact"/>
        <w:rPr>
          <w:sz w:val="20"/>
          <w:szCs w:val="20"/>
          <w:color w:val="auto"/>
        </w:rPr>
      </w:pPr>
    </w:p>
    <w:p>
      <w:pPr>
        <w:ind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All lighting is to be placed into good working order, including, without limitation, replacement of bulbs, ballasts and lenses consistent with existing lighting, as needed.</w:t>
      </w:r>
    </w:p>
    <w:p>
      <w:pPr>
        <w:spacing w:after="0" w:line="190" w:lineRule="exact"/>
        <w:rPr>
          <w:rFonts w:ascii="Arial" w:cs="Arial" w:eastAsia="Arial" w:hAnsi="Arial"/>
          <w:sz w:val="20"/>
          <w:szCs w:val="20"/>
          <w:color w:val="auto"/>
        </w:rPr>
      </w:pPr>
    </w:p>
    <w:p>
      <w:pPr>
        <w:jc w:val="both"/>
        <w:ind w:firstLine="8"/>
        <w:spacing w:after="0" w:line="25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All truck doors, dock levelers and pedestrian doors, are to be serviced and placed in good operating order. This includes the necessary replacement of any dented truck door panels and adjustment of door tension to insure proper operation. All door panels which are replaced are to be painted to match the Building standard.</w:t>
      </w:r>
    </w:p>
    <w:p>
      <w:pPr>
        <w:spacing w:after="0" w:line="199" w:lineRule="exact"/>
        <w:rPr>
          <w:rFonts w:ascii="Arial" w:cs="Arial" w:eastAsia="Arial" w:hAnsi="Arial"/>
          <w:sz w:val="20"/>
          <w:szCs w:val="20"/>
          <w:color w:val="auto"/>
        </w:rPr>
      </w:pPr>
    </w:p>
    <w:p>
      <w:pPr>
        <w:ind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All columns in the Premises are to be inspected for damage and Tenant shall be responsible for repairs to such structural columns resulting from damage caused by or attributable to Tenant and/or Tenant’s Parties.</w:t>
      </w:r>
    </w:p>
    <w:p>
      <w:pPr>
        <w:spacing w:after="0" w:line="190" w:lineRule="exact"/>
        <w:rPr>
          <w:rFonts w:ascii="Arial" w:cs="Arial" w:eastAsia="Arial" w:hAnsi="Arial"/>
          <w:sz w:val="20"/>
          <w:szCs w:val="20"/>
          <w:color w:val="auto"/>
        </w:rPr>
      </w:pPr>
    </w:p>
    <w:p>
      <w:pPr>
        <w:jc w:val="both"/>
        <w:ind w:firstLine="8"/>
        <w:spacing w:after="0" w:line="282"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HVAC Systems, including without limitation, warehouse heaters, industrial fans, exhaust and ventilation systems, air rotation units, and infrared tube heaters (if applicable), are to be placed in good working order, including the necessary replacement of any parts to return the HVAC System to a well-maintained condition. Upon move-out, Landlord will have an exit inspection performed by a certified mechanical contractor to determine the condition of the HVAC System.</w:t>
      </w:r>
    </w:p>
    <w:p>
      <w:pPr>
        <w:spacing w:after="0" w:line="174" w:lineRule="exact"/>
        <w:rPr>
          <w:rFonts w:ascii="Arial" w:cs="Arial" w:eastAsia="Arial" w:hAnsi="Arial"/>
          <w:sz w:val="18"/>
          <w:szCs w:val="18"/>
          <w:color w:val="auto"/>
        </w:rPr>
      </w:pPr>
    </w:p>
    <w:p>
      <w:pPr>
        <w:jc w:val="both"/>
        <w:ind w:firstLine="8"/>
        <w:spacing w:after="0" w:line="291"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holes in the sheetrock walls of the Premises are to be repaired/painted prior to move-out, and all striping and markings on floor (including the warehouse floor) are to be removed in their entirety in a manner so as not to detrimentally affect the slab, which such removal methods and/or processes shall be subject to Landlord’s prior approval thereof.</w:t>
      </w:r>
    </w:p>
    <w:p>
      <w:pPr>
        <w:spacing w:after="0" w:line="165" w:lineRule="exact"/>
        <w:rPr>
          <w:rFonts w:ascii="Arial" w:cs="Arial" w:eastAsia="Arial" w:hAnsi="Arial"/>
          <w:sz w:val="18"/>
          <w:szCs w:val="18"/>
          <w:color w:val="auto"/>
        </w:rPr>
      </w:pPr>
    </w:p>
    <w:p>
      <w:pPr>
        <w:ind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carpets and tiles are to be in a clean condition and not have any holes or chips in them. Landlord will accept reasonable wear and tear on these items provided they appear to be in a maintained condition.</w:t>
      </w:r>
    </w:p>
    <w:p>
      <w:pPr>
        <w:spacing w:after="0" w:line="190" w:lineRule="exact"/>
        <w:rPr>
          <w:rFonts w:ascii="Arial" w:cs="Arial" w:eastAsia="Arial" w:hAnsi="Arial"/>
          <w:sz w:val="20"/>
          <w:szCs w:val="20"/>
          <w:color w:val="auto"/>
        </w:rPr>
      </w:pPr>
    </w:p>
    <w:p>
      <w:pPr>
        <w:ind w:right="20"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Premises is to be returned in a clean condition, including the cleaning of the offices, coffee bar, restroom areas, windows and other portions of the Premises.</w:t>
      </w:r>
    </w:p>
    <w:p>
      <w:pPr>
        <w:spacing w:after="0" w:line="190" w:lineRule="exact"/>
        <w:rPr>
          <w:rFonts w:ascii="Arial" w:cs="Arial" w:eastAsia="Arial" w:hAnsi="Arial"/>
          <w:sz w:val="20"/>
          <w:szCs w:val="20"/>
          <w:color w:val="auto"/>
        </w:rPr>
      </w:pPr>
    </w:p>
    <w:p>
      <w:pPr>
        <w:jc w:val="both"/>
        <w:ind w:firstLine="8"/>
        <w:spacing w:after="0" w:line="282"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warehouse area of the Premises is to be in broom clean condition, free of debris and cobwebs, with all inventory and racking removed. There are to be no protrusion of anchors or bolts from the warehouse floor. All bolts, anchors or other devices used to attach or affix Tenant’s trade fixtures are to be removed, subject to Landlord’s prior written approval. If machinery/equipment is removed, the electrical lines are to be properly terminated at the nearest junction box.</w:t>
      </w:r>
    </w:p>
    <w:p>
      <w:pPr>
        <w:spacing w:after="0" w:line="174" w:lineRule="exact"/>
        <w:rPr>
          <w:rFonts w:ascii="Arial" w:cs="Arial" w:eastAsia="Arial" w:hAnsi="Arial"/>
          <w:sz w:val="18"/>
          <w:szCs w:val="18"/>
          <w:color w:val="auto"/>
        </w:rPr>
      </w:pPr>
    </w:p>
    <w:p>
      <w:pPr>
        <w:ind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All exterior windows with cracks or breakage are to be replaced, and all damaged window mullions are to be repaired or replaced, as necessary.</w:t>
      </w:r>
    </w:p>
    <w:p>
      <w:pPr>
        <w:spacing w:after="0" w:line="190" w:lineRule="exact"/>
        <w:rPr>
          <w:rFonts w:ascii="Arial" w:cs="Arial" w:eastAsia="Arial" w:hAnsi="Arial"/>
          <w:sz w:val="20"/>
          <w:szCs w:val="20"/>
          <w:color w:val="auto"/>
        </w:rPr>
      </w:pPr>
    </w:p>
    <w:p>
      <w:pPr>
        <w:ind w:right="20"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Tenant shall provide to Landlord the keys and passcodes for all locks on the Premises, including front doors, rear doors, and interior doors.</w:t>
      </w:r>
    </w:p>
    <w:p>
      <w:pPr>
        <w:spacing w:after="0" w:line="190" w:lineRule="exact"/>
        <w:rPr>
          <w:rFonts w:ascii="Arial" w:cs="Arial" w:eastAsia="Arial" w:hAnsi="Arial"/>
          <w:sz w:val="20"/>
          <w:szCs w:val="20"/>
          <w:color w:val="auto"/>
        </w:rPr>
      </w:pPr>
    </w:p>
    <w:p>
      <w:pPr>
        <w:ind w:firstLine="8"/>
        <w:spacing w:after="0" w:line="260" w:lineRule="auto"/>
        <w:tabs>
          <w:tab w:leader="none" w:pos="6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Except as otherwise agreed to in writing, it is expressly agreed that any and all telephonic, coaxial, ethernet, or other data, computer, word-processing, facsimile, cabling, or electronic wiring installed by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73" w:name="page174"/>
    <w:bookmarkEnd w:id="173"/>
    <w:p>
      <w:pPr>
        <w:jc w:val="both"/>
        <w:spacing w:after="0" w:line="253" w:lineRule="auto"/>
        <w:rPr>
          <w:sz w:val="20"/>
          <w:szCs w:val="20"/>
          <w:color w:val="auto"/>
        </w:rPr>
      </w:pPr>
      <w:r>
        <w:rPr>
          <w:rFonts w:ascii="Arial" w:cs="Arial" w:eastAsia="Arial" w:hAnsi="Arial"/>
          <w:sz w:val="20"/>
          <w:szCs w:val="20"/>
          <w:color w:val="auto"/>
        </w:rPr>
        <w:t>Tenant in, on or about the Premises, including all lines above the office ceiling (collectively, “</w:t>
      </w:r>
      <w:r>
        <w:rPr>
          <w:rFonts w:ascii="Arial" w:cs="Arial" w:eastAsia="Arial" w:hAnsi="Arial"/>
          <w:sz w:val="20"/>
          <w:szCs w:val="20"/>
          <w:b w:val="1"/>
          <w:bCs w:val="1"/>
          <w:color w:val="auto"/>
        </w:rPr>
        <w:t>Wiring</w:t>
      </w:r>
      <w:r>
        <w:rPr>
          <w:rFonts w:ascii="Arial" w:cs="Arial" w:eastAsia="Arial" w:hAnsi="Arial"/>
          <w:sz w:val="20"/>
          <w:szCs w:val="20"/>
          <w:color w:val="auto"/>
        </w:rPr>
        <w:t>”) is to be removed in its entirety, at Tenant’s sole cost and expense. Tenant shall be responsible for any and all damages to the Premises caused by such removal.</w:t>
      </w:r>
    </w:p>
    <w:p>
      <w:pPr>
        <w:spacing w:after="0" w:line="197" w:lineRule="exact"/>
        <w:rPr>
          <w:sz w:val="20"/>
          <w:szCs w:val="20"/>
          <w:color w:val="auto"/>
        </w:rPr>
      </w:pPr>
    </w:p>
    <w:p>
      <w:pPr>
        <w:ind w:right="20" w:firstLine="8"/>
        <w:spacing w:after="0" w:line="260" w:lineRule="auto"/>
        <w:tabs>
          <w:tab w:leader="none" w:pos="64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All electrical systems are to be left in a safe condition that conforms to Applicable Laws. Bare wires and dangerous installations are to be corrected prior to move-out.</w:t>
      </w:r>
    </w:p>
    <w:p>
      <w:pPr>
        <w:spacing w:after="0" w:line="190" w:lineRule="exact"/>
        <w:rPr>
          <w:rFonts w:ascii="Arial" w:cs="Arial" w:eastAsia="Arial" w:hAnsi="Arial"/>
          <w:sz w:val="20"/>
          <w:szCs w:val="20"/>
          <w:color w:val="auto"/>
        </w:rPr>
      </w:pPr>
    </w:p>
    <w:p>
      <w:pPr>
        <w:ind w:right="20" w:firstLine="8"/>
        <w:spacing w:after="0" w:line="260" w:lineRule="auto"/>
        <w:tabs>
          <w:tab w:leader="none" w:pos="64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All plumbing fixtures are to be in good working order, including the water heater. Faucets and toilets are to be leak-free. Any sump pumps in the truck well shall be free of debris and operational.</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All dock bumpers must be left in place and well secured.</w:t>
      </w:r>
    </w:p>
    <w:p>
      <w:pPr>
        <w:spacing w:after="0" w:line="229" w:lineRule="exact"/>
        <w:rPr>
          <w:rFonts w:ascii="Arial" w:cs="Arial" w:eastAsia="Arial" w:hAnsi="Arial"/>
          <w:sz w:val="20"/>
          <w:szCs w:val="20"/>
          <w:color w:val="auto"/>
        </w:rPr>
      </w:pPr>
    </w:p>
    <w:p>
      <w:pPr>
        <w:jc w:val="both"/>
        <w:ind w:firstLine="8"/>
        <w:spacing w:after="0" w:line="250" w:lineRule="auto"/>
        <w:tabs>
          <w:tab w:leader="none" w:pos="64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All Tenant exterior and interior signs shall be removed and at a minimum, the wall surface shall be restored and painted to match the existing color, it being expressly understood that Tenant shall be responsible for any and all damages to the Premises, the Building or the Project caused by such signage removal.</w:t>
      </w:r>
    </w:p>
    <w:p>
      <w:pPr>
        <w:spacing w:after="0" w:line="199" w:lineRule="exact"/>
        <w:rPr>
          <w:rFonts w:ascii="Arial" w:cs="Arial" w:eastAsia="Arial" w:hAnsi="Arial"/>
          <w:sz w:val="20"/>
          <w:szCs w:val="20"/>
          <w:color w:val="auto"/>
        </w:rPr>
      </w:pPr>
    </w:p>
    <w:p>
      <w:pPr>
        <w:ind w:firstLine="8"/>
        <w:spacing w:after="0" w:line="316"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waste containers placed in or about the Premises or the Project by Tenant (including in the dock areas of the Premises) shall be removed and the areas related thereto returned in a clean and sanitary condition, free of debris.</w:t>
      </w:r>
    </w:p>
    <w:p>
      <w:pPr>
        <w:spacing w:after="0" w:line="143" w:lineRule="exact"/>
        <w:rPr>
          <w:rFonts w:ascii="Arial" w:cs="Arial" w:eastAsia="Arial" w:hAnsi="Arial"/>
          <w:sz w:val="18"/>
          <w:szCs w:val="18"/>
          <w:color w:val="auto"/>
        </w:rPr>
      </w:pPr>
    </w:p>
    <w:p>
      <w:pPr>
        <w:ind w:left="660" w:hanging="652"/>
        <w:spacing w:after="0"/>
        <w:tabs>
          <w:tab w:leader="none" w:pos="6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Any and all roof penetrations shall be resealed in a watertight condition.</w:t>
      </w:r>
    </w:p>
    <w:p>
      <w:pPr>
        <w:spacing w:after="0" w:line="229" w:lineRule="exact"/>
        <w:rPr>
          <w:rFonts w:ascii="Arial" w:cs="Arial" w:eastAsia="Arial" w:hAnsi="Arial"/>
          <w:sz w:val="20"/>
          <w:szCs w:val="20"/>
          <w:color w:val="auto"/>
        </w:rPr>
      </w:pPr>
    </w:p>
    <w:p>
      <w:pPr>
        <w:jc w:val="both"/>
        <w:ind w:firstLine="8"/>
        <w:spacing w:after="0" w:line="257" w:lineRule="auto"/>
        <w:tabs>
          <w:tab w:leader="none" w:pos="64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hatched area on the space plan on the following page indicates areas of the Premises that Tenant shall restore back to a condition that would provide open warehouse (floor to roof) upon expiration or termination of the Lease. Any area that is not directly under the mezzanine area, excluding restrooms, stairwells, and utility rooms, will be subject to removal by Tenant at Tenant’s expense. Said work shall include, but not be limited to, removing interior rooms, walls, ceilings, equipment, interior structures, capping fire sprinklers and electrical to the closest point to the roof of the building and/or to a remaining side wall/nearest junction box. HVAC ducting shall be removed back to the roof. The mezzanine office area of approximately 22,000 square feet shall be excluded from this removal requirement.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space plan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328930</wp:posOffset>
            </wp:positionV>
            <wp:extent cx="4937760" cy="43116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493776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379730</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STATE LAW ADDENDUM</w:t>
      </w: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u w:val="single" w:color="auto"/>
          <w:color w:val="auto"/>
        </w:rPr>
        <w:t>CALIFORNIA CIVIL CODE SECTION 1938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California Civil Code Section 1938,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that to the best of its knowledge as of the date of execution of this Lease, the property being leased pursuant hereto has not undergone an inspection by a Certified Access Specialist (CASp). Landlord makes no representations, express or implied, as to the compliance of the Premises or the building in which the Premises are located with applicable construction related accessibility standards. As required by California Civil Code Section 1938(e), Tenant is hereby notified that: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Nothing contained herein requires Landlord to perform any improvements that are not expressly required pursuant to the terms of this 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76" w:name="page177"/>
    <w:bookmarkEnd w:id="176"/>
    <w:p>
      <w:pPr>
        <w:ind w:left="8020"/>
        <w:spacing w:after="0"/>
        <w:rPr>
          <w:sz w:val="20"/>
          <w:szCs w:val="20"/>
          <w:color w:val="auto"/>
        </w:rPr>
      </w:pPr>
      <w:r>
        <w:rPr>
          <w:rFonts w:ascii="Arial" w:cs="Arial" w:eastAsia="Arial" w:hAnsi="Arial"/>
          <w:sz w:val="16"/>
          <w:szCs w:val="16"/>
          <w:b w:val="1"/>
          <w:bCs w:val="1"/>
          <w:color w:val="auto"/>
        </w:rPr>
        <w:t>Exhibit 21.1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Subsidiaries of AeroVironment, Inc.</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4220" w:type="dxa"/>
            <w:vAlign w:val="bottom"/>
          </w:tcPr>
          <w:p>
            <w:pPr>
              <w:ind w:left="1240"/>
              <w:spacing w:after="0"/>
              <w:rPr>
                <w:sz w:val="20"/>
                <w:szCs w:val="20"/>
                <w:color w:val="auto"/>
              </w:rPr>
            </w:pPr>
            <w:r>
              <w:rPr>
                <w:rFonts w:ascii="Arial" w:cs="Arial" w:eastAsia="Arial" w:hAnsi="Arial"/>
                <w:sz w:val="14"/>
                <w:szCs w:val="14"/>
                <w:b w:val="1"/>
                <w:bCs w:val="1"/>
                <w:color w:val="auto"/>
              </w:rPr>
              <w:t>Jurisdiction of Organization</w:t>
            </w:r>
          </w:p>
        </w:tc>
      </w:tr>
      <w:tr>
        <w:trPr>
          <w:trHeight w:val="188"/>
        </w:trPr>
        <w:tc>
          <w:tcPr>
            <w:tcW w:w="20" w:type="dxa"/>
            <w:vAlign w:val="bottom"/>
          </w:tcPr>
          <w:p>
            <w:pPr>
              <w:spacing w:after="0"/>
              <w:rPr>
                <w:sz w:val="16"/>
                <w:szCs w:val="16"/>
                <w:color w:val="auto"/>
              </w:rPr>
            </w:pPr>
          </w:p>
        </w:tc>
        <w:tc>
          <w:tcPr>
            <w:tcW w:w="44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Altoy Savunma Sanayi ve Havacilik Anonim Sirketi*</w:t>
            </w:r>
          </w:p>
        </w:tc>
        <w:tc>
          <w:tcPr>
            <w:tcW w:w="200" w:type="dxa"/>
            <w:vAlign w:val="bottom"/>
          </w:tcPr>
          <w:p>
            <w:pPr>
              <w:spacing w:after="0"/>
              <w:rPr>
                <w:sz w:val="16"/>
                <w:szCs w:val="16"/>
                <w:color w:val="auto"/>
              </w:rPr>
            </w:pPr>
          </w:p>
        </w:tc>
        <w:tc>
          <w:tcPr>
            <w:tcW w:w="4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Turkey</w:t>
            </w:r>
          </w:p>
        </w:tc>
      </w:tr>
      <w:tr>
        <w:trPr>
          <w:trHeight w:val="203"/>
        </w:trPr>
        <w:tc>
          <w:tcPr>
            <w:tcW w:w="45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Arcturus UAV, Inc.</w:t>
            </w: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45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Telerob Gesellschaft für Fernhantierungstechnik mbH</w:t>
            </w: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3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Telerob USA, Inc.</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r>
      <w:tr>
        <w:trPr>
          <w:trHeight w:val="95"/>
        </w:trPr>
        <w:tc>
          <w:tcPr>
            <w:tcW w:w="2240" w:type="dxa"/>
            <w:vAlign w:val="bottom"/>
            <w:tcBorders>
              <w:bottom w:val="single" w:sz="8" w:color="auto"/>
            </w:tcBorders>
            <w:gridSpan w:val="2"/>
          </w:tcPr>
          <w:p>
            <w:pPr>
              <w:spacing w:after="0"/>
              <w:rPr>
                <w:sz w:val="8"/>
                <w:szCs w:val="8"/>
                <w:color w:val="auto"/>
              </w:rPr>
            </w:pPr>
          </w:p>
        </w:tc>
        <w:tc>
          <w:tcPr>
            <w:tcW w:w="2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20" w:type="dxa"/>
            <w:vAlign w:val="bottom"/>
          </w:tcPr>
          <w:p>
            <w:pPr>
              <w:spacing w:after="0"/>
              <w:rPr>
                <w:sz w:val="8"/>
                <w:szCs w:val="8"/>
                <w:color w:val="auto"/>
              </w:rPr>
            </w:pPr>
          </w:p>
        </w:tc>
      </w:tr>
      <w:tr>
        <w:trPr>
          <w:trHeight w:val="304"/>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  AeroVironment, Inc. has an 50% ownership interest</w:t>
            </w:r>
          </w:p>
        </w:tc>
        <w:tc>
          <w:tcPr>
            <w:tcW w:w="2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952"/>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77" w:name="page178"/>
    <w:bookmarkEnd w:id="177"/>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Nos. 333-140237, 333-178349 and 333-260227 on Form S-8 of our reports dated June 28, 2022, relating to the consolidated financial statements and schedule of AeroVironment, Inc. and the effectiveness of AeroVironment, Inc.’s internal control over financial reporting appearing in this Annual Report on Form 10-K for the year ended April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ind w:left="60"/>
        <w:spacing w:after="0"/>
        <w:rPr>
          <w:sz w:val="20"/>
          <w:szCs w:val="20"/>
          <w:color w:val="auto"/>
        </w:rPr>
      </w:pPr>
      <w:r>
        <w:rPr>
          <w:rFonts w:ascii="Arial" w:cs="Arial" w:eastAsia="Arial" w:hAnsi="Arial"/>
          <w:sz w:val="18"/>
          <w:szCs w:val="18"/>
          <w:color w:val="auto"/>
        </w:rPr>
        <w:t>June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8" w:name="page179"/>
    <w:bookmarkEnd w:id="17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Wahid Nawabi, certify that:</w:t>
      </w:r>
    </w:p>
    <w:p>
      <w:pPr>
        <w:spacing w:after="0" w:line="212" w:lineRule="exact"/>
        <w:rPr>
          <w:sz w:val="20"/>
          <w:szCs w:val="20"/>
          <w:color w:val="auto"/>
        </w:rPr>
      </w:pPr>
    </w:p>
    <w:p>
      <w:pPr>
        <w:ind w:left="1340" w:hanging="642"/>
        <w:spacing w:after="0"/>
        <w:tabs>
          <w:tab w:leader="none" w:pos="1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11" w:lineRule="exact"/>
        <w:rPr>
          <w:rFonts w:ascii="Arial" w:cs="Arial" w:eastAsia="Arial" w:hAnsi="Arial"/>
          <w:sz w:val="18"/>
          <w:szCs w:val="18"/>
          <w:color w:val="auto"/>
        </w:rPr>
      </w:pPr>
    </w:p>
    <w:p>
      <w:pPr>
        <w:ind w:left="60" w:right="279" w:firstLine="638"/>
        <w:spacing w:after="0" w:line="248" w:lineRule="auto"/>
        <w:tabs>
          <w:tab w:leader="none" w:pos="13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0" w:right="99" w:firstLine="638"/>
        <w:spacing w:after="0" w:line="248" w:lineRule="auto"/>
        <w:tabs>
          <w:tab w:leader="none" w:pos="13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0" w:right="259" w:firstLine="638"/>
        <w:spacing w:after="0" w:line="294" w:lineRule="auto"/>
        <w:tabs>
          <w:tab w:leader="none" w:pos="135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700" w:right="99" w:firstLine="646"/>
        <w:spacing w:after="0" w:line="243" w:lineRule="auto"/>
        <w:tabs>
          <w:tab w:leader="none" w:pos="19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700" w:right="159" w:firstLine="646"/>
        <w:spacing w:after="0" w:line="243" w:lineRule="auto"/>
        <w:tabs>
          <w:tab w:leader="none" w:pos="19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700" w:right="79" w:firstLine="646"/>
        <w:spacing w:after="0" w:line="248" w:lineRule="auto"/>
        <w:tabs>
          <w:tab w:leader="none" w:pos="19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700" w:right="239" w:firstLine="646"/>
        <w:spacing w:after="0" w:line="243" w:lineRule="auto"/>
        <w:tabs>
          <w:tab w:leader="none" w:pos="19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 w:right="299" w:firstLine="638"/>
        <w:spacing w:after="0" w:line="248" w:lineRule="auto"/>
        <w:tabs>
          <w:tab w:leader="none" w:pos="13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ind w:left="700" w:right="319" w:firstLine="646"/>
        <w:spacing w:after="0" w:line="248" w:lineRule="auto"/>
        <w:tabs>
          <w:tab w:leader="none" w:pos="19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right="259" w:firstLine="646"/>
        <w:spacing w:after="0" w:line="261" w:lineRule="auto"/>
        <w:tabs>
          <w:tab w:leader="none" w:pos="19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June 28, 2022</w:t>
      </w:r>
      <w:r>
        <w:rPr>
          <w:sz w:val="20"/>
          <w:szCs w:val="20"/>
          <w:color w:val="auto"/>
        </w:rPr>
        <w:tab/>
      </w:r>
      <w:r>
        <w:rPr>
          <w:rFonts w:ascii="Arial" w:cs="Arial" w:eastAsia="Arial" w:hAnsi="Arial"/>
          <w:sz w:val="16"/>
          <w:szCs w:val="16"/>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802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9" w:name="page180"/>
    <w:bookmarkEnd w:id="17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P. McDonnell, certify that:</w:t>
      </w:r>
    </w:p>
    <w:p>
      <w:pPr>
        <w:spacing w:after="0" w:line="212" w:lineRule="exact"/>
        <w:rPr>
          <w:sz w:val="20"/>
          <w:szCs w:val="20"/>
          <w:color w:val="auto"/>
        </w:rPr>
      </w:pPr>
    </w:p>
    <w:p>
      <w:pPr>
        <w:ind w:left="1340" w:hanging="642"/>
        <w:spacing w:after="0"/>
        <w:tabs>
          <w:tab w:leader="none" w:pos="1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11" w:lineRule="exact"/>
        <w:rPr>
          <w:rFonts w:ascii="Arial" w:cs="Arial" w:eastAsia="Arial" w:hAnsi="Arial"/>
          <w:sz w:val="18"/>
          <w:szCs w:val="18"/>
          <w:color w:val="auto"/>
        </w:rPr>
      </w:pPr>
    </w:p>
    <w:p>
      <w:pPr>
        <w:ind w:left="60" w:right="279" w:firstLine="638"/>
        <w:spacing w:after="0" w:line="248" w:lineRule="auto"/>
        <w:tabs>
          <w:tab w:leader="none" w:pos="13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0" w:right="99" w:firstLine="638"/>
        <w:spacing w:after="0" w:line="248" w:lineRule="auto"/>
        <w:tabs>
          <w:tab w:leader="none" w:pos="13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0" w:right="259" w:firstLine="638"/>
        <w:spacing w:after="0" w:line="294" w:lineRule="auto"/>
        <w:tabs>
          <w:tab w:leader="none" w:pos="13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700" w:right="99" w:firstLine="646"/>
        <w:spacing w:after="0" w:line="243" w:lineRule="auto"/>
        <w:tabs>
          <w:tab w:leader="none" w:pos="19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700" w:right="159" w:firstLine="646"/>
        <w:spacing w:after="0" w:line="243" w:lineRule="auto"/>
        <w:tabs>
          <w:tab w:leader="none" w:pos="19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700" w:right="79" w:firstLine="646"/>
        <w:spacing w:after="0" w:line="248" w:lineRule="auto"/>
        <w:tabs>
          <w:tab w:leader="none" w:pos="19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700" w:right="239" w:firstLine="646"/>
        <w:spacing w:after="0" w:line="243" w:lineRule="auto"/>
        <w:tabs>
          <w:tab w:leader="none" w:pos="19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 w:right="299" w:firstLine="638"/>
        <w:spacing w:after="0" w:line="248" w:lineRule="auto"/>
        <w:tabs>
          <w:tab w:leader="none" w:pos="13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ind w:left="700" w:right="319" w:firstLine="646"/>
        <w:spacing w:after="0" w:line="248" w:lineRule="auto"/>
        <w:tabs>
          <w:tab w:leader="none" w:pos="19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right="259" w:firstLine="646"/>
        <w:spacing w:after="0" w:line="261" w:lineRule="auto"/>
        <w:tabs>
          <w:tab w:leader="none" w:pos="19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June 28, 2022</w:t>
      </w:r>
      <w:r>
        <w:rPr>
          <w:sz w:val="20"/>
          <w:szCs w:val="20"/>
          <w:color w:val="auto"/>
        </w:rPr>
        <w:tab/>
      </w:r>
      <w:r>
        <w:rPr>
          <w:rFonts w:ascii="Arial" w:cs="Arial" w:eastAsia="Arial" w:hAnsi="Arial"/>
          <w:sz w:val="16"/>
          <w:szCs w:val="16"/>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802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Kevin P. McDonnell</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0" w:name="page181"/>
    <w:bookmarkEnd w:id="18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left="60" w:right="399" w:firstLine="648"/>
        <w:spacing w:after="0" w:line="324" w:lineRule="auto"/>
        <w:rPr>
          <w:sz w:val="20"/>
          <w:szCs w:val="20"/>
          <w:color w:val="auto"/>
        </w:rPr>
      </w:pPr>
      <w:r>
        <w:rPr>
          <w:rFonts w:ascii="Arial" w:cs="Arial" w:eastAsia="Arial" w:hAnsi="Arial"/>
          <w:sz w:val="16"/>
          <w:szCs w:val="16"/>
          <w:color w:val="auto"/>
        </w:rPr>
        <w:t>Pursuant to 18 U.S.C. Section 1350, as created by Section 906 of the Sarbanes-Oxley Act of 2002, each of the undersigned officers of AeroVironment, Inc. (the “Company”) hereby certifies, to each such officer’s knowledge, that:</w:t>
      </w:r>
    </w:p>
    <w:p>
      <w:pPr>
        <w:spacing w:after="0" w:line="124" w:lineRule="exact"/>
        <w:rPr>
          <w:sz w:val="20"/>
          <w:szCs w:val="20"/>
          <w:color w:val="auto"/>
        </w:rPr>
      </w:pPr>
    </w:p>
    <w:p>
      <w:pPr>
        <w:ind w:left="1340" w:right="199" w:hanging="642"/>
        <w:spacing w:after="0" w:line="248" w:lineRule="auto"/>
        <w:tabs>
          <w:tab w:leader="none" w:pos="1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April 30, 2022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40" w:right="339" w:hanging="642"/>
        <w:spacing w:after="0" w:line="261" w:lineRule="auto"/>
        <w:tabs>
          <w:tab w:leader="none" w:pos="1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June 28, 2022</w:t>
      </w:r>
      <w:r>
        <w:rPr>
          <w:sz w:val="20"/>
          <w:szCs w:val="20"/>
          <w:color w:val="auto"/>
        </w:rPr>
        <w:tab/>
      </w:r>
      <w:r>
        <w:rPr>
          <w:rFonts w:ascii="Arial" w:cs="Arial" w:eastAsia="Arial" w:hAnsi="Arial"/>
          <w:sz w:val="17"/>
          <w:szCs w:val="17"/>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6350</wp:posOffset>
            </wp:positionV>
            <wp:extent cx="28117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Wahid Nawabi</w:t>
      </w:r>
    </w:p>
    <w:p>
      <w:pPr>
        <w:ind w:left="4520"/>
        <w:spacing w:after="0"/>
        <w:rPr>
          <w:sz w:val="20"/>
          <w:szCs w:val="20"/>
          <w:color w:val="auto"/>
        </w:rPr>
      </w:pPr>
      <w:r>
        <w:rPr>
          <w:rFonts w:ascii="Arial" w:cs="Arial" w:eastAsia="Arial" w:hAnsi="Arial"/>
          <w:sz w:val="18"/>
          <w:szCs w:val="18"/>
          <w:color w:val="auto"/>
        </w:rPr>
        <w:t>President, Chief Executive Officer and Chairman</w:t>
      </w:r>
    </w:p>
    <w:p>
      <w:pPr>
        <w:spacing w:after="0" w:line="182"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June 28, 2022</w:t>
      </w:r>
      <w:r>
        <w:rPr>
          <w:sz w:val="20"/>
          <w:szCs w:val="20"/>
          <w:color w:val="auto"/>
        </w:rPr>
        <w:tab/>
      </w:r>
      <w:r>
        <w:rPr>
          <w:rFonts w:ascii="Arial" w:cs="Arial" w:eastAsia="Arial" w:hAnsi="Arial"/>
          <w:sz w:val="17"/>
          <w:szCs w:val="17"/>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6350</wp:posOffset>
            </wp:positionV>
            <wp:extent cx="28117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Kevin P. McDonnell</w:t>
      </w:r>
    </w:p>
    <w:p>
      <w:pPr>
        <w:ind w:left="45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853440</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lowerRoman"/>
      <w:start w:val="2"/>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1."/>
      <w:numFmt w:val="decimal"/>
      <w:start w:val="2"/>
    </w:lvl>
  </w:abstractNum>
  <w:abstractNum w:abstractNumId="39">
    <w:nsid w:val="1A32234B"/>
    <w:multiLevelType w:val="hybridMultilevel"/>
    <w:lvl w:ilvl="0">
      <w:lvlJc w:val="left"/>
      <w:lvlText w:val="%1."/>
      <w:numFmt w:val="decimal"/>
      <w:start w:val="4"/>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1."/>
      <w:numFmt w:val="decimal"/>
      <w:start w:val="5"/>
    </w:lvl>
  </w:abstractNum>
  <w:abstractNum w:abstractNumId="42">
    <w:nsid w:val="4962813B"/>
    <w:multiLevelType w:val="hybridMultilevel"/>
    <w:lvl w:ilvl="0">
      <w:lvlJc w:val="left"/>
      <w:lvlText w:val="%1."/>
      <w:numFmt w:val="decimal"/>
      <w:start w:val="6"/>
    </w:lvl>
  </w:abstractNum>
  <w:abstractNum w:abstractNumId="43">
    <w:nsid w:val="60B6DF70"/>
    <w:multiLevelType w:val="hybridMultilevel"/>
    <w:lvl w:ilvl="0">
      <w:lvlJc w:val="left"/>
      <w:lvlText w:val="%1."/>
      <w:numFmt w:val="decimal"/>
      <w:start w:val="7"/>
    </w:lvl>
  </w:abstractNum>
  <w:abstractNum w:abstractNumId="44">
    <w:nsid w:val="6A5EE64"/>
    <w:multiLevelType w:val="hybridMultilevel"/>
    <w:lvl w:ilvl="0">
      <w:lvlJc w:val="left"/>
      <w:lvlText w:val="%1."/>
      <w:numFmt w:val="decimal"/>
      <w:start w:val="9"/>
    </w:lvl>
  </w:abstractNum>
  <w:abstractNum w:abstractNumId="45">
    <w:nsid w:val="14330624"/>
    <w:multiLevelType w:val="hybridMultilevel"/>
    <w:lvl w:ilvl="0">
      <w:lvlJc w:val="left"/>
      <w:lvlText w:val="%1."/>
      <w:numFmt w:val="decimal"/>
      <w:start w:val="11"/>
    </w:lvl>
  </w:abstractNum>
  <w:abstractNum w:abstractNumId="46">
    <w:nsid w:val="7FFFCA11"/>
    <w:multiLevelType w:val="hybridMultilevel"/>
    <w:lvl w:ilvl="0">
      <w:lvlJc w:val="left"/>
      <w:lvlText w:val="%1."/>
      <w:numFmt w:val="decimal"/>
      <w:start w:val="12"/>
    </w:lvl>
  </w:abstractNum>
  <w:abstractNum w:abstractNumId="47">
    <w:nsid w:val="1A27709E"/>
    <w:multiLevelType w:val="hybridMultilevel"/>
    <w:lvl w:ilvl="0">
      <w:lvlJc w:val="left"/>
      <w:lvlText w:val="%1."/>
      <w:numFmt w:val="decimal"/>
      <w:start w:val="13"/>
    </w:lvl>
  </w:abstractNum>
  <w:abstractNum w:abstractNumId="48">
    <w:nsid w:val="71EA1109"/>
    <w:multiLevelType w:val="hybridMultilevel"/>
    <w:lvl w:ilvl="0">
      <w:lvlJc w:val="left"/>
      <w:lvlText w:val="%1."/>
      <w:numFmt w:val="decimal"/>
      <w:start w:val="14"/>
    </w:lvl>
  </w:abstractNum>
  <w:abstractNum w:abstractNumId="49">
    <w:nsid w:val="100F59DC"/>
    <w:multiLevelType w:val="hybridMultilevel"/>
    <w:lvl w:ilvl="0">
      <w:lvlJc w:val="left"/>
      <w:lvlText w:val="%1."/>
      <w:numFmt w:val="decimal"/>
      <w:start w:val="15"/>
    </w:lvl>
  </w:abstractNum>
  <w:abstractNum w:abstractNumId="50">
    <w:nsid w:val="7FB7E0AA"/>
    <w:multiLevelType w:val="hybridMultilevel"/>
    <w:lvl w:ilvl="0">
      <w:lvlJc w:val="left"/>
      <w:lvlText w:val="%1."/>
      <w:numFmt w:val="decimal"/>
      <w:start w:val="16"/>
    </w:lvl>
  </w:abstractNum>
  <w:abstractNum w:abstractNumId="51">
    <w:nsid w:val="6EB5BD4"/>
    <w:multiLevelType w:val="hybridMultilevel"/>
    <w:lvl w:ilvl="0">
      <w:lvlJc w:val="left"/>
      <w:lvlText w:val="%1."/>
      <w:numFmt w:val="decimal"/>
      <w:start w:val="17"/>
    </w:lvl>
  </w:abstractNum>
  <w:abstractNum w:abstractNumId="52">
    <w:nsid w:val="6F6DD9AC"/>
    <w:multiLevelType w:val="hybridMultilevel"/>
    <w:lvl w:ilvl="0">
      <w:lvlJc w:val="left"/>
      <w:lvlText w:val="%1."/>
      <w:numFmt w:val="decimal"/>
      <w:start w:val="18"/>
    </w:lvl>
  </w:abstractNum>
  <w:abstractNum w:abstractNumId="53">
    <w:nsid w:val="94211F2"/>
    <w:multiLevelType w:val="hybridMultilevel"/>
    <w:lvl w:ilvl="0">
      <w:lvlJc w:val="left"/>
      <w:lvlText w:val="%1."/>
      <w:numFmt w:val="decimal"/>
      <w:start w:val="19"/>
    </w:lvl>
  </w:abstractNum>
  <w:abstractNum w:abstractNumId="54">
    <w:nsid w:val="885E1B"/>
    <w:multiLevelType w:val="hybridMultilevel"/>
    <w:lvl w:ilvl="0">
      <w:lvlJc w:val="left"/>
      <w:lvlText w:val="%1."/>
      <w:numFmt w:val="decimal"/>
      <w:start w:val="20"/>
    </w:lvl>
  </w:abstractNum>
  <w:abstractNum w:abstractNumId="55">
    <w:nsid w:val="76272110"/>
    <w:multiLevelType w:val="hybridMultilevel"/>
    <w:lvl w:ilvl="0">
      <w:lvlJc w:val="left"/>
      <w:lvlText w:val="%1."/>
      <w:numFmt w:val="decimal"/>
      <w:start w:val="2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1."/>
      <w:numFmt w:val="decimal"/>
      <w:start w:val="23"/>
    </w:lvl>
  </w:abstractNum>
  <w:abstractNum w:abstractNumId="63">
    <w:nsid w:val="46B7D447"/>
    <w:multiLevelType w:val="hybridMultilevel"/>
    <w:lvl w:ilvl="0">
      <w:lvlJc w:val="left"/>
      <w:lvlText w:val="%1."/>
      <w:numFmt w:val="decimal"/>
      <w:start w:val="24"/>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1."/>
      <w:numFmt w:val="decimal"/>
      <w:start w:val="34"/>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decimal"/>
      <w:start w:val="1"/>
    </w:lvl>
    <w:lvl w:ilvl="1">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1)"/>
      <w:numFmt w:val="lowerLetter"/>
      <w:start w:val="2"/>
    </w:lvl>
  </w:abstractNum>
  <w:abstractNum w:abstractNumId="73">
    <w:nsid w:val="7055A5F5"/>
    <w:multiLevelType w:val="hybridMultilevel"/>
    <w:lvl w:ilvl="0">
      <w:lvlJc w:val="left"/>
      <w:lvlText w:val="%1"/>
      <w:numFmt w:val="decimal"/>
      <w:start w:val="1"/>
    </w:lvl>
    <w:lvl w:ilvl="1">
      <w:lvlJc w:val="left"/>
      <w:lvlText w:val="%2"/>
      <w:numFmt w:val="decimal"/>
      <w:start w:val="104"/>
    </w:lvl>
  </w:abstractNum>
  <w:abstractNum w:abstractNumId="74">
    <w:nsid w:val="5FB8370B"/>
    <w:multiLevelType w:val="hybridMultilevel"/>
    <w:lvl w:ilvl="0">
      <w:lvlJc w:val="left"/>
      <w:lvlText w:val="(%1)"/>
      <w:numFmt w:val="decimal"/>
      <w:start w:val="1"/>
    </w:lvl>
    <w:lvl w:ilvl="1">
      <w:lvlJc w:val="left"/>
      <w:lvlText w:val="%2"/>
      <w:numFmt w:val="decimal"/>
      <w:start w:val="1"/>
    </w:lvl>
  </w:abstractNum>
  <w:abstractNum w:abstractNumId="75">
    <w:nsid w:val="50801EE1"/>
    <w:multiLevelType w:val="hybridMultilevel"/>
    <w:lvl w:ilvl="0">
      <w:lvlJc w:val="left"/>
      <w:lvlText w:val="(%1)"/>
      <w:numFmt w:val="decimal"/>
      <w:start w:val="5"/>
    </w:lvl>
  </w:abstractNum>
  <w:abstractNum w:abstractNumId="76">
    <w:nsid w:val="488AC1A"/>
    <w:multiLevelType w:val="hybridMultilevel"/>
    <w:lvl w:ilvl="0">
      <w:lvlJc w:val="left"/>
      <w:lvlText w:val="(%1)"/>
      <w:numFmt w:val="decimal"/>
      <w:start w:val="18"/>
    </w:lvl>
  </w:abstractNum>
  <w:abstractNum w:abstractNumId="77">
    <w:nsid w:val="5FB8011C"/>
    <w:multiLevelType w:val="hybridMultilevel"/>
    <w:lvl w:ilvl="0">
      <w:lvlJc w:val="left"/>
      <w:lvlText w:val="ǂ"/>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decimal"/>
      <w:start w:val="1"/>
    </w:lvl>
    <w:lvl w:ilvl="1">
      <w:lvlJc w:val="left"/>
      <w:lvlText w:val="(%2)"/>
      <w:numFmt w:val="lowerLetter"/>
      <w:start w:val="1"/>
    </w:lvl>
  </w:abstractNum>
  <w:abstractNum w:abstractNumId="82">
    <w:nsid w:val="7D5E18F8"/>
    <w:multiLevelType w:val="hybridMultilevel"/>
    <w:lvl w:ilvl="0">
      <w:lvlJc w:val="left"/>
      <w:lvlText w:val="%1."/>
      <w:numFmt w:val="decimal"/>
      <w:start w:val="2"/>
    </w:lvl>
  </w:abstractNum>
  <w:abstractNum w:abstractNumId="83">
    <w:nsid w:val="5F3534A4"/>
    <w:multiLevelType w:val="hybridMultilevel"/>
    <w:lvl w:ilvl="0">
      <w:lvlJc w:val="left"/>
      <w:lvlText w:val="%1."/>
      <w:numFmt w:val="decimal"/>
      <w:start w:val="5"/>
    </w:lvl>
  </w:abstractNum>
  <w:abstractNum w:abstractNumId="84">
    <w:nsid w:val="73A1821B"/>
    <w:multiLevelType w:val="hybridMultilevel"/>
    <w:lvl w:ilvl="0">
      <w:lvlJc w:val="left"/>
      <w:lvlText w:val="%1."/>
      <w:numFmt w:val="decimal"/>
      <w:start w:val="7"/>
    </w:lvl>
  </w:abstractNum>
  <w:abstractNum w:abstractNumId="85">
    <w:nsid w:val="7DE67713"/>
    <w:multiLevelType w:val="hybridMultilevel"/>
    <w:lvl w:ilvl="0">
      <w:lvlJc w:val="left"/>
      <w:lvlText w:val="%1."/>
      <w:numFmt w:val="decimal"/>
      <w:start w:val="9"/>
    </w:lvl>
    <w:lvl w:ilvl="1">
      <w:lvlJc w:val="left"/>
      <w:lvlText w:val="%2."/>
      <w:numFmt w:val="lowerLetter"/>
      <w:start w:val="1"/>
    </w:lvl>
  </w:abstractNum>
  <w:abstractNum w:abstractNumId="86">
    <w:nsid w:val="555C55B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7">
    <w:nsid w:val="3FA62ACA"/>
    <w:multiLevelType w:val="hybridMultilevel"/>
    <w:lvl w:ilvl="0">
      <w:lvlJc w:val="left"/>
      <w:lvlText w:val="%1."/>
      <w:numFmt w:val="lowerRoman"/>
      <w:start w:val="4"/>
    </w:lvl>
  </w:abstractNum>
  <w:abstractNum w:abstractNumId="88">
    <w:nsid w:val="14FCE74E"/>
    <w:multiLevelType w:val="hybridMultilevel"/>
    <w:lvl w:ilvl="0">
      <w:lvlJc w:val="left"/>
      <w:lvlText w:val="%1."/>
      <w:numFmt w:val="lowerLetter"/>
      <w:start w:val="3"/>
    </w:lvl>
  </w:abstractNum>
  <w:abstractNum w:abstractNumId="89">
    <w:nsid w:val="6A3DD3E8"/>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90">
    <w:nsid w:val="71C91298"/>
    <w:multiLevelType w:val="hybridMultilevel"/>
    <w:lvl w:ilvl="0">
      <w:lvlJc w:val="left"/>
      <w:lvlText w:val="%1"/>
      <w:numFmt w:val="decimal"/>
      <w:start w:val="1"/>
    </w:lvl>
    <w:lvl w:ilvl="1">
      <w:lvlJc w:val="left"/>
      <w:lvlText w:val="%2."/>
      <w:numFmt w:val="lowerLetter"/>
      <w:start w:val="2"/>
    </w:lvl>
  </w:abstractNum>
  <w:abstractNum w:abstractNumId="91">
    <w:nsid w:val="9DAF632"/>
    <w:multiLevelType w:val="hybridMultilevel"/>
    <w:lvl w:ilvl="0">
      <w:lvlJc w:val="left"/>
      <w:lvlText w:val="%1."/>
      <w:numFmt w:val="decimal"/>
      <w:start w:val="13"/>
    </w:lvl>
    <w:lvl w:ilvl="1">
      <w:lvlJc w:val="left"/>
      <w:lvlText w:val="%2."/>
      <w:numFmt w:val="lowerLetter"/>
      <w:start w:val="1"/>
    </w:lvl>
  </w:abstractNum>
  <w:abstractNum w:abstractNumId="92">
    <w:nsid w:val="53299938"/>
    <w:multiLevelType w:val="hybridMultilevel"/>
    <w:lvl w:ilvl="0">
      <w:lvlJc w:val="left"/>
      <w:lvlText w:val="%1."/>
      <w:numFmt w:val="decimal"/>
      <w:start w:val="14"/>
    </w:lvl>
  </w:abstractNum>
  <w:abstractNum w:abstractNumId="93">
    <w:nsid w:val="1FBFE8E0"/>
    <w:multiLevelType w:val="hybridMultilevel"/>
    <w:lvl w:ilvl="0">
      <w:lvlJc w:val="left"/>
      <w:lvlText w:val="%1."/>
      <w:numFmt w:val="decimal"/>
      <w:start w:val="15"/>
    </w:lvl>
  </w:abstractNum>
  <w:abstractNum w:abstractNumId="94">
    <w:nsid w:val="5092CA79"/>
    <w:multiLevelType w:val="hybridMultilevel"/>
    <w:lvl w:ilvl="0">
      <w:lvlJc w:val="left"/>
      <w:lvlText w:val="%1."/>
      <w:numFmt w:val="decimal"/>
      <w:start w:val="16"/>
    </w:lvl>
  </w:abstractNum>
  <w:abstractNum w:abstractNumId="95">
    <w:nsid w:val="1D545C4D"/>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96">
    <w:nsid w:val="59ADEA3D"/>
    <w:multiLevelType w:val="hybridMultilevel"/>
    <w:lvl w:ilvl="0">
      <w:lvlJc w:val="left"/>
      <w:lvlText w:val="%1."/>
      <w:numFmt w:val="lowerRoman"/>
      <w:start w:val="3"/>
    </w:lvl>
  </w:abstractNum>
  <w:abstractNum w:abstractNumId="97">
    <w:nsid w:val="288F1A34"/>
    <w:multiLevelType w:val="hybridMultilevel"/>
    <w:lvl w:ilvl="0">
      <w:lvlJc w:val="left"/>
      <w:lvlText w:val="%1"/>
      <w:numFmt w:val="lowerLetter"/>
      <w:start w:val="1"/>
    </w:lvl>
    <w:lvl w:ilvl="1">
      <w:lvlJc w:val="left"/>
      <w:lvlText w:val="%2."/>
      <w:numFmt w:val="lowerRoman"/>
      <w:start w:val="4"/>
    </w:lvl>
  </w:abstractNum>
  <w:abstractNum w:abstractNumId="98">
    <w:nsid w:val="2A155DBC"/>
    <w:multiLevelType w:val="hybridMultilevel"/>
    <w:lvl w:ilvl="0">
      <w:lvlJc w:val="left"/>
      <w:lvlText w:val="%1."/>
      <w:numFmt w:val="lowerLetter"/>
      <w:start w:val="2"/>
    </w:lvl>
    <w:lvl w:ilvl="1">
      <w:lvlJc w:val="left"/>
      <w:lvlText w:val="%2."/>
      <w:numFmt w:val="lowerRoman"/>
      <w:start w:val="1"/>
    </w:lvl>
  </w:abstractNum>
  <w:abstractNum w:abstractNumId="99">
    <w:nsid w:val="1D9F6E5F"/>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00">
    <w:nsid w:val="97E1B4E"/>
    <w:multiLevelType w:val="hybridMultilevel"/>
    <w:lvl w:ilvl="0">
      <w:lvlJc w:val="left"/>
      <w:lvlText w:val="%1"/>
      <w:numFmt w:val="lowerRoman"/>
      <w:start w:val="1"/>
    </w:lvl>
    <w:lvl w:ilvl="1">
      <w:lvlJc w:val="left"/>
      <w:lvlText w:val="%2."/>
      <w:numFmt w:val="decimal"/>
      <w:start w:val="2"/>
    </w:lvl>
  </w:abstractNum>
  <w:abstractNum w:abstractNumId="101">
    <w:nsid w:val="51088277"/>
    <w:multiLevelType w:val="hybridMultilevel"/>
    <w:lvl w:ilvl="0">
      <w:lvlJc w:val="left"/>
      <w:lvlText w:val="%1."/>
      <w:numFmt w:val="lowerRoman"/>
      <w:start w:val="2"/>
    </w:lvl>
    <w:lvl w:ilvl="1">
      <w:lvlJc w:val="left"/>
      <w:lvlText w:val="%2"/>
      <w:numFmt w:val="decimal"/>
      <w:start w:val="1"/>
    </w:lvl>
  </w:abstractNum>
  <w:abstractNum w:abstractNumId="102">
    <w:nsid w:val="1CA0C5FA"/>
    <w:multiLevelType w:val="hybridMultilevel"/>
    <w:lvl w:ilvl="0">
      <w:lvlJc w:val="left"/>
      <w:lvlText w:val="%1."/>
      <w:numFmt w:val="decimal"/>
      <w:start w:val="19"/>
    </w:lvl>
  </w:abstractNum>
  <w:abstractNum w:abstractNumId="103">
    <w:nsid w:val="53584BCB"/>
    <w:multiLevelType w:val="hybridMultilevel"/>
    <w:lvl w:ilvl="0">
      <w:lvlJc w:val="left"/>
      <w:lvlText w:val="%1."/>
      <w:numFmt w:val="decimal"/>
      <w:start w:val="20"/>
    </w:lvl>
    <w:lvl w:ilvl="1">
      <w:lvlJc w:val="left"/>
      <w:lvlText w:val="%2."/>
      <w:numFmt w:val="lowerLetter"/>
      <w:start w:val="1"/>
    </w:lvl>
  </w:abstractNum>
  <w:abstractNum w:abstractNumId="104">
    <w:nsid w:val="415E286C"/>
    <w:multiLevelType w:val="hybridMultilevel"/>
    <w:lvl w:ilvl="0">
      <w:lvlJc w:val="left"/>
      <w:lvlText w:val="%1."/>
      <w:numFmt w:val="decimal"/>
      <w:start w:val="21"/>
    </w:lvl>
  </w:abstractNum>
  <w:abstractNum w:abstractNumId="105">
    <w:nsid w:val="7C58FD05"/>
    <w:multiLevelType w:val="hybridMultilevel"/>
    <w:lvl w:ilvl="0">
      <w:lvlJc w:val="left"/>
      <w:lvlText w:val="%1."/>
      <w:numFmt w:val="decimal"/>
      <w:start w:val="25"/>
    </w:lvl>
    <w:lvl w:ilvl="1">
      <w:lvlJc w:val="left"/>
      <w:lvlText w:val="%2."/>
      <w:numFmt w:val="lowerLetter"/>
      <w:start w:val="1"/>
    </w:lvl>
  </w:abstractNum>
  <w:abstractNum w:abstractNumId="106">
    <w:nsid w:val="23D86AAC"/>
    <w:multiLevelType w:val="hybridMultilevel"/>
    <w:lvl w:ilvl="0">
      <w:lvlJc w:val="left"/>
      <w:lvlText w:val="%1."/>
      <w:numFmt w:val="lowerLetter"/>
      <w:start w:val="4"/>
    </w:lvl>
  </w:abstractNum>
  <w:abstractNum w:abstractNumId="107">
    <w:nsid w:val="45E6D486"/>
    <w:multiLevelType w:val="hybridMultilevel"/>
    <w:lvl w:ilvl="0">
      <w:lvlJc w:val="left"/>
      <w:lvlText w:val="%1."/>
      <w:numFmt w:val="lowerLetter"/>
      <w:start w:val="14"/>
    </w:lvl>
  </w:abstractNum>
  <w:abstractNum w:abstractNumId="108">
    <w:nsid w:val="5C10FE21"/>
    <w:multiLevelType w:val="hybridMultilevel"/>
    <w:lvl w:ilvl="0">
      <w:lvlJc w:val="left"/>
      <w:lvlText w:val="%1."/>
      <w:numFmt w:val="lowerLetter"/>
      <w:start w:val="18"/>
    </w:lvl>
    <w:lvl w:ilvl="1">
      <w:lvlJc w:val="left"/>
      <w:lvlText w:val="·"/>
      <w:numFmt w:val="bullet"/>
      <w:start w:val="1"/>
    </w:lvl>
  </w:abstractNum>
  <w:abstractNum w:abstractNumId="109">
    <w:nsid w:val="E7FFA2B"/>
    <w:multiLevelType w:val="hybridMultilevel"/>
    <w:lvl w:ilvl="0">
      <w:lvlJc w:val="left"/>
      <w:lvlText w:val="%1."/>
      <w:numFmt w:val="decimal"/>
      <w:start w:val="1"/>
    </w:lvl>
  </w:abstractNum>
  <w:abstractNum w:abstractNumId="110">
    <w:nsid w:val="3C5991AA"/>
    <w:multiLevelType w:val="hybridMultilevel"/>
    <w:lvl w:ilvl="0">
      <w:lvlJc w:val="left"/>
      <w:lvlText w:val="%1."/>
      <w:numFmt w:val="decimal"/>
      <w:start w:val="1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12"/>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1"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jpe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jpe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161" Type="http://schemas.openxmlformats.org/officeDocument/2006/relationships/hyperlink" Target="http://www.sec.gov/Archives/edgar/data/1368622/000095015007000008/a28119exv3w1.htm" TargetMode="External"/><Relationship Id="rId162" Type="http://schemas.openxmlformats.org/officeDocument/2006/relationships/hyperlink" Target="https://www.sec.gov/Archives/edgar/data/1368622/000104746915005880/a2225241zex-3_3.htm" TargetMode="External"/><Relationship Id="rId163" Type="http://schemas.openxmlformats.org/officeDocument/2006/relationships/hyperlink" Target="http://www.sec.gov/Archives/edgar/data/1368622/000095013406022859/a22303a3exv4w1.htm" TargetMode="External"/><Relationship Id="rId164" Type="http://schemas.openxmlformats.org/officeDocument/2006/relationships/hyperlink" Target="https://www.sec.gov/Archives/edgar/data/1368622/000155837020007720/avav-20200430xex4d2.htm" TargetMode="External"/><Relationship Id="rId165" Type="http://schemas.openxmlformats.org/officeDocument/2006/relationships/hyperlink" Target="http://www.sec.gov/Archives/edgar/data/1368622/000155837016006514/avav-20160430ex101443c53.htm" TargetMode="External"/><Relationship Id="rId166" Type="http://schemas.openxmlformats.org/officeDocument/2006/relationships/hyperlink" Target="http://www.sec.gov/Archives/edgar/data/1368622/000095012406007190/a22303a2exv10w8.htm" TargetMode="External"/><Relationship Id="rId167" Type="http://schemas.openxmlformats.org/officeDocument/2006/relationships/hyperlink" Target="http://www.sec.gov/Archives/edgar/data/1368622/000110465911055028/a11-27507_1ex10d1.htm" TargetMode="External"/><Relationship Id="rId168" Type="http://schemas.openxmlformats.org/officeDocument/2006/relationships/hyperlink" Target="http://www.sec.gov/Archives/edgar/data/1368622/000155837017004963/avav-20170430ex1010971ed.htm" TargetMode="External"/><Relationship Id="rId169" Type="http://schemas.openxmlformats.org/officeDocument/2006/relationships/hyperlink" Target="http://www.sec.gov/Archives/edgar/data/1368622/000095012406007190/a22303a2exv10w9.htm" TargetMode="External"/><Relationship Id="rId170" Type="http://schemas.openxmlformats.org/officeDocument/2006/relationships/hyperlink" Target="http://www.sec.gov/Archives/edgar/data/1368622/000095012406007190/a22303a2exv10w10.htm" TargetMode="External"/><Relationship Id="rId172" Type="http://schemas.openxmlformats.org/officeDocument/2006/relationships/hyperlink" Target="http://www.sec.gov/Archives/edgar/data/1368622/000110465910040197/a10-14805_1ex10d1.htm" TargetMode="External"/><Relationship Id="rId173" Type="http://schemas.openxmlformats.org/officeDocument/2006/relationships/hyperlink" Target="http://www.sec.gov/Archives/edgar/data/1368622/000155837019005898/avav-20190430ex101499c35.htm" TargetMode="External"/><Relationship Id="rId174" Type="http://schemas.openxmlformats.org/officeDocument/2006/relationships/hyperlink" Target="http://www.sec.gov/Archives/edgar/data/1368622/000155837019005898/avav-20190430ex1015b5bd9.htm" TargetMode="External"/><Relationship Id="rId175" Type="http://schemas.openxmlformats.org/officeDocument/2006/relationships/hyperlink" Target="http://www.sec.gov/Archives/edgar/data/1368622/000155837019005898/avav-20190430ex1016ff6ff.htm" TargetMode="External"/><Relationship Id="rId176" Type="http://schemas.openxmlformats.org/officeDocument/2006/relationships/hyperlink" Target="http://www.sec.gov/Archives/edgar/data/1368622/000155837019005898/avav-20190430ex1017f5d10.htm" TargetMode="External"/><Relationship Id="rId177" Type="http://schemas.openxmlformats.org/officeDocument/2006/relationships/hyperlink" Target="https://www.sec.gov/Archives/edgar/data/1368622/000110465921125869/tm2129735d1_ex10-1.htm" TargetMode="External"/><Relationship Id="rId178" Type="http://schemas.openxmlformats.org/officeDocument/2006/relationships/hyperlink" Target="https://www.sec.gov/Archives/edgar/data/1368622/000110465921125869/tm2129735d1_ex10-2.htm" TargetMode="External"/><Relationship Id="rId179" Type="http://schemas.openxmlformats.org/officeDocument/2006/relationships/hyperlink" Target="https://www.sec.gov/Archives/edgar/data/1368622/000110465921125869/tm2129735d1_ex10-3.htm" TargetMode="External"/><Relationship Id="rId180" Type="http://schemas.openxmlformats.org/officeDocument/2006/relationships/hyperlink" Target="https://www.sec.gov/Archives/edgar/data/1368622/000110465921125869/tm2129735d1_ex10-4.htm" TargetMode="External"/><Relationship Id="rId181" Type="http://schemas.openxmlformats.org/officeDocument/2006/relationships/hyperlink" Target="https://www.sec.gov/Archives/edgar/data/1368622/000110465921125869/tm2129735d1_ex10-5.htm" TargetMode="External"/><Relationship Id="rId182" Type="http://schemas.openxmlformats.org/officeDocument/2006/relationships/hyperlink" Target="https://www.sec.gov/Archives/edgar/data/1368622/000110465921125869/tm2129735d1_ex10-6.htm" TargetMode="External"/><Relationship Id="rId183" Type="http://schemas.openxmlformats.org/officeDocument/2006/relationships/hyperlink" Target="http://www.sec.gov/Archives/edgar/data/1368622/000104746908007752/a2186536zex-10_15.htm" TargetMode="External"/><Relationship Id="rId184" Type="http://schemas.openxmlformats.org/officeDocument/2006/relationships/hyperlink" Target="https://www.sec.gov/Archives/edgar/data/1368622/000110465914016020/a14-4402_1ex10d1.htm" TargetMode="External"/><Relationship Id="rId185" Type="http://schemas.openxmlformats.org/officeDocument/2006/relationships/hyperlink" Target="https://www.sec.gov/Archives/edgar/data/1368622/000155837020007720/avav-20200430xex10d58.htm" TargetMode="External"/><Relationship Id="rId186" Type="http://schemas.openxmlformats.org/officeDocument/2006/relationships/hyperlink" Target="http://www.sec.gov/Archives/edgar/data/1368622/000104746908007752/a2186536zex-10_16.htm" TargetMode="External"/><Relationship Id="rId187" Type="http://schemas.openxmlformats.org/officeDocument/2006/relationships/hyperlink" Target="http://www.sec.gov/Archives/edgar/data/1368622/000110465914016020/a14-4402_1ex10d2.htm" TargetMode="External"/><Relationship Id="rId188" Type="http://schemas.openxmlformats.org/officeDocument/2006/relationships/hyperlink" Target="https://www.sec.gov/Archives/edgar/data/1368622/000155837021008684/avav-20210430xex10d66.htm" TargetMode="External"/><Relationship Id="rId189" Type="http://schemas.openxmlformats.org/officeDocument/2006/relationships/hyperlink" Target="http://www.sec.gov/Archives/edgar/data/1368622/000110465914016020/a14-4402_1ex10d3.htm" TargetMode="External"/><Relationship Id="rId190" Type="http://schemas.openxmlformats.org/officeDocument/2006/relationships/hyperlink" Target="https://www.sec.gov/Archives/edgar/data/1368622/000155837021008684/avav-20210430xex10d67.htm" TargetMode="External"/><Relationship Id="rId191" Type="http://schemas.openxmlformats.org/officeDocument/2006/relationships/hyperlink" Target="http://www.sec.gov/Archives/edgar/data/1368622/000155837018005457/avav-20180430ex1024f05cd.htm" TargetMode="External"/><Relationship Id="rId192" Type="http://schemas.openxmlformats.org/officeDocument/2006/relationships/hyperlink" Target="http://www.sec.gov/Archives/edgar/data/1368622/000155837018009506/avav-20181027ex1011ddfd7.htm" TargetMode="External"/><Relationship Id="rId193" Type="http://schemas.openxmlformats.org/officeDocument/2006/relationships/hyperlink" Target="http://www.sec.gov/Archives/edgar/data/1368622/000095015006000038/a22303orexv10w23.htm" TargetMode="External"/><Relationship Id="rId194" Type="http://schemas.openxmlformats.org/officeDocument/2006/relationships/hyperlink" Target="https://www.sec.gov/Archives/edgar/data/1368622/000110465916103402/a16-3826_1ex10d3.htm" TargetMode="External"/><Relationship Id="rId195" Type="http://schemas.openxmlformats.org/officeDocument/2006/relationships/hyperlink" Target="http://www.sec.gov/Archives/edgar/data/1368622/000155837018007382/avav-20180728ex101f74d59.htm" TargetMode="External"/><Relationship Id="rId196" Type="http://schemas.openxmlformats.org/officeDocument/2006/relationships/hyperlink" Target="http://www.sec.gov/Archives/edgar/data/1368622/000155837018007382/avav-20180728ex102d526bd.htm" TargetMode="External"/><Relationship Id="rId197" Type="http://schemas.openxmlformats.org/officeDocument/2006/relationships/hyperlink" Target="http://www.sec.gov/Archives/edgar/data/1368622/000155837019001518/avav-20190126ex101b87214.htm" TargetMode="External"/><Relationship Id="rId198" Type="http://schemas.openxmlformats.org/officeDocument/2006/relationships/hyperlink" Target="http://www.sec.gov/Archives/edgar/data/1368622/000110465919040779/a19-12962_1ex10d1.htm" TargetMode="External"/><Relationship Id="rId199" Type="http://schemas.openxmlformats.org/officeDocument/2006/relationships/hyperlink" Target="https://www.sec.gov/Archives/edgar/data/0001368622/000155837021002653/avav-20210130xex10d1.htm" TargetMode="External"/><Relationship Id="rId200" Type="http://schemas.openxmlformats.org/officeDocument/2006/relationships/hyperlink" Target="https://www.sec.gov/Archives/edgar/data/0001368622/000155837021002653/avav-20210130xex10d2.htm" TargetMode="External"/><Relationship Id="rId201" Type="http://schemas.openxmlformats.org/officeDocument/2006/relationships/hyperlink" Target="https://www.sec.gov/Archives/edgar/data/1368622/000155837021002653/avav-20210130xex10d3.htm" TargetMode="External"/><Relationship Id="rId202" Type="http://schemas.openxmlformats.org/officeDocument/2006/relationships/hyperlink" Target="https://www.sec.gov/Archives/edgar/data/1368622/000155837021002653/avav-20210130xex10d4.htm" TargetMode="External"/><Relationship Id="rId203" Type="http://schemas.openxmlformats.org/officeDocument/2006/relationships/hyperlink" Target="https://www.sec.gov/Archives/edgar/data/1368622/000155837022002839/avav-20220129xex10d7.htm" TargetMode="External"/><Relationship Id="rId204" Type="http://schemas.openxmlformats.org/officeDocument/2006/relationships/hyperlink" Target="https://www.sec.gov/Archives/edgar/data/1368622/000155837021002653/avav-20210130xex10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2022-06-29T05:21:03Z</dcterms:created>
  <dcterms:modified xsi:type="dcterms:W3CDTF">2022-06-29T05:21:03Z</dcterms:modified>
</cp:coreProperties>
</file>